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w:t>
      </w: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Date of Report (Date of earliest event reported): April 4, 2018 (April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Broadcom Limited</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Broadcom Cayman L.P.</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3460" w:type="dxa"/>
            <w:vAlign w:val="bottom"/>
          </w:tcPr>
          <w:p>
            <w:pPr>
              <w:jc w:val="center"/>
              <w:ind w:right="994"/>
              <w:spacing w:after="0"/>
              <w:rPr>
                <w:sz w:val="20"/>
                <w:szCs w:val="20"/>
                <w:color w:val="auto"/>
              </w:rPr>
            </w:pPr>
            <w:r>
              <w:rPr>
                <w:rFonts w:ascii="Arial" w:cs="Arial" w:eastAsia="Arial" w:hAnsi="Arial"/>
                <w:sz w:val="18"/>
                <w:szCs w:val="18"/>
                <w:b w:val="1"/>
                <w:bCs w:val="1"/>
                <w:color w:val="auto"/>
                <w:w w:val="88"/>
              </w:rPr>
              <w:t>Singapore</w:t>
            </w:r>
          </w:p>
        </w:tc>
        <w:tc>
          <w:tcPr>
            <w:tcW w:w="3500" w:type="dxa"/>
            <w:vAlign w:val="bottom"/>
          </w:tcPr>
          <w:p>
            <w:pPr>
              <w:jc w:val="right"/>
              <w:ind w:right="1399"/>
              <w:spacing w:after="0"/>
              <w:rPr>
                <w:sz w:val="20"/>
                <w:szCs w:val="20"/>
                <w:color w:val="auto"/>
              </w:rPr>
            </w:pPr>
            <w:r>
              <w:rPr>
                <w:rFonts w:ascii="Arial" w:cs="Arial" w:eastAsia="Arial" w:hAnsi="Arial"/>
                <w:sz w:val="18"/>
                <w:szCs w:val="18"/>
                <w:b w:val="1"/>
                <w:bCs w:val="1"/>
                <w:color w:val="auto"/>
              </w:rPr>
              <w:t>001-37690</w:t>
            </w:r>
          </w:p>
        </w:tc>
        <w:tc>
          <w:tcPr>
            <w:tcW w:w="2440" w:type="dxa"/>
            <w:vAlign w:val="bottom"/>
          </w:tcPr>
          <w:p>
            <w:pPr>
              <w:jc w:val="center"/>
              <w:ind w:left="1239"/>
              <w:spacing w:after="0"/>
              <w:rPr>
                <w:sz w:val="20"/>
                <w:szCs w:val="20"/>
                <w:color w:val="auto"/>
              </w:rPr>
            </w:pPr>
            <w:r>
              <w:rPr>
                <w:rFonts w:ascii="Arial" w:cs="Arial" w:eastAsia="Arial" w:hAnsi="Arial"/>
                <w:sz w:val="18"/>
                <w:szCs w:val="18"/>
                <w:b w:val="1"/>
                <w:bCs w:val="1"/>
                <w:color w:val="auto"/>
                <w:w w:val="91"/>
              </w:rPr>
              <w:t>98-1254807</w:t>
            </w:r>
          </w:p>
        </w:tc>
      </w:tr>
      <w:tr>
        <w:trPr>
          <w:trHeight w:val="225"/>
        </w:trPr>
        <w:tc>
          <w:tcPr>
            <w:tcW w:w="3460" w:type="dxa"/>
            <w:vAlign w:val="bottom"/>
          </w:tcPr>
          <w:p>
            <w:pPr>
              <w:jc w:val="center"/>
              <w:ind w:right="1014"/>
              <w:spacing w:after="0"/>
              <w:rPr>
                <w:sz w:val="20"/>
                <w:szCs w:val="20"/>
                <w:color w:val="auto"/>
              </w:rPr>
            </w:pPr>
            <w:r>
              <w:rPr>
                <w:rFonts w:ascii="Arial" w:cs="Arial" w:eastAsia="Arial" w:hAnsi="Arial"/>
                <w:sz w:val="18"/>
                <w:szCs w:val="18"/>
                <w:b w:val="1"/>
                <w:bCs w:val="1"/>
                <w:color w:val="auto"/>
                <w:w w:val="90"/>
              </w:rPr>
              <w:t>Cayman Islands</w:t>
            </w:r>
          </w:p>
        </w:tc>
        <w:tc>
          <w:tcPr>
            <w:tcW w:w="3500" w:type="dxa"/>
            <w:vAlign w:val="bottom"/>
          </w:tcPr>
          <w:p>
            <w:pPr>
              <w:jc w:val="right"/>
              <w:ind w:right="1239"/>
              <w:spacing w:after="0"/>
              <w:rPr>
                <w:sz w:val="20"/>
                <w:szCs w:val="20"/>
                <w:color w:val="auto"/>
              </w:rPr>
            </w:pPr>
            <w:r>
              <w:rPr>
                <w:rFonts w:ascii="Arial" w:cs="Arial" w:eastAsia="Arial" w:hAnsi="Arial"/>
                <w:sz w:val="18"/>
                <w:szCs w:val="18"/>
                <w:b w:val="1"/>
                <w:bCs w:val="1"/>
                <w:color w:val="auto"/>
              </w:rPr>
              <w:t>333-205938-01</w:t>
            </w:r>
          </w:p>
        </w:tc>
        <w:tc>
          <w:tcPr>
            <w:tcW w:w="2440" w:type="dxa"/>
            <w:vAlign w:val="bottom"/>
          </w:tcPr>
          <w:p>
            <w:pPr>
              <w:jc w:val="center"/>
              <w:ind w:left="1239"/>
              <w:spacing w:after="0"/>
              <w:rPr>
                <w:sz w:val="20"/>
                <w:szCs w:val="20"/>
                <w:color w:val="auto"/>
              </w:rPr>
            </w:pPr>
            <w:r>
              <w:rPr>
                <w:rFonts w:ascii="Arial" w:cs="Arial" w:eastAsia="Arial" w:hAnsi="Arial"/>
                <w:sz w:val="18"/>
                <w:szCs w:val="18"/>
                <w:b w:val="1"/>
                <w:bCs w:val="1"/>
                <w:color w:val="auto"/>
                <w:w w:val="91"/>
              </w:rPr>
              <w:t>98-1254815</w:t>
            </w:r>
          </w:p>
        </w:tc>
      </w:tr>
      <w:tr>
        <w:trPr>
          <w:trHeight w:val="149"/>
        </w:trPr>
        <w:tc>
          <w:tcPr>
            <w:tcW w:w="3460" w:type="dxa"/>
            <w:vAlign w:val="bottom"/>
          </w:tcPr>
          <w:p>
            <w:pPr>
              <w:jc w:val="center"/>
              <w:ind w:right="1014"/>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22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60" w:type="dxa"/>
            <w:vAlign w:val="bottom"/>
          </w:tcPr>
          <w:p>
            <w:pPr>
              <w:jc w:val="center"/>
              <w:ind w:right="994"/>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0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39"/>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3460" w:type="dxa"/>
            <w:vAlign w:val="bottom"/>
          </w:tcPr>
          <w:p>
            <w:pPr>
              <w:jc w:val="center"/>
              <w:ind w:right="994"/>
              <w:spacing w:after="0"/>
              <w:rPr>
                <w:sz w:val="20"/>
                <w:szCs w:val="20"/>
                <w:color w:val="auto"/>
              </w:rPr>
            </w:pPr>
            <w:r>
              <w:rPr>
                <w:rFonts w:ascii="Arial" w:cs="Arial" w:eastAsia="Arial" w:hAnsi="Arial"/>
                <w:sz w:val="18"/>
                <w:szCs w:val="18"/>
                <w:b w:val="1"/>
                <w:bCs w:val="1"/>
                <w:color w:val="auto"/>
                <w:w w:val="92"/>
              </w:rPr>
              <w:t>Broadcom Limited</w:t>
            </w:r>
          </w:p>
        </w:tc>
        <w:tc>
          <w:tcPr>
            <w:tcW w:w="35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3460" w:type="dxa"/>
            <w:vAlign w:val="bottom"/>
          </w:tcPr>
          <w:p>
            <w:pPr>
              <w:jc w:val="center"/>
              <w:ind w:right="994"/>
              <w:spacing w:after="0"/>
              <w:rPr>
                <w:sz w:val="20"/>
                <w:szCs w:val="20"/>
                <w:color w:val="auto"/>
              </w:rPr>
            </w:pPr>
            <w:r>
              <w:rPr>
                <w:rFonts w:ascii="Arial" w:cs="Arial" w:eastAsia="Arial" w:hAnsi="Arial"/>
                <w:sz w:val="18"/>
                <w:szCs w:val="18"/>
                <w:b w:val="1"/>
                <w:bCs w:val="1"/>
                <w:color w:val="auto"/>
                <w:w w:val="88"/>
              </w:rPr>
              <w:t>1 Yishun Avenue 7</w:t>
            </w:r>
          </w:p>
        </w:tc>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3460" w:type="dxa"/>
            <w:vAlign w:val="bottom"/>
          </w:tcPr>
          <w:p>
            <w:pPr>
              <w:jc w:val="center"/>
              <w:ind w:right="1014"/>
              <w:spacing w:after="0"/>
              <w:rPr>
                <w:sz w:val="20"/>
                <w:szCs w:val="20"/>
                <w:color w:val="auto"/>
              </w:rPr>
            </w:pPr>
            <w:r>
              <w:rPr>
                <w:rFonts w:ascii="Arial" w:cs="Arial" w:eastAsia="Arial" w:hAnsi="Arial"/>
                <w:sz w:val="18"/>
                <w:szCs w:val="18"/>
                <w:b w:val="1"/>
                <w:bCs w:val="1"/>
                <w:color w:val="auto"/>
                <w:w w:val="88"/>
              </w:rPr>
              <w:t>Singapore 768923</w:t>
            </w:r>
          </w:p>
        </w:tc>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3460" w:type="dxa"/>
            <w:vAlign w:val="bottom"/>
          </w:tcPr>
          <w:p>
            <w:pPr>
              <w:jc w:val="center"/>
              <w:ind w:right="1014"/>
              <w:spacing w:after="0"/>
              <w:rPr>
                <w:sz w:val="20"/>
                <w:szCs w:val="20"/>
                <w:color w:val="auto"/>
              </w:rPr>
            </w:pPr>
            <w:r>
              <w:rPr>
                <w:rFonts w:ascii="Arial" w:cs="Arial" w:eastAsia="Arial" w:hAnsi="Arial"/>
                <w:sz w:val="18"/>
                <w:szCs w:val="18"/>
                <w:b w:val="1"/>
                <w:bCs w:val="1"/>
                <w:color w:val="auto"/>
                <w:w w:val="91"/>
              </w:rPr>
              <w:t>Broadcom Cayman L.P.</w:t>
            </w:r>
          </w:p>
        </w:tc>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3460" w:type="dxa"/>
            <w:vAlign w:val="bottom"/>
          </w:tcPr>
          <w:p>
            <w:pPr>
              <w:jc w:val="center"/>
              <w:ind w:right="1014"/>
              <w:spacing w:after="0"/>
              <w:rPr>
                <w:sz w:val="20"/>
                <w:szCs w:val="20"/>
                <w:color w:val="auto"/>
              </w:rPr>
            </w:pPr>
            <w:r>
              <w:rPr>
                <w:rFonts w:ascii="Arial" w:cs="Arial" w:eastAsia="Arial" w:hAnsi="Arial"/>
                <w:sz w:val="18"/>
                <w:szCs w:val="18"/>
                <w:b w:val="1"/>
                <w:bCs w:val="1"/>
                <w:color w:val="auto"/>
                <w:w w:val="90"/>
              </w:rPr>
              <w:t>c/o Broadcom Limited</w:t>
            </w:r>
          </w:p>
        </w:tc>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3460" w:type="dxa"/>
            <w:vAlign w:val="bottom"/>
          </w:tcPr>
          <w:p>
            <w:pPr>
              <w:jc w:val="center"/>
              <w:ind w:right="1014"/>
              <w:spacing w:after="0"/>
              <w:rPr>
                <w:sz w:val="20"/>
                <w:szCs w:val="20"/>
                <w:color w:val="auto"/>
              </w:rPr>
            </w:pPr>
            <w:r>
              <w:rPr>
                <w:rFonts w:ascii="Arial" w:cs="Arial" w:eastAsia="Arial" w:hAnsi="Arial"/>
                <w:sz w:val="18"/>
                <w:szCs w:val="18"/>
                <w:b w:val="1"/>
                <w:bCs w:val="1"/>
                <w:color w:val="auto"/>
                <w:w w:val="89"/>
              </w:rPr>
              <w:t>1 Yishuan Avenue 7</w:t>
            </w:r>
          </w:p>
        </w:tc>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25"/>
        </w:trPr>
        <w:tc>
          <w:tcPr>
            <w:tcW w:w="3460" w:type="dxa"/>
            <w:vAlign w:val="bottom"/>
          </w:tcPr>
          <w:p>
            <w:pPr>
              <w:jc w:val="center"/>
              <w:ind w:right="1014"/>
              <w:spacing w:after="0"/>
              <w:rPr>
                <w:sz w:val="20"/>
                <w:szCs w:val="20"/>
                <w:color w:val="auto"/>
              </w:rPr>
            </w:pPr>
            <w:r>
              <w:rPr>
                <w:rFonts w:ascii="Arial" w:cs="Arial" w:eastAsia="Arial" w:hAnsi="Arial"/>
                <w:sz w:val="18"/>
                <w:szCs w:val="18"/>
                <w:b w:val="1"/>
                <w:bCs w:val="1"/>
                <w:color w:val="auto"/>
                <w:w w:val="88"/>
              </w:rPr>
              <w:t>Singapore 768923</w:t>
            </w:r>
          </w:p>
        </w:tc>
        <w:tc>
          <w:tcPr>
            <w:tcW w:w="3500" w:type="dxa"/>
            <w:vAlign w:val="bottom"/>
          </w:tcPr>
          <w:p>
            <w:pPr>
              <w:spacing w:after="0"/>
              <w:rPr>
                <w:sz w:val="19"/>
                <w:szCs w:val="19"/>
                <w:color w:val="auto"/>
              </w:rPr>
            </w:pPr>
          </w:p>
        </w:tc>
        <w:tc>
          <w:tcPr>
            <w:tcW w:w="2440" w:type="dxa"/>
            <w:vAlign w:val="bottom"/>
          </w:tcPr>
          <w:p>
            <w:pPr>
              <w:jc w:val="center"/>
              <w:ind w:left="1239"/>
              <w:spacing w:after="0"/>
              <w:rPr>
                <w:sz w:val="20"/>
                <w:szCs w:val="20"/>
                <w:color w:val="auto"/>
              </w:rPr>
            </w:pPr>
            <w:r>
              <w:rPr>
                <w:rFonts w:ascii="Arial" w:cs="Arial" w:eastAsia="Arial" w:hAnsi="Arial"/>
                <w:sz w:val="18"/>
                <w:szCs w:val="18"/>
                <w:b w:val="1"/>
                <w:bCs w:val="1"/>
                <w:color w:val="auto"/>
              </w:rPr>
              <w:t>N/A</w:t>
            </w:r>
          </w:p>
        </w:tc>
      </w:tr>
      <w:tr>
        <w:trPr>
          <w:trHeight w:val="186"/>
        </w:trPr>
        <w:tc>
          <w:tcPr>
            <w:tcW w:w="3460" w:type="dxa"/>
            <w:vAlign w:val="bottom"/>
          </w:tcPr>
          <w:p>
            <w:pPr>
              <w:jc w:val="center"/>
              <w:ind w:right="99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spacing w:after="0"/>
              <w:rPr>
                <w:sz w:val="16"/>
                <w:szCs w:val="16"/>
                <w:color w:val="auto"/>
              </w:rPr>
            </w:pPr>
          </w:p>
        </w:tc>
        <w:tc>
          <w:tcPr>
            <w:tcW w:w="2440" w:type="dxa"/>
            <w:vAlign w:val="bottom"/>
          </w:tcPr>
          <w:p>
            <w:pPr>
              <w:jc w:val="center"/>
              <w:ind w:left="1239"/>
              <w:spacing w:after="0"/>
              <w:rPr>
                <w:sz w:val="20"/>
                <w:szCs w:val="20"/>
                <w:color w:val="auto"/>
              </w:rPr>
            </w:pPr>
            <w:r>
              <w:rPr>
                <w:rFonts w:ascii="Arial" w:cs="Arial" w:eastAsia="Arial" w:hAnsi="Arial"/>
                <w:sz w:val="14"/>
                <w:szCs w:val="14"/>
                <w:b w:val="1"/>
                <w:bCs w:val="1"/>
                <w:color w:val="auto"/>
                <w:w w:val="98"/>
              </w:rPr>
              <w:t>(Zip Code)</w:t>
            </w:r>
          </w:p>
        </w:tc>
      </w:tr>
    </w:tbl>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(65) 6755-7888</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 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4"/>
          <w:szCs w:val="24"/>
          <w:color w:val="auto"/>
        </w:rPr>
      </w:pPr>
    </w:p>
    <w:p>
      <w:pPr>
        <w:ind w:right="4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Redomiciliation</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As part of the previously announced plan to restructure the Broadcom corporate group to cause the publicly traded parent company of the Broadcom group to be a Delaware corporation (the “</w:t>
      </w:r>
      <w:r>
        <w:rPr>
          <w:rFonts w:ascii="Arial" w:cs="Arial" w:eastAsia="Arial" w:hAnsi="Arial"/>
          <w:sz w:val="17"/>
          <w:szCs w:val="17"/>
          <w:u w:val="single" w:color="auto"/>
          <w:color w:val="auto"/>
        </w:rPr>
        <w:t>Redomiciliation Transaction</w:t>
      </w:r>
      <w:r>
        <w:rPr>
          <w:rFonts w:ascii="Arial" w:cs="Arial" w:eastAsia="Arial" w:hAnsi="Arial"/>
          <w:sz w:val="17"/>
          <w:szCs w:val="17"/>
          <w:color w:val="auto"/>
        </w:rPr>
        <w:t>”), on April 2, 2018, Broadcom Inc., a Delaware corporation (“</w:t>
      </w:r>
      <w:r>
        <w:rPr>
          <w:rFonts w:ascii="Arial" w:cs="Arial" w:eastAsia="Arial" w:hAnsi="Arial"/>
          <w:sz w:val="17"/>
          <w:szCs w:val="17"/>
          <w:u w:val="single" w:color="auto"/>
          <w:color w:val="auto"/>
        </w:rPr>
        <w:t>Broadcom-Delaware</w:t>
      </w:r>
      <w:r>
        <w:rPr>
          <w:rFonts w:ascii="Arial" w:cs="Arial" w:eastAsia="Arial" w:hAnsi="Arial"/>
          <w:sz w:val="17"/>
          <w:szCs w:val="17"/>
          <w:color w:val="auto"/>
        </w:rPr>
        <w:t>”) and Broadcom Limited, a public company limited by shares incorporated under the laws of the Republic of Singapore (“</w:t>
      </w:r>
      <w:r>
        <w:rPr>
          <w:rFonts w:ascii="Arial" w:cs="Arial" w:eastAsia="Arial" w:hAnsi="Arial"/>
          <w:sz w:val="17"/>
          <w:szCs w:val="17"/>
          <w:u w:val="single" w:color="auto"/>
          <w:color w:val="auto"/>
        </w:rPr>
        <w:t>Broadcom-Singapore</w:t>
      </w:r>
      <w:r>
        <w:rPr>
          <w:rFonts w:ascii="Arial" w:cs="Arial" w:eastAsia="Arial" w:hAnsi="Arial"/>
          <w:sz w:val="17"/>
          <w:szCs w:val="17"/>
          <w:color w:val="auto"/>
        </w:rPr>
        <w:t>”), received approval (the “</w:t>
      </w:r>
      <w:r>
        <w:rPr>
          <w:rFonts w:ascii="Arial" w:cs="Arial" w:eastAsia="Arial" w:hAnsi="Arial"/>
          <w:sz w:val="17"/>
          <w:szCs w:val="17"/>
          <w:u w:val="single" w:color="auto"/>
          <w:color w:val="auto"/>
        </w:rPr>
        <w:t>Court Approval Order</w:t>
      </w:r>
      <w:r>
        <w:rPr>
          <w:rFonts w:ascii="Arial" w:cs="Arial" w:eastAsia="Arial" w:hAnsi="Arial"/>
          <w:sz w:val="17"/>
          <w:szCs w:val="17"/>
          <w:color w:val="auto"/>
        </w:rPr>
        <w:t>”) from the High Court of the Republic of Singapore of a statutory scheme of arrangement under Singapore law (the “</w:t>
      </w:r>
      <w:r>
        <w:rPr>
          <w:rFonts w:ascii="Arial" w:cs="Arial" w:eastAsia="Arial" w:hAnsi="Arial"/>
          <w:sz w:val="17"/>
          <w:szCs w:val="17"/>
          <w:u w:val="single" w:color="auto"/>
          <w:color w:val="auto"/>
        </w:rPr>
        <w:t>Scheme of Arrangement</w:t>
      </w:r>
      <w:r>
        <w:rPr>
          <w:rFonts w:ascii="Arial" w:cs="Arial" w:eastAsia="Arial" w:hAnsi="Arial"/>
          <w:sz w:val="17"/>
          <w:szCs w:val="17"/>
          <w:color w:val="auto"/>
        </w:rPr>
        <w:t>”) previously approved by Broadcom-Singapore shareholders, and pursuant to which all issued ordinary shares in the capital of Broadcom-Singapore as of immediately prior to the effective time of the Scheme of Arrangement would be exchanged, on a one-for-one basis, for newly issued shares of common stock of Broadcom-Delaware.</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After the close of market trading on April 4, 2018, Broadcom-Singapore lodged the Court Approval Order with the Accounting and Corporate Regulatory Authority of Singapore, the Scheme of Arrangement became effective and binding on all shareholders of Broadcom-Singapore, and Broadcom-Singapore became a subsidiary of Broadcom-Delaware, thereby completing the Redomiciliation Transaction.</w:t>
      </w:r>
    </w:p>
    <w:p>
      <w:pPr>
        <w:spacing w:after="0" w:line="18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As part of the Redomiciliation Transaction and pursuant to an amendment to the Amended and Restated Limited Partnership Agreement of Broadcom Cayman L.P. (the “</w:t>
      </w:r>
      <w:r>
        <w:rPr>
          <w:rFonts w:ascii="Arial" w:cs="Arial" w:eastAsia="Arial" w:hAnsi="Arial"/>
          <w:sz w:val="17"/>
          <w:szCs w:val="17"/>
          <w:u w:val="single" w:color="auto"/>
          <w:color w:val="auto"/>
        </w:rPr>
        <w:t>Partnership</w:t>
      </w:r>
      <w:r>
        <w:rPr>
          <w:rFonts w:ascii="Arial" w:cs="Arial" w:eastAsia="Arial" w:hAnsi="Arial"/>
          <w:sz w:val="17"/>
          <w:szCs w:val="17"/>
          <w:color w:val="auto"/>
        </w:rPr>
        <w:t>” and such agreement, as amended, the “</w:t>
      </w:r>
      <w:r>
        <w:rPr>
          <w:rFonts w:ascii="Arial" w:cs="Arial" w:eastAsia="Arial" w:hAnsi="Arial"/>
          <w:sz w:val="17"/>
          <w:szCs w:val="17"/>
          <w:u w:val="single" w:color="auto"/>
          <w:color w:val="auto"/>
        </w:rPr>
        <w:t>Partnership Agreement</w:t>
      </w:r>
      <w:r>
        <w:rPr>
          <w:rFonts w:ascii="Arial" w:cs="Arial" w:eastAsia="Arial" w:hAnsi="Arial"/>
          <w:sz w:val="17"/>
          <w:szCs w:val="17"/>
          <w:color w:val="auto"/>
        </w:rPr>
        <w:t>”) which was executed on March 23, 2018 with the requisite consent of the limited partners party thereto, all outstanding exchangeable limited partnership units (the “</w:t>
      </w:r>
      <w:r>
        <w:rPr>
          <w:rFonts w:ascii="Arial" w:cs="Arial" w:eastAsia="Arial" w:hAnsi="Arial"/>
          <w:sz w:val="17"/>
          <w:szCs w:val="17"/>
          <w:u w:val="single" w:color="auto"/>
          <w:color w:val="auto"/>
        </w:rPr>
        <w:t>LP Units</w:t>
      </w:r>
      <w:r>
        <w:rPr>
          <w:rFonts w:ascii="Arial" w:cs="Arial" w:eastAsia="Arial" w:hAnsi="Arial"/>
          <w:sz w:val="17"/>
          <w:szCs w:val="17"/>
          <w:color w:val="auto"/>
        </w:rPr>
        <w:t>”) of the Partnership (other than any LP Units held by Broadcom-Singapore and its subsidiaries) were mandatorily exchanged (the “</w:t>
      </w:r>
      <w:r>
        <w:rPr>
          <w:rFonts w:ascii="Arial" w:cs="Arial" w:eastAsia="Arial" w:hAnsi="Arial"/>
          <w:sz w:val="17"/>
          <w:szCs w:val="17"/>
          <w:u w:val="single" w:color="auto"/>
          <w:color w:val="auto"/>
        </w:rPr>
        <w:t>Mandatory Exchange</w:t>
      </w:r>
      <w:r>
        <w:rPr>
          <w:rFonts w:ascii="Arial" w:cs="Arial" w:eastAsia="Arial" w:hAnsi="Arial"/>
          <w:sz w:val="17"/>
          <w:szCs w:val="17"/>
          <w:color w:val="auto"/>
        </w:rPr>
        <w:t>”) on a one-for-one basis for newly issued shares of common stock of Broadcom-Delaware immediately prior to the effective time of the Scheme of Arrangement. As a result, all outstanding limited partners of the Partnership have become common stockholders of Broadcom-Delaware. In addition, all related outstanding special preference shares in the capital of Broadcom-Singapore were automatically redeemed pursuant to Broadcom-Singapore’s governing documents upon the Mandatory Exchange of the LP Units.</w:t>
      </w:r>
    </w:p>
    <w:p>
      <w:pPr>
        <w:spacing w:after="0" w:line="17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Broadcom-Delaware common stock issued in exchange for Broadcom-Singapore ordinary shares pursuant to the Scheme of Arrangement was exempt from registration under Section 3(a)(10)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Please refer to the definitive proxy statement (the “</w:t>
      </w:r>
      <w:r>
        <w:rPr>
          <w:rFonts w:ascii="Arial" w:cs="Arial" w:eastAsia="Arial" w:hAnsi="Arial"/>
          <w:sz w:val="18"/>
          <w:szCs w:val="18"/>
          <w:u w:val="single" w:color="auto"/>
          <w:color w:val="auto"/>
        </w:rPr>
        <w:t>Redomiciliation Proxy Statement</w:t>
      </w:r>
      <w:r>
        <w:rPr>
          <w:rFonts w:ascii="Arial" w:cs="Arial" w:eastAsia="Arial" w:hAnsi="Arial"/>
          <w:sz w:val="18"/>
          <w:szCs w:val="18"/>
          <w:color w:val="auto"/>
        </w:rPr>
        <w:t>”) on Schedule 14A of Broadcom-Singapore filed on March 9, 2018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for additional information about the Redomiciliation Transaction.</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Prior to the Redomiciliation Transaction, Broadcom-Singapore’s ordinary shares were registered pursuant to Section 12(b)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listed on the NASDAQ Global Select Market (“</w:t>
      </w:r>
      <w:r>
        <w:rPr>
          <w:rFonts w:ascii="Arial" w:cs="Arial" w:eastAsia="Arial" w:hAnsi="Arial"/>
          <w:sz w:val="16"/>
          <w:szCs w:val="16"/>
          <w:u w:val="single" w:color="auto"/>
          <w:color w:val="auto"/>
        </w:rPr>
        <w:t>NASDAQ</w:t>
      </w:r>
      <w:r>
        <w:rPr>
          <w:rFonts w:ascii="Arial" w:cs="Arial" w:eastAsia="Arial" w:hAnsi="Arial"/>
          <w:sz w:val="16"/>
          <w:szCs w:val="16"/>
          <w:color w:val="auto"/>
        </w:rPr>
        <w:t>”). Broadcom-Singapore’s ordinary shares will be suspended from trading on NASDAQ prior to the open of trading on April 5, 2018, and Broadcom-Singapore has requested that NASDAQ file with the SEC an application on Form 25 to delist the Broadcom-Singapore ordinary shares from NASDAQ and from registration under Section 12(b) of the Exchange Act. Broadcom-Singapore expects to file a Form 15 with the SEC to terminate the registration under the Exchange Act of Broadcom-Singapore ordinary shares and suspend all of its reporting obligations under Sections 12(g) and 15(d) of the Exchange Act ten days after the date such Form 25 is filed.</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Rule 12g-3(a) under the Exchange Act, Broadcom-Delaware is the successor issuer to Broadcom-Singapore, Broadcom-Delaware’s common stock is deemed to be registered under Section 12(b) of the Exchange Act, and Broadcom-Delaware is subject to the periodic and current reporting requirements of the Exchange Act and the rules and regulations promulgated thereunder. Broadcom-Delaware hereby reports this succession in accordance with Rule 12g-3(f) under the Exchange Act. Broadcom-Delaware’s common stock will begin trading on NASDAQ at the start of trading on April 5, 2018 and will trade under the symbol “AVGO”, which is the same symbol under which Broadcom-Singapore ordinary shares previously traded. The CUSIP number for Broadcom-Delaware’s common stock is 11135F 101.</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prior to the Redomiciliation Transaction, the Partnership’s LP Units were registered pursuant to Section 12(g) of the Exchange Act due to the number of record holders of LP Units and, as a result, the Partnership was subject to the periodic and current reporting requirements of the Exchange Act and the rules and regulations promulgated thereunder. Subsequent to the Mandatory Exchange of LP Units, there is now only one beneficial owner of LP Units. Broadcom-Singapore expects to file (on behalf of the Partnership) a Form 15 with the SEC to terminate the registration under the Exchange Act of the LP Units and suspend all of the reporting obligations of the Partnership under Sections 12(g) and 15(d) of the Exchange Act on, or as promptly as reasonably practicable following, the date hereof.</w:t>
      </w:r>
    </w:p>
    <w:p>
      <w:pPr>
        <w:sectPr>
          <w:pgSz w:w="11900" w:h="16838" w:orient="portrait"/>
          <w:cols w:equalWidth="0" w:num="1">
            <w:col w:w="11380"/>
          </w:cols>
          <w:pgMar w:left="240" w:top="270" w:right="27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Introductory Note of this Current Report on Form 8-K is incorporated by reference into this Item 3.01.</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the Rights of Security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Introductory Note of this Current Report on Form 8-K is incorporated by reference into this Item 3.03.</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Introductory Note of this Current Report on Form 8-K is incorporated by reference into this Item 5.01.</w:t>
      </w:r>
    </w:p>
    <w:p>
      <w:pPr>
        <w:spacing w:after="0" w:line="370" w:lineRule="exact"/>
        <w:rPr>
          <w:sz w:val="20"/>
          <w:szCs w:val="20"/>
          <w:color w:val="auto"/>
        </w:rPr>
      </w:pPr>
    </w:p>
    <w:p>
      <w:pPr>
        <w:ind w:left="1140" w:right="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Departure of Directors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connection with the Redomiciliation Transaction and following the 2018 AGM (as defined below in Item 5.07), all directors of Broadcom-Singapore resigned as members of the Broadcom-Singapore board of directors with the exception of Hock E. Tan, Henry Samueli, Ph.D. and Check Kian Low.</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April 4, 2018, Broadcom-Singapore held its 2018 Annual General Meeting (“</w:t>
      </w:r>
      <w:r>
        <w:rPr>
          <w:rFonts w:ascii="Arial" w:cs="Arial" w:eastAsia="Arial" w:hAnsi="Arial"/>
          <w:sz w:val="18"/>
          <w:szCs w:val="18"/>
          <w:u w:val="single" w:color="auto"/>
          <w:color w:val="auto"/>
        </w:rPr>
        <w:t>2018 AGM</w:t>
      </w:r>
      <w:r>
        <w:rPr>
          <w:rFonts w:ascii="Arial" w:cs="Arial" w:eastAsia="Arial" w:hAnsi="Arial"/>
          <w:sz w:val="18"/>
          <w:szCs w:val="18"/>
          <w:color w:val="auto"/>
        </w:rPr>
        <w:t>”). Holders of Broadcom-Singapore’s ordinary shares and special preference shares, voting as a single class, voted on the following matters:</w:t>
      </w:r>
    </w:p>
    <w:p>
      <w:pPr>
        <w:spacing w:after="0" w:line="76"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10 members to Broadcom-Singapore’s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the re-appointment of PricewaterhouseCoopers LLP as Broadcom-Singapore’s independent registered public accounting firm and independent Singapore auditor for the fiscal year ending November 4, 2018 and to authorize the Audit Committee of the Board to fix its remuneration for services provided through Broadcom-Singapore’s 2019 Annual General Meeting of Shareholders (the “</w:t>
      </w:r>
      <w:r>
        <w:rPr>
          <w:rFonts w:ascii="Arial" w:cs="Arial" w:eastAsia="Arial" w:hAnsi="Arial"/>
          <w:sz w:val="16"/>
          <w:szCs w:val="16"/>
          <w:u w:val="single" w:color="auto"/>
          <w:color w:val="auto"/>
        </w:rPr>
        <w:t>2019 AGM</w:t>
      </w:r>
      <w:r>
        <w:rPr>
          <w:rFonts w:ascii="Arial" w:cs="Arial" w:eastAsia="Arial" w:hAnsi="Arial"/>
          <w:sz w:val="16"/>
          <w:szCs w:val="16"/>
          <w:color w:val="auto"/>
        </w:rPr>
        <w:t>”), as set forth in the notice of, and proxy statement relating to, Broadcom-Singapore’s Annual General Meeting (together, the “</w:t>
      </w:r>
      <w:r>
        <w:rPr>
          <w:rFonts w:ascii="Arial" w:cs="Arial" w:eastAsia="Arial" w:hAnsi="Arial"/>
          <w:sz w:val="16"/>
          <w:szCs w:val="16"/>
          <w:u w:val="single" w:color="auto"/>
          <w:color w:val="auto"/>
        </w:rPr>
        <w:t>Notice and Proxy Statement</w:t>
      </w:r>
      <w:r>
        <w:rPr>
          <w:rFonts w:ascii="Arial" w:cs="Arial" w:eastAsia="Arial" w:hAnsi="Arial"/>
          <w:sz w:val="16"/>
          <w:szCs w:val="16"/>
          <w:color w:val="auto"/>
        </w:rPr>
        <w:t>”) ;</w:t>
      </w:r>
    </w:p>
    <w:p>
      <w:pPr>
        <w:spacing w:after="0" w:line="2" w:lineRule="exact"/>
        <w:rPr>
          <w:rFonts w:ascii="Arial" w:cs="Arial" w:eastAsia="Arial" w:hAnsi="Arial"/>
          <w:sz w:val="16"/>
          <w:szCs w:val="16"/>
          <w:color w:val="auto"/>
        </w:rPr>
      </w:pPr>
    </w:p>
    <w:p>
      <w:pPr>
        <w:ind w:left="580" w:right="120" w:hanging="572"/>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general authorization for the directors of Broadcom-Singapore to allot and issue ordinary shares of Broadcom-Singapore, as set forth in the Notice and Proxy Statement;</w:t>
      </w:r>
    </w:p>
    <w:p>
      <w:pPr>
        <w:ind w:left="580" w:right="400" w:hanging="572"/>
        <w:spacing w:after="0" w:line="255"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Non-binding, advisory vote to approve the compensation of Broadcom-Singapore’s named executive officers, as disclosed in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Discussion and Analysis</w:t>
      </w:r>
      <w:r>
        <w:rPr>
          <w:rFonts w:ascii="Arial" w:cs="Arial" w:eastAsia="Arial" w:hAnsi="Arial"/>
          <w:sz w:val="18"/>
          <w:szCs w:val="18"/>
          <w:color w:val="auto"/>
        </w:rPr>
        <w:t>” and in the compensation table and accompanying narrative disclosure under “</w:t>
      </w:r>
      <w:r>
        <w:rPr>
          <w:rFonts w:ascii="Arial" w:cs="Arial" w:eastAsia="Arial" w:hAnsi="Arial"/>
          <w:sz w:val="18"/>
          <w:szCs w:val="18"/>
          <w:u w:val="single" w:color="auto"/>
          <w:color w:val="auto"/>
        </w:rPr>
        <w:t>Executive Compensation</w:t>
      </w:r>
      <w:r>
        <w:rPr>
          <w:rFonts w:ascii="Arial" w:cs="Arial" w:eastAsia="Arial" w:hAnsi="Arial"/>
          <w:sz w:val="18"/>
          <w:szCs w:val="18"/>
          <w:color w:val="auto"/>
        </w:rPr>
        <w:t>” in Broadcom-Singapore’s proxy statement relating to its 2018 AGM.</w:t>
      </w:r>
    </w:p>
    <w:p>
      <w:pPr>
        <w:sectPr>
          <w:pgSz w:w="11900" w:h="16838" w:orient="portrait"/>
          <w:cols w:equalWidth="0" w:num="1">
            <w:col w:w="11380"/>
          </w:cols>
          <w:pgMar w:left="240" w:top="270" w:right="27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each of these proposals a quorum was present. The votes cast in connection with such matters were as follows:</w:t>
      </w:r>
    </w:p>
    <w:p>
      <w:pPr>
        <w:spacing w:after="0" w:line="127"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Election of Directors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Name</w:t>
            </w:r>
          </w:p>
        </w:tc>
        <w:tc>
          <w:tcPr>
            <w:tcW w:w="26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For</w:t>
            </w:r>
          </w:p>
        </w:tc>
        <w:tc>
          <w:tcPr>
            <w:tcW w:w="12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Against</w:t>
            </w:r>
          </w:p>
        </w:tc>
        <w:tc>
          <w:tcPr>
            <w:tcW w:w="12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Abstain</w:t>
            </w:r>
          </w:p>
        </w:tc>
        <w:tc>
          <w:tcPr>
            <w:tcW w:w="1260" w:type="dxa"/>
            <w:vAlign w:val="bottom"/>
          </w:tcPr>
          <w:p>
            <w:pPr>
              <w:ind w:left="34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6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60" w:type="dxa"/>
            <w:vAlign w:val="bottom"/>
          </w:tcPr>
          <w:p>
            <w:pPr>
              <w:ind w:left="24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Hock E. Tan</w:t>
            </w:r>
          </w:p>
        </w:tc>
        <w:tc>
          <w:tcPr>
            <w:tcW w:w="2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359,409,828</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1,074,670</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278,968</w:t>
            </w:r>
          </w:p>
        </w:tc>
        <w:tc>
          <w:tcPr>
            <w:tcW w:w="1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24,490,134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4760" w:type="dxa"/>
            <w:vAlign w:val="bottom"/>
          </w:tcPr>
          <w:p>
            <w:pPr>
              <w:ind w:left="180"/>
              <w:spacing w:after="0"/>
              <w:rPr>
                <w:sz w:val="20"/>
                <w:szCs w:val="20"/>
                <w:color w:val="auto"/>
              </w:rPr>
            </w:pPr>
            <w:r>
              <w:rPr>
                <w:rFonts w:ascii="Arial" w:cs="Arial" w:eastAsia="Arial" w:hAnsi="Arial"/>
                <w:sz w:val="18"/>
                <w:szCs w:val="18"/>
                <w:color w:val="auto"/>
              </w:rPr>
              <w:t>James V. Diller</w:t>
            </w:r>
          </w:p>
        </w:tc>
        <w:tc>
          <w:tcPr>
            <w:tcW w:w="2620" w:type="dxa"/>
            <w:vAlign w:val="bottom"/>
          </w:tcPr>
          <w:p>
            <w:pPr>
              <w:jc w:val="right"/>
              <w:ind w:right="132"/>
              <w:spacing w:after="0"/>
              <w:rPr>
                <w:sz w:val="20"/>
                <w:szCs w:val="20"/>
                <w:color w:val="auto"/>
              </w:rPr>
            </w:pPr>
            <w:r>
              <w:rPr>
                <w:rFonts w:ascii="Arial" w:cs="Arial" w:eastAsia="Arial" w:hAnsi="Arial"/>
                <w:sz w:val="18"/>
                <w:szCs w:val="18"/>
                <w:color w:val="auto"/>
              </w:rPr>
              <w:t>343,973,973</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8,617,298</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8,172,195</w:t>
            </w:r>
          </w:p>
        </w:tc>
        <w:tc>
          <w:tcPr>
            <w:tcW w:w="1260" w:type="dxa"/>
            <w:vAlign w:val="bottom"/>
          </w:tcPr>
          <w:p>
            <w:pPr>
              <w:ind w:left="240"/>
              <w:spacing w:after="0"/>
              <w:rPr>
                <w:sz w:val="20"/>
                <w:szCs w:val="20"/>
                <w:color w:val="auto"/>
              </w:rPr>
            </w:pPr>
            <w:r>
              <w:rPr>
                <w:rFonts w:ascii="Arial" w:cs="Arial" w:eastAsia="Arial" w:hAnsi="Arial"/>
                <w:sz w:val="18"/>
                <w:szCs w:val="18"/>
                <w:color w:val="auto"/>
              </w:rPr>
              <w:t>24,490,134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Gayla J. Delly</w:t>
            </w:r>
          </w:p>
        </w:tc>
        <w:tc>
          <w:tcPr>
            <w:tcW w:w="2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360,297,702</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160,928</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304,836</w:t>
            </w:r>
          </w:p>
        </w:tc>
        <w:tc>
          <w:tcPr>
            <w:tcW w:w="1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24,490,134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4760" w:type="dxa"/>
            <w:vAlign w:val="bottom"/>
          </w:tcPr>
          <w:p>
            <w:pPr>
              <w:ind w:left="180"/>
              <w:spacing w:after="0"/>
              <w:rPr>
                <w:sz w:val="20"/>
                <w:szCs w:val="20"/>
                <w:color w:val="auto"/>
              </w:rPr>
            </w:pPr>
            <w:r>
              <w:rPr>
                <w:rFonts w:ascii="Arial" w:cs="Arial" w:eastAsia="Arial" w:hAnsi="Arial"/>
                <w:sz w:val="18"/>
                <w:szCs w:val="18"/>
                <w:color w:val="auto"/>
              </w:rPr>
              <w:t>Lewis C. Eggebrecht</w:t>
            </w:r>
          </w:p>
        </w:tc>
        <w:tc>
          <w:tcPr>
            <w:tcW w:w="2620" w:type="dxa"/>
            <w:vAlign w:val="bottom"/>
          </w:tcPr>
          <w:p>
            <w:pPr>
              <w:jc w:val="right"/>
              <w:ind w:right="132"/>
              <w:spacing w:after="0"/>
              <w:rPr>
                <w:sz w:val="20"/>
                <w:szCs w:val="20"/>
                <w:color w:val="auto"/>
              </w:rPr>
            </w:pPr>
            <w:r>
              <w:rPr>
                <w:rFonts w:ascii="Arial" w:cs="Arial" w:eastAsia="Arial" w:hAnsi="Arial"/>
                <w:sz w:val="18"/>
                <w:szCs w:val="18"/>
                <w:color w:val="auto"/>
              </w:rPr>
              <w:t>354,096,716</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5,909,296</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757,454</w:t>
            </w:r>
          </w:p>
        </w:tc>
        <w:tc>
          <w:tcPr>
            <w:tcW w:w="1260" w:type="dxa"/>
            <w:vAlign w:val="bottom"/>
          </w:tcPr>
          <w:p>
            <w:pPr>
              <w:ind w:left="240"/>
              <w:spacing w:after="0"/>
              <w:rPr>
                <w:sz w:val="20"/>
                <w:szCs w:val="20"/>
                <w:color w:val="auto"/>
              </w:rPr>
            </w:pPr>
            <w:r>
              <w:rPr>
                <w:rFonts w:ascii="Arial" w:cs="Arial" w:eastAsia="Arial" w:hAnsi="Arial"/>
                <w:sz w:val="18"/>
                <w:szCs w:val="18"/>
                <w:color w:val="auto"/>
              </w:rPr>
              <w:t>24,490,134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Kenneth Y. Hao</w:t>
            </w:r>
          </w:p>
        </w:tc>
        <w:tc>
          <w:tcPr>
            <w:tcW w:w="2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358,433,836</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2,023,499</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306,131</w:t>
            </w:r>
          </w:p>
        </w:tc>
        <w:tc>
          <w:tcPr>
            <w:tcW w:w="1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24,490,134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(f)</w:t>
            </w:r>
          </w:p>
        </w:tc>
        <w:tc>
          <w:tcPr>
            <w:tcW w:w="4760" w:type="dxa"/>
            <w:vAlign w:val="bottom"/>
          </w:tcPr>
          <w:p>
            <w:pPr>
              <w:ind w:left="180"/>
              <w:spacing w:after="0"/>
              <w:rPr>
                <w:sz w:val="20"/>
                <w:szCs w:val="20"/>
                <w:color w:val="auto"/>
              </w:rPr>
            </w:pPr>
            <w:r>
              <w:rPr>
                <w:rFonts w:ascii="Arial" w:cs="Arial" w:eastAsia="Arial" w:hAnsi="Arial"/>
                <w:sz w:val="18"/>
                <w:szCs w:val="18"/>
                <w:color w:val="auto"/>
              </w:rPr>
              <w:t>Eddy Hartenstein</w:t>
            </w:r>
          </w:p>
        </w:tc>
        <w:tc>
          <w:tcPr>
            <w:tcW w:w="2620" w:type="dxa"/>
            <w:vAlign w:val="bottom"/>
          </w:tcPr>
          <w:p>
            <w:pPr>
              <w:jc w:val="right"/>
              <w:ind w:right="132"/>
              <w:spacing w:after="0"/>
              <w:rPr>
                <w:sz w:val="20"/>
                <w:szCs w:val="20"/>
                <w:color w:val="auto"/>
              </w:rPr>
            </w:pPr>
            <w:r>
              <w:rPr>
                <w:rFonts w:ascii="Arial" w:cs="Arial" w:eastAsia="Arial" w:hAnsi="Arial"/>
                <w:sz w:val="18"/>
                <w:szCs w:val="18"/>
                <w:color w:val="auto"/>
              </w:rPr>
              <w:t>351,904,568</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7,915,587</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943,311</w:t>
            </w:r>
          </w:p>
        </w:tc>
        <w:tc>
          <w:tcPr>
            <w:tcW w:w="1260" w:type="dxa"/>
            <w:vAlign w:val="bottom"/>
          </w:tcPr>
          <w:p>
            <w:pPr>
              <w:ind w:left="240"/>
              <w:spacing w:after="0"/>
              <w:rPr>
                <w:sz w:val="20"/>
                <w:szCs w:val="20"/>
                <w:color w:val="auto"/>
              </w:rPr>
            </w:pPr>
            <w:r>
              <w:rPr>
                <w:rFonts w:ascii="Arial" w:cs="Arial" w:eastAsia="Arial" w:hAnsi="Arial"/>
                <w:sz w:val="18"/>
                <w:szCs w:val="18"/>
                <w:color w:val="auto"/>
              </w:rPr>
              <w:t>24,490,134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(g)</w:t>
            </w: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Check Kian Low</w:t>
            </w:r>
          </w:p>
        </w:tc>
        <w:tc>
          <w:tcPr>
            <w:tcW w:w="2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358,549,054</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1,455,990</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758,422</w:t>
            </w:r>
          </w:p>
        </w:tc>
        <w:tc>
          <w:tcPr>
            <w:tcW w:w="1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24,490,134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(h)</w:t>
            </w:r>
          </w:p>
        </w:tc>
        <w:tc>
          <w:tcPr>
            <w:tcW w:w="4760" w:type="dxa"/>
            <w:vAlign w:val="bottom"/>
          </w:tcPr>
          <w:p>
            <w:pPr>
              <w:ind w:left="180"/>
              <w:spacing w:after="0"/>
              <w:rPr>
                <w:sz w:val="20"/>
                <w:szCs w:val="20"/>
                <w:color w:val="auto"/>
              </w:rPr>
            </w:pPr>
            <w:r>
              <w:rPr>
                <w:rFonts w:ascii="Arial" w:cs="Arial" w:eastAsia="Arial" w:hAnsi="Arial"/>
                <w:sz w:val="18"/>
                <w:szCs w:val="18"/>
                <w:color w:val="auto"/>
              </w:rPr>
              <w:t>Donald Macleod</w:t>
            </w:r>
          </w:p>
        </w:tc>
        <w:tc>
          <w:tcPr>
            <w:tcW w:w="2620" w:type="dxa"/>
            <w:vAlign w:val="bottom"/>
          </w:tcPr>
          <w:p>
            <w:pPr>
              <w:jc w:val="right"/>
              <w:ind w:right="132"/>
              <w:spacing w:after="0"/>
              <w:rPr>
                <w:sz w:val="20"/>
                <w:szCs w:val="20"/>
                <w:color w:val="auto"/>
              </w:rPr>
            </w:pPr>
            <w:r>
              <w:rPr>
                <w:rFonts w:ascii="Arial" w:cs="Arial" w:eastAsia="Arial" w:hAnsi="Arial"/>
                <w:sz w:val="18"/>
                <w:szCs w:val="18"/>
                <w:color w:val="auto"/>
              </w:rPr>
              <w:t>354,122,536</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5,886,404</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754,526</w:t>
            </w:r>
          </w:p>
        </w:tc>
        <w:tc>
          <w:tcPr>
            <w:tcW w:w="1260" w:type="dxa"/>
            <w:vAlign w:val="bottom"/>
          </w:tcPr>
          <w:p>
            <w:pPr>
              <w:ind w:left="240"/>
              <w:spacing w:after="0"/>
              <w:rPr>
                <w:sz w:val="20"/>
                <w:szCs w:val="20"/>
                <w:color w:val="auto"/>
              </w:rPr>
            </w:pPr>
            <w:r>
              <w:rPr>
                <w:rFonts w:ascii="Arial" w:cs="Arial" w:eastAsia="Arial" w:hAnsi="Arial"/>
                <w:sz w:val="18"/>
                <w:szCs w:val="18"/>
                <w:color w:val="auto"/>
              </w:rPr>
              <w:t>24,490,134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Peter J. Marks</w:t>
            </w:r>
          </w:p>
        </w:tc>
        <w:tc>
          <w:tcPr>
            <w:tcW w:w="2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358,554,586</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1,452,526</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756,354</w:t>
            </w:r>
          </w:p>
        </w:tc>
        <w:tc>
          <w:tcPr>
            <w:tcW w:w="1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24,490,134</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(j)</w:t>
            </w:r>
          </w:p>
        </w:tc>
        <w:tc>
          <w:tcPr>
            <w:tcW w:w="4760" w:type="dxa"/>
            <w:vAlign w:val="bottom"/>
          </w:tcPr>
          <w:p>
            <w:pPr>
              <w:ind w:left="180"/>
              <w:spacing w:after="0"/>
              <w:rPr>
                <w:sz w:val="20"/>
                <w:szCs w:val="20"/>
                <w:color w:val="auto"/>
              </w:rPr>
            </w:pPr>
            <w:r>
              <w:rPr>
                <w:rFonts w:ascii="Arial" w:cs="Arial" w:eastAsia="Arial" w:hAnsi="Arial"/>
                <w:sz w:val="18"/>
                <w:szCs w:val="18"/>
                <w:color w:val="auto"/>
              </w:rPr>
              <w:t>Henry S. Samueli</w:t>
            </w:r>
          </w:p>
        </w:tc>
        <w:tc>
          <w:tcPr>
            <w:tcW w:w="2620" w:type="dxa"/>
            <w:vAlign w:val="bottom"/>
          </w:tcPr>
          <w:p>
            <w:pPr>
              <w:jc w:val="right"/>
              <w:ind w:right="132"/>
              <w:spacing w:after="0"/>
              <w:rPr>
                <w:sz w:val="20"/>
                <w:szCs w:val="20"/>
                <w:color w:val="auto"/>
              </w:rPr>
            </w:pPr>
            <w:r>
              <w:rPr>
                <w:rFonts w:ascii="Arial" w:cs="Arial" w:eastAsia="Arial" w:hAnsi="Arial"/>
                <w:sz w:val="18"/>
                <w:szCs w:val="18"/>
                <w:color w:val="auto"/>
              </w:rPr>
              <w:t>359,003,547</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1,460,303</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299,616</w:t>
            </w:r>
          </w:p>
        </w:tc>
        <w:tc>
          <w:tcPr>
            <w:tcW w:w="1260" w:type="dxa"/>
            <w:vAlign w:val="bottom"/>
          </w:tcPr>
          <w:p>
            <w:pPr>
              <w:ind w:left="240"/>
              <w:spacing w:after="0"/>
              <w:rPr>
                <w:sz w:val="20"/>
                <w:szCs w:val="20"/>
                <w:color w:val="auto"/>
              </w:rPr>
            </w:pPr>
            <w:r>
              <w:rPr>
                <w:rFonts w:ascii="Arial" w:cs="Arial" w:eastAsia="Arial" w:hAnsi="Arial"/>
                <w:sz w:val="18"/>
                <w:szCs w:val="18"/>
                <w:color w:val="auto"/>
              </w:rPr>
              <w:t>24,490,134</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Re-appointment of PricewaterhouseCoopers LLP</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vMerge w:val="restart"/>
          </w:tcPr>
          <w:p>
            <w:pPr>
              <w:jc w:val="right"/>
              <w:ind w:right="1739"/>
              <w:spacing w:after="0"/>
              <w:rPr>
                <w:sz w:val="20"/>
                <w:szCs w:val="20"/>
                <w:color w:val="auto"/>
              </w:rPr>
            </w:pPr>
            <w:r>
              <w:rPr>
                <w:rFonts w:ascii="Arial" w:cs="Arial" w:eastAsia="Arial" w:hAnsi="Arial"/>
                <w:sz w:val="14"/>
                <w:szCs w:val="14"/>
                <w:b w:val="1"/>
                <w:bCs w:val="1"/>
                <w:color w:val="auto"/>
              </w:rPr>
              <w:t>For</w:t>
            </w:r>
          </w:p>
        </w:tc>
        <w:tc>
          <w:tcPr>
            <w:tcW w:w="3500" w:type="dxa"/>
            <w:vAlign w:val="bottom"/>
            <w:vMerge w:val="restart"/>
          </w:tcPr>
          <w:p>
            <w:pPr>
              <w:jc w:val="right"/>
              <w:ind w:right="1499"/>
              <w:spacing w:after="0"/>
              <w:rPr>
                <w:sz w:val="20"/>
                <w:szCs w:val="20"/>
                <w:color w:val="auto"/>
              </w:rPr>
            </w:pPr>
            <w:r>
              <w:rPr>
                <w:rFonts w:ascii="Arial" w:cs="Arial" w:eastAsia="Arial" w:hAnsi="Arial"/>
                <w:sz w:val="14"/>
                <w:szCs w:val="14"/>
                <w:b w:val="1"/>
                <w:bCs w:val="1"/>
                <w:color w:val="auto"/>
              </w:rPr>
              <w:t>Against</w:t>
            </w:r>
          </w:p>
        </w:tc>
        <w:tc>
          <w:tcPr>
            <w:tcW w:w="336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Abstain</w:t>
            </w:r>
          </w:p>
        </w:tc>
        <w:tc>
          <w:tcPr>
            <w:tcW w:w="2100" w:type="dxa"/>
            <w:vAlign w:val="bottom"/>
          </w:tcPr>
          <w:p>
            <w:pPr>
              <w:jc w:val="center"/>
              <w:ind w:left="1182"/>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2460" w:type="dxa"/>
            <w:vAlign w:val="bottom"/>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2100" w:type="dxa"/>
            <w:vAlign w:val="bottom"/>
          </w:tcPr>
          <w:p>
            <w:pPr>
              <w:jc w:val="center"/>
              <w:ind w:left="1182"/>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1339"/>
              <w:spacing w:after="0"/>
              <w:rPr>
                <w:sz w:val="20"/>
                <w:szCs w:val="20"/>
                <w:color w:val="auto"/>
              </w:rPr>
            </w:pPr>
            <w:r>
              <w:rPr>
                <w:rFonts w:ascii="Arial" w:cs="Arial" w:eastAsia="Arial" w:hAnsi="Arial"/>
                <w:sz w:val="18"/>
                <w:szCs w:val="18"/>
                <w:color w:val="auto"/>
              </w:rPr>
              <w:t>380,622,791</w:t>
            </w:r>
          </w:p>
        </w:tc>
        <w:tc>
          <w:tcPr>
            <w:tcW w:w="3500" w:type="dxa"/>
            <w:vAlign w:val="bottom"/>
            <w:shd w:val="clear" w:color="auto" w:fill="CCEEFF"/>
          </w:tcPr>
          <w:p>
            <w:pPr>
              <w:jc w:val="right"/>
              <w:ind w:right="1299"/>
              <w:spacing w:after="0"/>
              <w:rPr>
                <w:sz w:val="20"/>
                <w:szCs w:val="20"/>
                <w:color w:val="auto"/>
              </w:rPr>
            </w:pPr>
            <w:r>
              <w:rPr>
                <w:rFonts w:ascii="Arial" w:cs="Arial" w:eastAsia="Arial" w:hAnsi="Arial"/>
                <w:sz w:val="18"/>
                <w:szCs w:val="18"/>
                <w:color w:val="auto"/>
              </w:rPr>
              <w:t>4,252,864</w:t>
            </w:r>
          </w:p>
        </w:tc>
        <w:tc>
          <w:tcPr>
            <w:tcW w:w="33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377,945</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Approval of General Authorization for Directors to Issue Shares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80" w:type="dxa"/>
            <w:vAlign w:val="bottom"/>
          </w:tcPr>
          <w:p>
            <w:pPr>
              <w:jc w:val="center"/>
              <w:ind w:left="1222"/>
              <w:spacing w:after="0"/>
              <w:rPr>
                <w:sz w:val="20"/>
                <w:szCs w:val="20"/>
                <w:color w:val="auto"/>
              </w:rPr>
            </w:pPr>
            <w:r>
              <w:rPr>
                <w:rFonts w:ascii="Arial" w:cs="Arial" w:eastAsia="Arial" w:hAnsi="Arial"/>
                <w:sz w:val="14"/>
                <w:szCs w:val="14"/>
                <w:b w:val="1"/>
                <w:bCs w:val="1"/>
                <w:color w:val="auto"/>
                <w:w w:val="92"/>
              </w:rPr>
              <w:t>Broker</w:t>
            </w:r>
          </w:p>
        </w:tc>
      </w:tr>
      <w:tr>
        <w:trPr>
          <w:trHeight w:val="185"/>
        </w:trPr>
        <w:tc>
          <w:tcPr>
            <w:tcW w:w="2400" w:type="dxa"/>
            <w:vAlign w:val="bottom"/>
          </w:tcPr>
          <w:p>
            <w:pPr>
              <w:jc w:val="center"/>
              <w:ind w:right="1219"/>
              <w:spacing w:after="0"/>
              <w:rPr>
                <w:sz w:val="20"/>
                <w:szCs w:val="20"/>
                <w:color w:val="auto"/>
              </w:rPr>
            </w:pPr>
            <w:r>
              <w:rPr>
                <w:rFonts w:ascii="Arial" w:cs="Arial" w:eastAsia="Arial" w:hAnsi="Arial"/>
                <w:sz w:val="14"/>
                <w:szCs w:val="14"/>
                <w:b w:val="1"/>
                <w:bCs w:val="1"/>
                <w:color w:val="auto"/>
                <w:w w:val="97"/>
              </w:rPr>
              <w:t>For</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2080" w:type="dxa"/>
            <w:vAlign w:val="bottom"/>
          </w:tcPr>
          <w:p>
            <w:pPr>
              <w:jc w:val="center"/>
              <w:ind w:left="1222"/>
              <w:spacing w:after="0"/>
              <w:rPr>
                <w:sz w:val="20"/>
                <w:szCs w:val="20"/>
                <w:color w:val="auto"/>
              </w:rPr>
            </w:pPr>
            <w:r>
              <w:rPr>
                <w:rFonts w:ascii="Arial" w:cs="Arial" w:eastAsia="Arial" w:hAnsi="Arial"/>
                <w:sz w:val="14"/>
                <w:szCs w:val="14"/>
                <w:b w:val="1"/>
                <w:bCs w:val="1"/>
                <w:color w:val="auto"/>
                <w:w w:val="88"/>
              </w:rPr>
              <w:t>Non-Votes</w:t>
            </w:r>
          </w:p>
        </w:tc>
      </w:tr>
      <w:tr>
        <w:trPr>
          <w:trHeight w:val="216"/>
        </w:trPr>
        <w:tc>
          <w:tcPr>
            <w:tcW w:w="2400" w:type="dxa"/>
            <w:vAlign w:val="bottom"/>
            <w:shd w:val="clear" w:color="auto" w:fill="CCEEFF"/>
          </w:tcPr>
          <w:p>
            <w:pPr>
              <w:jc w:val="right"/>
              <w:ind w:right="1319"/>
              <w:spacing w:after="0"/>
              <w:rPr>
                <w:sz w:val="20"/>
                <w:szCs w:val="20"/>
                <w:color w:val="auto"/>
              </w:rPr>
            </w:pPr>
            <w:r>
              <w:rPr>
                <w:rFonts w:ascii="Arial" w:cs="Arial" w:eastAsia="Arial" w:hAnsi="Arial"/>
                <w:sz w:val="18"/>
                <w:szCs w:val="18"/>
                <w:color w:val="auto"/>
                <w:w w:val="97"/>
              </w:rPr>
              <w:t>366,513,316</w:t>
            </w:r>
          </w:p>
        </w:tc>
        <w:tc>
          <w:tcPr>
            <w:tcW w:w="3580" w:type="dxa"/>
            <w:vAlign w:val="bottom"/>
            <w:shd w:val="clear" w:color="auto" w:fill="CCEEFF"/>
          </w:tcPr>
          <w:p>
            <w:pPr>
              <w:jc w:val="right"/>
              <w:ind w:right="1299"/>
              <w:spacing w:after="0"/>
              <w:rPr>
                <w:sz w:val="20"/>
                <w:szCs w:val="20"/>
                <w:color w:val="auto"/>
              </w:rPr>
            </w:pPr>
            <w:r>
              <w:rPr>
                <w:rFonts w:ascii="Arial" w:cs="Arial" w:eastAsia="Arial" w:hAnsi="Arial"/>
                <w:sz w:val="18"/>
                <w:szCs w:val="18"/>
                <w:color w:val="auto"/>
              </w:rPr>
              <w:t>18,382,877</w:t>
            </w:r>
          </w:p>
        </w:tc>
        <w:tc>
          <w:tcPr>
            <w:tcW w:w="3360" w:type="dxa"/>
            <w:vAlign w:val="bottom"/>
            <w:shd w:val="clear" w:color="auto" w:fill="CCEEFF"/>
          </w:tcPr>
          <w:p>
            <w:pPr>
              <w:jc w:val="right"/>
              <w:ind w:right="1299"/>
              <w:spacing w:after="0"/>
              <w:rPr>
                <w:sz w:val="20"/>
                <w:szCs w:val="20"/>
                <w:color w:val="auto"/>
              </w:rPr>
            </w:pPr>
            <w:r>
              <w:rPr>
                <w:rFonts w:ascii="Arial" w:cs="Arial" w:eastAsia="Arial" w:hAnsi="Arial"/>
                <w:sz w:val="18"/>
                <w:szCs w:val="18"/>
                <w:color w:val="auto"/>
              </w:rPr>
              <w:t>357,407</w:t>
            </w:r>
          </w:p>
        </w:tc>
        <w:tc>
          <w:tcPr>
            <w:tcW w:w="2080" w:type="dxa"/>
            <w:vAlign w:val="bottom"/>
            <w:shd w:val="clear" w:color="auto" w:fill="CCEEFF"/>
          </w:tcPr>
          <w:p>
            <w:pPr>
              <w:jc w:val="center"/>
              <w:ind w:left="1222"/>
              <w:spacing w:after="0"/>
              <w:rPr>
                <w:sz w:val="20"/>
                <w:szCs w:val="20"/>
                <w:color w:val="auto"/>
              </w:rPr>
            </w:pPr>
            <w:r>
              <w:rPr>
                <w:rFonts w:ascii="Arial" w:cs="Arial" w:eastAsia="Arial" w:hAnsi="Arial"/>
                <w:sz w:val="18"/>
                <w:szCs w:val="18"/>
                <w:color w:val="auto"/>
                <w:w w:val="99"/>
              </w:rPr>
              <w:t>0</w:t>
            </w:r>
          </w:p>
        </w:tc>
      </w:tr>
    </w:tbl>
    <w:p>
      <w:pPr>
        <w:spacing w:after="0" w:line="103"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Non-binding Advisory Vote to Approve Named Executive Compensation</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jc w:val="right"/>
              <w:ind w:right="1719"/>
              <w:spacing w:after="0"/>
              <w:rPr>
                <w:sz w:val="20"/>
                <w:szCs w:val="20"/>
                <w:color w:val="auto"/>
              </w:rPr>
            </w:pPr>
            <w:r>
              <w:rPr>
                <w:rFonts w:ascii="Arial" w:cs="Arial" w:eastAsia="Arial" w:hAnsi="Arial"/>
                <w:sz w:val="14"/>
                <w:szCs w:val="14"/>
                <w:b w:val="1"/>
                <w:bCs w:val="1"/>
                <w:color w:val="auto"/>
              </w:rPr>
              <w:t>For</w:t>
            </w:r>
          </w:p>
        </w:tc>
        <w:tc>
          <w:tcPr>
            <w:tcW w:w="3480" w:type="dxa"/>
            <w:vAlign w:val="bottom"/>
            <w:vMerge w:val="restart"/>
          </w:tcPr>
          <w:p>
            <w:pPr>
              <w:jc w:val="right"/>
              <w:ind w:right="1539"/>
              <w:spacing w:after="0"/>
              <w:rPr>
                <w:sz w:val="20"/>
                <w:szCs w:val="20"/>
                <w:color w:val="auto"/>
              </w:rPr>
            </w:pPr>
            <w:r>
              <w:rPr>
                <w:rFonts w:ascii="Arial" w:cs="Arial" w:eastAsia="Arial" w:hAnsi="Arial"/>
                <w:sz w:val="14"/>
                <w:szCs w:val="14"/>
                <w:b w:val="1"/>
                <w:bCs w:val="1"/>
                <w:color w:val="auto"/>
              </w:rPr>
              <w:t>Against</w:t>
            </w:r>
          </w:p>
        </w:tc>
        <w:tc>
          <w:tcPr>
            <w:tcW w:w="3200" w:type="dxa"/>
            <w:vAlign w:val="bottom"/>
            <w:vMerge w:val="restart"/>
          </w:tcPr>
          <w:p>
            <w:pPr>
              <w:jc w:val="right"/>
              <w:ind w:right="1379"/>
              <w:spacing w:after="0"/>
              <w:rPr>
                <w:sz w:val="20"/>
                <w:szCs w:val="20"/>
                <w:color w:val="auto"/>
              </w:rPr>
            </w:pPr>
            <w:r>
              <w:rPr>
                <w:rFonts w:ascii="Arial" w:cs="Arial" w:eastAsia="Arial" w:hAnsi="Arial"/>
                <w:sz w:val="14"/>
                <w:szCs w:val="14"/>
                <w:b w:val="1"/>
                <w:bCs w:val="1"/>
                <w:color w:val="auto"/>
              </w:rPr>
              <w:t>Abstain</w:t>
            </w:r>
          </w:p>
        </w:tc>
        <w:tc>
          <w:tcPr>
            <w:tcW w:w="2220" w:type="dxa"/>
            <w:vAlign w:val="bottom"/>
          </w:tcPr>
          <w:p>
            <w:pPr>
              <w:jc w:val="center"/>
              <w:ind w:left="902"/>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2520" w:type="dxa"/>
            <w:vAlign w:val="bottom"/>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2220" w:type="dxa"/>
            <w:vAlign w:val="bottom"/>
          </w:tcPr>
          <w:p>
            <w:pPr>
              <w:jc w:val="center"/>
              <w:ind w:left="902"/>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1239"/>
              <w:spacing w:after="0"/>
              <w:rPr>
                <w:sz w:val="20"/>
                <w:szCs w:val="20"/>
                <w:color w:val="auto"/>
              </w:rPr>
            </w:pPr>
            <w:r>
              <w:rPr>
                <w:rFonts w:ascii="Arial" w:cs="Arial" w:eastAsia="Arial" w:hAnsi="Arial"/>
                <w:sz w:val="18"/>
                <w:szCs w:val="18"/>
                <w:color w:val="auto"/>
              </w:rPr>
              <w:t>224,613,068</w:t>
            </w:r>
          </w:p>
        </w:tc>
        <w:tc>
          <w:tcPr>
            <w:tcW w:w="3480" w:type="dxa"/>
            <w:vAlign w:val="bottom"/>
            <w:shd w:val="clear" w:color="auto" w:fill="CCEEFF"/>
          </w:tcPr>
          <w:p>
            <w:pPr>
              <w:jc w:val="right"/>
              <w:ind w:right="1179"/>
              <w:spacing w:after="0"/>
              <w:rPr>
                <w:sz w:val="20"/>
                <w:szCs w:val="20"/>
                <w:color w:val="auto"/>
              </w:rPr>
            </w:pPr>
            <w:r>
              <w:rPr>
                <w:rFonts w:ascii="Arial" w:cs="Arial" w:eastAsia="Arial" w:hAnsi="Arial"/>
                <w:sz w:val="18"/>
                <w:szCs w:val="18"/>
                <w:color w:val="auto"/>
              </w:rPr>
              <w:t>135,711,236</w:t>
            </w:r>
          </w:p>
        </w:tc>
        <w:tc>
          <w:tcPr>
            <w:tcW w:w="3200" w:type="dxa"/>
            <w:vAlign w:val="bottom"/>
            <w:shd w:val="clear" w:color="auto" w:fill="CCEEFF"/>
          </w:tcPr>
          <w:p>
            <w:pPr>
              <w:jc w:val="right"/>
              <w:ind w:right="1219"/>
              <w:spacing w:after="0"/>
              <w:rPr>
                <w:sz w:val="20"/>
                <w:szCs w:val="20"/>
                <w:color w:val="auto"/>
              </w:rPr>
            </w:pPr>
            <w:r>
              <w:rPr>
                <w:rFonts w:ascii="Arial" w:cs="Arial" w:eastAsia="Arial" w:hAnsi="Arial"/>
                <w:sz w:val="18"/>
                <w:szCs w:val="18"/>
                <w:color w:val="auto"/>
              </w:rPr>
              <w:t>439,162</w:t>
            </w:r>
          </w:p>
        </w:tc>
        <w:tc>
          <w:tcPr>
            <w:tcW w:w="2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24,490,134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director nominees was elected and each of proposals 2-4 was approved by Broadcom-Singapore’s shareholders.</w:t>
      </w:r>
    </w:p>
    <w:p>
      <w:pPr>
        <w:sectPr>
          <w:pgSz w:w="11900" w:h="16838" w:orient="portrait"/>
          <w:cols w:equalWidth="0" w:num="1">
            <w:col w:w="11420"/>
          </w:cols>
          <w:pgMar w:left="240" w:top="274" w:right="239" w:bottom="1440" w:gutter="0" w:footer="0" w:header="0"/>
        </w:sectPr>
      </w:pPr>
    </w:p>
    <w:bookmarkStart w:id="4" w:name="page5"/>
    <w:bookmarkEnd w:id="4"/>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740"/>
          </w:cols>
          <w:pgMar w:left="240" w:top="270"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Date: April 4, 2018</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Date: April 4, 2018</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Broadcom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H. Krause,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ind w:right="1720"/>
        <w:spacing w:after="0" w:line="282" w:lineRule="auto"/>
        <w:rPr>
          <w:sz w:val="20"/>
          <w:szCs w:val="20"/>
          <w:color w:val="auto"/>
        </w:rPr>
      </w:pPr>
      <w:r>
        <w:rPr>
          <w:rFonts w:ascii="Arial" w:cs="Arial" w:eastAsia="Arial" w:hAnsi="Arial"/>
          <w:sz w:val="18"/>
          <w:szCs w:val="18"/>
          <w:b w:val="1"/>
          <w:bCs w:val="1"/>
          <w:color w:val="auto"/>
        </w:rPr>
        <w:t>Broadcom Cayman L.P., by its general partner Broadcom Limited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H. Krause,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2">
        <w:col w:w="5740" w:space="320"/>
        <w:col w:w="4680"/>
      </w:cols>
      <w:pgMar w:left="240" w:top="270" w:right="9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2019-12-08T12:58:07Z</dcterms:created>
  <dcterms:modified xsi:type="dcterms:W3CDTF">2019-12-08T12:58:07Z</dcterms:modified>
</cp:coreProperties>
</file>