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75021.xml.htm"/>
      <w:bookmarkStart w:id="1" w:name="kswkform4_1784075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Brazeal Mark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BROADCOM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3421 HILLVIEW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Broadcom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Corp Affairs Ofc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5"/>
        <w:gridCol w:w="912"/>
        <w:gridCol w:w="782"/>
        <w:gridCol w:w="606"/>
        <w:gridCol w:w="343"/>
        <w:gridCol w:w="962"/>
        <w:gridCol w:w="432"/>
        <w:gridCol w:w="982"/>
        <w:gridCol w:w="1165"/>
        <w:gridCol w:w="97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$0.001 par value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401.329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194,989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prices reported in column 4 above reflect the weighted average sale price per share. The Reporting Person hereby undertakes to provide the SEC staff, the Issuer or a security holder of the Issuer, upon request, full information regarding the number of shares sold at each respective price within the ranges set forth in the following footnotes.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Transaction executed in multiple trades at prices ranging from $401.22 to $401.47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123,750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Matteson, Attorney-in-Fact for Mark Brazeal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720" TargetMode="External"/><Relationship Id="rId5" Type="http://schemas.openxmlformats.org/officeDocument/2006/relationships/hyperlink" Target="http://www.sec.gov/cgi-bin/browse-edgar?action=getcompany&amp;CIK=00017301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651</Words>
  <Characters>3530</Characters>
  <CharactersWithSpaces>4120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