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Registration No. 333-221654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333-215291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333-209331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POST-EFFECTIVE AMENDMENT NO. 1 TO FORM S-8 REGISTRATION STATEMENT NO. 333-221654</w:t>
      </w:r>
    </w:p>
    <w:p>
      <w:pPr>
        <w:spacing w:after="0" w:line="27"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POST-EFFECTIVE AMENDMENT NO. 1 TO FORM S-8 REGISTRATION STATEMENT NO. 333-215291</w:t>
      </w:r>
    </w:p>
    <w:p>
      <w:pPr>
        <w:spacing w:after="0" w:line="9"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POST-EFFECTIVE AMENDMENT NO. 1 TO FORM S-8 REGISTRATION STATEMENT NO. 333-209331</w:t>
      </w:r>
    </w:p>
    <w:p>
      <w:pPr>
        <w:jc w:val="center"/>
        <w:spacing w:after="0" w:line="236" w:lineRule="auto"/>
        <w:rPr>
          <w:sz w:val="20"/>
          <w:szCs w:val="20"/>
          <w:color w:val="auto"/>
        </w:rPr>
      </w:pPr>
      <w:r>
        <w:rPr>
          <w:rFonts w:ascii="Arial" w:cs="Arial" w:eastAsia="Arial" w:hAnsi="Arial"/>
          <w:sz w:val="22"/>
          <w:szCs w:val="22"/>
          <w:b w:val="1"/>
          <w:bCs w:val="1"/>
          <w:i w:val="1"/>
          <w:iCs w:val="1"/>
          <w:color w:val="auto"/>
        </w:rPr>
        <w:t>UNDER</w:t>
      </w: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BROADCOM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920" w:type="dxa"/>
        <w:tblCellMar>
          <w:top w:w="0" w:type="dxa"/>
          <w:left w:w="0" w:type="dxa"/>
          <w:bottom w:w="0" w:type="dxa"/>
          <w:right w:w="0" w:type="dxa"/>
        </w:tblCellMar>
      </w:tblPr>
      <w:tr>
        <w:trPr>
          <w:trHeight w:val="212"/>
        </w:trPr>
        <w:tc>
          <w:tcPr>
            <w:tcW w:w="5980" w:type="dxa"/>
            <w:vAlign w:val="bottom"/>
            <w:gridSpan w:val="3"/>
          </w:tcPr>
          <w:p>
            <w:pPr>
              <w:jc w:val="center"/>
              <w:ind w:right="4040"/>
              <w:spacing w:after="0"/>
              <w:rPr>
                <w:sz w:val="20"/>
                <w:szCs w:val="20"/>
                <w:color w:val="auto"/>
              </w:rPr>
            </w:pPr>
            <w:r>
              <w:rPr>
                <w:rFonts w:ascii="Arial" w:cs="Arial" w:eastAsia="Arial" w:hAnsi="Arial"/>
                <w:sz w:val="18"/>
                <w:szCs w:val="18"/>
                <w:b w:val="1"/>
                <w:bCs w:val="1"/>
                <w:color w:val="auto"/>
                <w:w w:val="93"/>
              </w:rPr>
              <w:t>Delaware</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9"/>
              </w:rPr>
              <w:t>35-2617337</w:t>
            </w:r>
          </w:p>
        </w:tc>
      </w:tr>
      <w:tr>
        <w:trPr>
          <w:trHeight w:val="149"/>
        </w:trPr>
        <w:tc>
          <w:tcPr>
            <w:tcW w:w="5980" w:type="dxa"/>
            <w:vAlign w:val="bottom"/>
            <w:gridSpan w:val="3"/>
          </w:tcPr>
          <w:p>
            <w:pPr>
              <w:jc w:val="center"/>
              <w:ind w:right="40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980" w:type="dxa"/>
            <w:vAlign w:val="bottom"/>
            <w:gridSpan w:val="3"/>
          </w:tcPr>
          <w:p>
            <w:pPr>
              <w:jc w:val="center"/>
              <w:ind w:right="4040"/>
              <w:spacing w:after="0"/>
              <w:rPr>
                <w:sz w:val="20"/>
                <w:szCs w:val="20"/>
                <w:color w:val="auto"/>
              </w:rPr>
            </w:pPr>
            <w:r>
              <w:rPr>
                <w:rFonts w:ascii="Arial" w:cs="Arial" w:eastAsia="Arial" w:hAnsi="Arial"/>
                <w:sz w:val="14"/>
                <w:szCs w:val="14"/>
                <w:b w:val="1"/>
                <w:bCs w:val="1"/>
                <w:color w:val="auto"/>
                <w:w w:val="95"/>
              </w:rPr>
              <w:t>Incorporation or Organization)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2600" w:type="dxa"/>
            <w:vAlign w:val="bottom"/>
          </w:tcPr>
          <w:p>
            <w:pPr>
              <w:spacing w:after="0"/>
              <w:rPr>
                <w:sz w:val="24"/>
                <w:szCs w:val="24"/>
                <w:color w:val="auto"/>
              </w:rPr>
            </w:pPr>
          </w:p>
        </w:tc>
        <w:tc>
          <w:tcPr>
            <w:tcW w:w="338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93"/>
              </w:rPr>
              <w:t>1320 Ridder Park Drive</w:t>
            </w:r>
          </w:p>
        </w:tc>
        <w:tc>
          <w:tcPr>
            <w:tcW w:w="1460" w:type="dxa"/>
            <w:vAlign w:val="bottom"/>
          </w:tcPr>
          <w:p>
            <w:pPr>
              <w:spacing w:after="0"/>
              <w:rPr>
                <w:sz w:val="24"/>
                <w:szCs w:val="24"/>
                <w:color w:val="auto"/>
              </w:rPr>
            </w:pPr>
          </w:p>
        </w:tc>
      </w:tr>
      <w:tr>
        <w:trPr>
          <w:trHeight w:val="212"/>
        </w:trPr>
        <w:tc>
          <w:tcPr>
            <w:tcW w:w="2600" w:type="dxa"/>
            <w:vAlign w:val="bottom"/>
          </w:tcPr>
          <w:p>
            <w:pPr>
              <w:spacing w:after="0"/>
              <w:rPr>
                <w:sz w:val="18"/>
                <w:szCs w:val="18"/>
                <w:color w:val="auto"/>
              </w:rPr>
            </w:pPr>
          </w:p>
        </w:tc>
        <w:tc>
          <w:tcPr>
            <w:tcW w:w="338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9"/>
              </w:rPr>
              <w:t>San Jose, California 95131</w:t>
            </w:r>
          </w:p>
        </w:tc>
        <w:tc>
          <w:tcPr>
            <w:tcW w:w="1460" w:type="dxa"/>
            <w:vAlign w:val="bottom"/>
          </w:tcPr>
          <w:p>
            <w:pPr>
              <w:spacing w:after="0"/>
              <w:rPr>
                <w:sz w:val="18"/>
                <w:szCs w:val="18"/>
                <w:color w:val="auto"/>
              </w:rPr>
            </w:pPr>
          </w:p>
        </w:tc>
      </w:tr>
      <w:tr>
        <w:trPr>
          <w:trHeight w:val="186"/>
        </w:trPr>
        <w:tc>
          <w:tcPr>
            <w:tcW w:w="5980" w:type="dxa"/>
            <w:vAlign w:val="bottom"/>
            <w:gridSpan w:val="3"/>
          </w:tcPr>
          <w:p>
            <w:pPr>
              <w:jc w:val="center"/>
              <w:ind w:left="1541"/>
              <w:spacing w:after="0"/>
              <w:rPr>
                <w:sz w:val="20"/>
                <w:szCs w:val="20"/>
                <w:color w:val="auto"/>
              </w:rPr>
            </w:pPr>
            <w:r>
              <w:rPr>
                <w:rFonts w:ascii="Arial" w:cs="Arial" w:eastAsia="Arial" w:hAnsi="Arial"/>
                <w:sz w:val="14"/>
                <w:szCs w:val="14"/>
                <w:b w:val="1"/>
                <w:bCs w:val="1"/>
                <w:color w:val="auto"/>
                <w:w w:val="92"/>
              </w:rPr>
              <w:t>(Address of Principal Executive Offices including Zip Code)</w:t>
            </w:r>
          </w:p>
        </w:tc>
        <w:tc>
          <w:tcPr>
            <w:tcW w:w="1460" w:type="dxa"/>
            <w:vAlign w:val="bottom"/>
          </w:tcPr>
          <w:p>
            <w:pPr>
              <w:spacing w:after="0"/>
              <w:rPr>
                <w:sz w:val="16"/>
                <w:szCs w:val="16"/>
                <w:color w:val="auto"/>
              </w:rPr>
            </w:pPr>
          </w:p>
        </w:tc>
      </w:tr>
      <w:tr>
        <w:trPr>
          <w:trHeight w:val="336"/>
        </w:trPr>
        <w:tc>
          <w:tcPr>
            <w:tcW w:w="260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26"/>
        </w:trPr>
        <w:tc>
          <w:tcPr>
            <w:tcW w:w="5980" w:type="dxa"/>
            <w:vAlign w:val="bottom"/>
            <w:gridSpan w:val="3"/>
          </w:tcPr>
          <w:p>
            <w:pPr>
              <w:jc w:val="center"/>
              <w:ind w:left="1541"/>
              <w:spacing w:after="0"/>
              <w:rPr>
                <w:sz w:val="20"/>
                <w:szCs w:val="20"/>
                <w:color w:val="auto"/>
              </w:rPr>
            </w:pPr>
            <w:r>
              <w:rPr>
                <w:rFonts w:ascii="Arial" w:cs="Arial" w:eastAsia="Arial" w:hAnsi="Arial"/>
                <w:sz w:val="18"/>
                <w:szCs w:val="18"/>
                <w:b w:val="1"/>
                <w:bCs w:val="1"/>
                <w:color w:val="auto"/>
                <w:w w:val="89"/>
              </w:rPr>
              <w:t>Brocade Communications Systems, Inc. 2009 Stock Plan</w:t>
            </w:r>
          </w:p>
        </w:tc>
        <w:tc>
          <w:tcPr>
            <w:tcW w:w="146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Brocade Communications Systems, Inc. Amended and Restated Inducement Award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Avago Technologies Limited 2009 Equity Incentive Award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Broadcom Corporation 2012 Stock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LSI Corporation 2003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Broadcom Limited Employee Share Purchase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Emulex Corporation 2005 Equity Incentive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Option to Purchase Syntax Stock Agreement with Joseph M. Marvin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Equity Incentive Plan for Executive Employees of Avago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Technologies Limited and Subsidiaries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Equity Incentive Plan for Senior Management Employees of Avago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Technologies Limited and Subsidiaries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Brazeal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Rebecca Boyden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Broadcom Limited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1320 Ridder Park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Jose, California 95131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(408) 433-8000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Copy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Anthony J. Richmond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140 Scott Drive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Menlo Park, California 94025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(650) 328-4600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(650) 463-2600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29" w:right="239" w:bottom="0" w:gutter="0" w:footer="0" w:header="0"/>
        </w:sectPr>
      </w:pPr>
    </w:p>
    <w:p>
      <w:pPr>
        <w:spacing w:after="0" w:line="20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29" w:right="239" w:bottom="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5">
            <w:col w:w="1540" w:space="380"/>
            <w:col w:w="160" w:space="100"/>
            <w:col w:w="5960" w:space="720"/>
            <w:col w:w="1980" w:space="420"/>
            <w:col w:w="160"/>
          </w:cols>
          <w:pgMar w:left="240" w:top="229" w:right="239" w:bottom="0" w:gutter="0" w:footer="0" w:header="0"/>
          <w:type w:val="continuous"/>
        </w:sectPr>
      </w:pPr>
    </w:p>
    <w:bookmarkStart w:id="1" w:name="page2"/>
    <w:bookmarkEnd w:id="1"/>
    <w:p>
      <w:pPr>
        <w:ind w:left="8860"/>
        <w:spacing w:after="0" w:line="207" w:lineRule="exact"/>
        <w:tabs>
          <w:tab w:leader="none" w:pos="1124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9" w:lineRule="exact"/>
        <w:rPr>
          <w:sz w:val="20"/>
          <w:szCs w:val="20"/>
          <w:color w:val="auto"/>
        </w:rPr>
      </w:pPr>
    </w:p>
    <w:p>
      <w:pPr>
        <w:ind w:right="4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to use the extended transition period for complying with the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6"/>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Title of Securities to be</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6"/>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Registered (1)</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1"/>
              </w:rPr>
              <w:t>Per Share</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94"/>
              </w:rPr>
              <w:t>Offering Price</w:t>
            </w:r>
          </w:p>
        </w:tc>
        <w:tc>
          <w:tcPr>
            <w:tcW w:w="156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w w:val="93"/>
              </w:rPr>
              <w:t>Registration Fee (1)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0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Shares of common stock, par value $0.001 per share, of Broadcom</w:t>
            </w: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600" w:type="dxa"/>
            <w:vAlign w:val="bottom"/>
            <w:tcBorders>
              <w:right w:val="single" w:sz="8" w:color="auto"/>
            </w:tcBorders>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 xml:space="preserve">Inc., a Delaware corporation </w:t>
            </w:r>
            <w:r>
              <w:rPr>
                <w:rFonts w:ascii="Arial" w:cs="Arial" w:eastAsia="Arial" w:hAnsi="Arial"/>
                <w:sz w:val="15"/>
                <w:szCs w:val="15"/>
                <w:color w:val="auto"/>
              </w:rPr>
              <w:t>(1)</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8"/>
                <w:szCs w:val="18"/>
                <w:color w:val="auto"/>
              </w:rPr>
              <w:t>N/A</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rPr>
              <w:t>N/A</w:t>
            </w: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8"/>
                <w:szCs w:val="18"/>
                <w:color w:val="auto"/>
              </w:rPr>
              <w:t>N/A</w:t>
            </w:r>
          </w:p>
        </w:tc>
        <w:tc>
          <w:tcPr>
            <w:tcW w:w="156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160" w:hanging="452"/>
        <w:spacing w:after="0" w:line="276"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additional securities are to be registered, and registration fees were paid upon filing of the original Registration Statements on Form S-8 (File Nos. 333-221654, 333-215291 and 333-209331). Therefore no further registration fee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Post-Effective Amendment is being filed pursuant to Rule 414 under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by Broadcom Inc., a Delaware corporation (“</w:t>
      </w:r>
      <w:r>
        <w:rPr>
          <w:rFonts w:ascii="Arial" w:cs="Arial" w:eastAsia="Arial" w:hAnsi="Arial"/>
          <w:sz w:val="18"/>
          <w:szCs w:val="18"/>
          <w:u w:val="single" w:color="auto"/>
          <w:color w:val="auto"/>
        </w:rPr>
        <w:t>Broadcom-Delaware</w:t>
      </w:r>
      <w:r>
        <w:rPr>
          <w:rFonts w:ascii="Arial" w:cs="Arial" w:eastAsia="Arial" w:hAnsi="Arial"/>
          <w:sz w:val="18"/>
          <w:szCs w:val="18"/>
          <w:color w:val="auto"/>
        </w:rPr>
        <w:t>” or the “</w:t>
      </w:r>
      <w:r>
        <w:rPr>
          <w:rFonts w:ascii="Arial" w:cs="Arial" w:eastAsia="Arial" w:hAnsi="Arial"/>
          <w:sz w:val="18"/>
          <w:szCs w:val="18"/>
          <w:u w:val="single" w:color="auto"/>
          <w:color w:val="auto"/>
        </w:rPr>
        <w:t>Registrant</w:t>
      </w:r>
      <w:r>
        <w:rPr>
          <w:rFonts w:ascii="Arial" w:cs="Arial" w:eastAsia="Arial" w:hAnsi="Arial"/>
          <w:sz w:val="18"/>
          <w:szCs w:val="18"/>
          <w:color w:val="auto"/>
        </w:rPr>
        <w:t>”), as successor issuer to Broadcom Limited, a public company limited by shares incorporated under the laws of the Republic of Singapore (“</w:t>
      </w:r>
      <w:r>
        <w:rPr>
          <w:rFonts w:ascii="Arial" w:cs="Arial" w:eastAsia="Arial" w:hAnsi="Arial"/>
          <w:sz w:val="18"/>
          <w:szCs w:val="18"/>
          <w:u w:val="single" w:color="auto"/>
          <w:color w:val="auto"/>
        </w:rPr>
        <w:t>Broadcom-Singapore</w:t>
      </w:r>
      <w:r>
        <w:rPr>
          <w:rFonts w:ascii="Arial" w:cs="Arial" w:eastAsia="Arial" w:hAnsi="Arial"/>
          <w:sz w:val="18"/>
          <w:szCs w:val="18"/>
          <w:color w:val="auto"/>
        </w:rPr>
        <w:t>”). On April 4, 2018, Broadcom-Delaware and Broadcom-Singapore completed the statutory scheme of arrangement (the “</w:t>
      </w:r>
      <w:r>
        <w:rPr>
          <w:rFonts w:ascii="Arial" w:cs="Arial" w:eastAsia="Arial" w:hAnsi="Arial"/>
          <w:sz w:val="18"/>
          <w:szCs w:val="18"/>
          <w:u w:val="single" w:color="auto"/>
          <w:color w:val="auto"/>
        </w:rPr>
        <w:t>Scheme of Arrangement</w:t>
      </w:r>
      <w:r>
        <w:rPr>
          <w:rFonts w:ascii="Arial" w:cs="Arial" w:eastAsia="Arial" w:hAnsi="Arial"/>
          <w:sz w:val="18"/>
          <w:szCs w:val="18"/>
          <w:color w:val="auto"/>
        </w:rPr>
        <w:t>”) in Singapore which was approved by Broadcom-Singapore’s shareholders at a meeting for which proxies were solicited pursuant to Section 14(a)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pursuant to which all issued ordinary shares in the capital of Broadcom-Singapore as of immediately prior to the effective time of the Scheme of Arrangement were exchanged on a one-for-one basis for newly issued shares of common stock of Broadcom-Delaware (the “</w:t>
      </w:r>
      <w:r>
        <w:rPr>
          <w:rFonts w:ascii="Arial" w:cs="Arial" w:eastAsia="Arial" w:hAnsi="Arial"/>
          <w:sz w:val="18"/>
          <w:szCs w:val="18"/>
          <w:u w:val="single" w:color="auto"/>
          <w:color w:val="auto"/>
        </w:rPr>
        <w:t>Redomiciliation</w:t>
      </w:r>
      <w:r>
        <w:rPr>
          <w:rFonts w:ascii="Arial" w:cs="Arial" w:eastAsia="Arial" w:hAnsi="Arial"/>
          <w:sz w:val="18"/>
          <w:szCs w:val="18"/>
          <w:color w:val="auto"/>
        </w:rPr>
        <w:t>”). As a result of the Redomiciliation, Broadcom-Singapore is now a wholly-owned subsidiary of Broadcom-Delaware, and Broadcom-Delaware is the successor issuer to Broadcom-Singapore.</w:t>
      </w:r>
    </w:p>
    <w:p>
      <w:pPr>
        <w:spacing w:after="0" w:line="19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connection with the Redomiciliation, Broadcom-Delaware assumed Broadcom-Singapore’s existing obligations in connection with awards granted under Broadcom-Singapore’s incentive plans and other similar employee awards and amended such plans and awards as necessary to provide for the issuance of shares of Broadcom-Delaware common stock rather than the ordinary shares of Broadcom-Singapore upon the exercise of awards. This Post-Effective Amendment pertains to the adoption by the Company of the following registration statements on Form S-8 (collectively, the “</w:t>
      </w:r>
      <w:r>
        <w:rPr>
          <w:rFonts w:ascii="Arial" w:cs="Arial" w:eastAsia="Arial" w:hAnsi="Arial"/>
          <w:sz w:val="16"/>
          <w:szCs w:val="16"/>
          <w:u w:val="single" w:color="auto"/>
          <w:color w:val="auto"/>
        </w:rPr>
        <w:t>Registration Statements</w:t>
      </w:r>
      <w:r>
        <w:rPr>
          <w:rFonts w:ascii="Arial" w:cs="Arial" w:eastAsia="Arial" w:hAnsi="Arial"/>
          <w:sz w:val="16"/>
          <w:szCs w:val="16"/>
          <w:color w:val="auto"/>
        </w:rPr>
        <w:t>”):</w:t>
      </w:r>
    </w:p>
    <w:p>
      <w:pPr>
        <w:spacing w:after="0" w:line="2" w:lineRule="exact"/>
        <w:rPr>
          <w:sz w:val="20"/>
          <w:szCs w:val="20"/>
          <w:color w:val="auto"/>
        </w:rPr>
      </w:pPr>
    </w:p>
    <w:p>
      <w:pPr>
        <w:ind w:right="480" w:firstLine="8"/>
        <w:spacing w:after="0" w:line="255" w:lineRule="auto"/>
        <w:tabs>
          <w:tab w:leader="none" w:pos="215"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Registration No. 333-221654; (ii) Registration No. 333-215291; and (iii) Registration No. 333-209331. The Company hereby expressly adopts each Registration Statement as its own registration statement for all purposes of the Securities Act and the Exchange Act. This Post-Effective Amendment constitutes Post-Effective Amendment No. 1 to each of the Registration Statements.</w:t>
      </w:r>
    </w:p>
    <w:p>
      <w:pPr>
        <w:sectPr>
          <w:pgSz w:w="11900" w:h="16838" w:orient="portrait"/>
          <w:cols w:equalWidth="0" w:num="1">
            <w:col w:w="11360"/>
          </w:cols>
          <w:pgMar w:left="240" w:top="270" w:right="2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Incorporation of Documents by Reference</w:t>
      </w:r>
      <w:r>
        <w:rPr>
          <w:rFonts w:ascii="Arial" w:cs="Arial" w:eastAsia="Arial" w:hAnsi="Arial"/>
          <w:sz w:val="16"/>
          <w:szCs w:val="16"/>
          <w:b w:val="1"/>
          <w:bCs w:val="1"/>
          <w:color w:val="auto"/>
        </w:rPr>
        <w:t>.</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Broadcom-Delaware hereby incorporates by reference the following documents previously filed with the U.S.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(only to the extent “filed” and not “furnished” in accordance with SEC rules):</w:t>
      </w:r>
    </w:p>
    <w:p>
      <w:pPr>
        <w:spacing w:after="0" w:line="7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Annual Report of Broadcom-Singapore on Form 10-K for the fiscal year ended October 29, 2017, filed with the SEC on December 21, 2017;</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Quarterly Report of Broadcom-Singapore on Form 10-Q for the quarterly period ended February 4, 2018;</w:t>
      </w:r>
    </w:p>
    <w:p>
      <w:pPr>
        <w:spacing w:after="0" w:line="130"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Broadcom-Singapore’s Current Reports on Form 8-K filed with the SEC on November 2, 2017, November 6, 2017, November 17, 2017, December 6, 2017, February 5, 2018, February 9, 2018, February 12, 2018, February 15, 2018, March 6, 2018, March 14, 2018, March 15, 2018, March 23, 2018, March 26, 2018 and April 4, 2018;</w:t>
      </w:r>
    </w:p>
    <w:p>
      <w:pPr>
        <w:sectPr>
          <w:pgSz w:w="11900" w:h="16838" w:orient="portrait"/>
          <w:cols w:equalWidth="0" w:num="1">
            <w:col w:w="11360"/>
          </w:cols>
          <w:pgMar w:left="240" w:top="270" w:right="299" w:bottom="1440" w:gutter="0" w:footer="0" w:header="0"/>
        </w:sectPr>
      </w:pPr>
    </w:p>
    <w:bookmarkStart w:id="4" w:name="page5"/>
    <w:bookmarkEnd w:id="4"/>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Broadcom-Delaware’s Current Reports on Form 8-K filed with the SEC on March 23, 2018, March 26, 2018 and April 4, 2018; and</w:t>
      </w:r>
    </w:p>
    <w:p>
      <w:pPr>
        <w:spacing w:after="0" w:line="130" w:lineRule="exact"/>
        <w:rPr>
          <w:rFonts w:ascii="Arial" w:cs="Arial" w:eastAsia="Arial" w:hAnsi="Arial"/>
          <w:sz w:val="18"/>
          <w:szCs w:val="18"/>
          <w:color w:val="auto"/>
        </w:rPr>
      </w:pPr>
    </w:p>
    <w:p>
      <w:pPr>
        <w:ind w:left="900" w:right="60" w:hanging="446"/>
        <w:spacing w:after="0" w:line="264"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description of Broadcom-Delaware’s common stock which is contained in Broadcom-Delaware’s Current Report on Form 8-K filed on April 4, 2018 pursuant to Rule 12g-3(a) promulgated under the Exchange Act, including any amendment or report filed for the purpose of updating such description.</w:t>
      </w:r>
    </w:p>
    <w:p>
      <w:pPr>
        <w:spacing w:after="0" w:line="18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All reports that Broadcom-Delaware subsequently files pursuant to Sections 13(a) and 13(c), 14 and 15(d) of the Exchange Act, after the date of this Post-Effective Amendment and prior to the filing of a post-effective amendment to this Post-Effective Amendment which indicates that all securities offered hereunder have been sold or which deregisters all such securities then remaining unsold, shall be deemed to be incorporated by reference in this Post-Effective Amendment and to be a part hereof from the date of filing of such reports and documents. Unless expressly incorporated in this Post-Effective Amendment, a report furnished on Form 8-K shall not be incorporated by reference into this Post-Effective Amendment.</w:t>
      </w:r>
    </w:p>
    <w:p>
      <w:pPr>
        <w:spacing w:after="0" w:line="1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Any statement contained herein or in a document incorporated by reference herein shall be deemed to be modified or superseded for purposes of this Post-Effective Amendment to the extent that a statement contained herein or in any other subsequently filed document which also is or is deemed to be incorporated by reference herein modifies or supersedes such earlier statement. Any statement so modified or superseded shall not be deemed, except as so modified or superseded, to constitute a part of this Post-Effective Amendment.</w:t>
      </w:r>
    </w:p>
    <w:p>
      <w:pPr>
        <w:spacing w:after="0" w:line="3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Description of Securities</w:t>
      </w:r>
      <w:r>
        <w:rPr>
          <w:rFonts w:ascii="Arial" w:cs="Arial" w:eastAsia="Arial" w:hAnsi="Arial"/>
          <w:sz w:val="15"/>
          <w:szCs w:val="15"/>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Interests of Named Experts and Counsel</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Indemnification of Directors and Officers</w:t>
      </w:r>
      <w:r>
        <w:rPr>
          <w:rFonts w:ascii="Arial" w:cs="Arial" w:eastAsia="Arial" w:hAnsi="Arial"/>
          <w:sz w:val="16"/>
          <w:szCs w:val="16"/>
          <w:b w:val="1"/>
          <w:bCs w:val="1"/>
          <w:color w:val="auto"/>
        </w:rPr>
        <w:t>.</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Under Section 145 of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a corporation may indemnify any person who was or is a party or is threatened to be made a party to any threatened, pending or completed action, suit or proceeding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if he acted in good faith and in a manner he reasonably believed to be in or not opposed to the best interests of the corporation and, with respect to any criminal action or proceeding, had no reasonable cause to believe his conduct was unlawful. In the case of an action brought by or in the right of a corporation, the corporation may indemnify any person who was or is a party or is threatened to be made a party to any such threatened, pending or completed action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only against expenses (including attorneys’ fees) actually and reasonably incurred by him in connection with the defense or settlement of such action if he acted in good faith and in a manner he reasonably believed to be in or not opposed to the best interests of the corporation, except that no indemnification may be made in respect of any claim, issue or matter as to which such person shall have been adjudged to be liable to the corporation unless and only to the extent the appropriate court finds that, in view of all the circumstances of the case, such person is fairly and reasonably entitled to indemnity for such expenses as the court shall deem proper.</w:t>
      </w:r>
    </w:p>
    <w:p>
      <w:pPr>
        <w:spacing w:after="0" w:line="17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Broadcom-Delaware certificate of incorporation provides that its directors and officers will be indemnified by Broadcom-Delaware to the fullest extent authorized by Delaware law as it now exists or may in the future be amended, against all expenses, liabilities and loss incurred in connection with their service as a director or officer on behalf of the corporation.</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permitted by Section 102(b)(7) of the DGCL, the Broadcom-Delaware certificate of incorporation provides that a director of Broadcom-Delaware shall not be personally liable to Broadcom-Delaware or its stockholders for monetary damages for breach of fiduciary duty as a director, except for such liability as is expressly not subject to limitation under the DGCL, as the same exists or may hereafter be amended to further limit or eliminate such liability.</w:t>
      </w:r>
    </w:p>
    <w:p>
      <w:pPr>
        <w:sectPr>
          <w:pgSz w:w="11900" w:h="16838" w:orient="portrait"/>
          <w:cols w:equalWidth="0" w:num="1">
            <w:col w:w="11420"/>
          </w:cols>
          <w:pgMar w:left="240" w:top="274" w:right="239" w:bottom="1440" w:gutter="0" w:footer="0" w:header="0"/>
        </w:sectPr>
      </w:pPr>
    </w:p>
    <w:bookmarkStart w:id="5" w:name="page6"/>
    <w:bookmarkEnd w:id="5"/>
    <w:p>
      <w:pPr>
        <w:ind w:right="6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Broadcom-Delaware has also entered into certain indemnification agreements with its directors and officers. The indemnification agreements provide Broadcom-Delaware’s directors and officers with further indemnification, to the maximum extent permitted by the DGCL.</w:t>
      </w:r>
    </w:p>
    <w:p>
      <w:pPr>
        <w:spacing w:after="0" w:line="14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permitted by Section 145(g) of the DGCL, Broadcom-Delaware also maintains a directors’ and officers’ insurance policy which insures the directors and officers of Broadcom-Delaware against liability asserted against such persons in such capacity whether or not such directors or officers have the right to indemnification pursuant to the Broadcom-Delaware certificate of incorporation, bylaws or otherwise.</w:t>
      </w:r>
    </w:p>
    <w:p>
      <w:pPr>
        <w:spacing w:after="0" w:line="3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Exemption from Registration Claimed</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Exhibits</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Index to Exhibits herein.</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Undertakings</w:t>
      </w:r>
      <w:r>
        <w:rPr>
          <w:rFonts w:ascii="Arial" w:cs="Arial" w:eastAsia="Arial" w:hAnsi="Arial"/>
          <w:sz w:val="16"/>
          <w:szCs w:val="16"/>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w:t>
      </w:r>
    </w:p>
    <w:p>
      <w:pPr>
        <w:spacing w:after="0" w:line="117" w:lineRule="exact"/>
        <w:rPr>
          <w:sz w:val="20"/>
          <w:szCs w:val="20"/>
          <w:color w:val="auto"/>
        </w:rPr>
      </w:pPr>
    </w:p>
    <w:p>
      <w:pPr>
        <w:ind w:left="700" w:hanging="236"/>
        <w:spacing w:after="0"/>
        <w:tabs>
          <w:tab w:leader="none" w:pos="7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920" w:right="80" w:firstLine="1"/>
        <w:spacing w:after="0" w:line="255" w:lineRule="auto"/>
        <w:tabs>
          <w:tab w:leader="none" w:pos="118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920" w:right="320" w:firstLine="1"/>
        <w:spacing w:after="0" w:line="277" w:lineRule="auto"/>
        <w:tabs>
          <w:tab w:leader="none" w:pos="123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the Registration Statement;</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(a)(i) and (a)(ii) do not apply if this Registration Statement is on Form S-8 and the information required to be included in</w:t>
      </w:r>
      <w:r>
        <w:rPr>
          <w:rFonts w:ascii="Arial" w:cs="Arial" w:eastAsia="Arial" w:hAnsi="Arial"/>
          <w:sz w:val="18"/>
          <w:szCs w:val="18"/>
          <w:i w:val="1"/>
          <w:iCs w:val="1"/>
          <w:color w:val="auto"/>
        </w:rPr>
        <w:t xml:space="preserve"> </w:t>
      </w:r>
      <w:r>
        <w:rPr>
          <w:rFonts w:ascii="Arial" w:cs="Arial" w:eastAsia="Arial" w:hAnsi="Arial"/>
          <w:sz w:val="18"/>
          <w:szCs w:val="18"/>
          <w:color w:val="auto"/>
        </w:rPr>
        <w:t>a post-effective amendment by those paragraphs is contained in reports filed with or furnished to the SEC by the Registrant pursuant to Section 13 or 15(d) of the Exchange Act that are incorporated by reference in this Registration Statement.</w:t>
      </w:r>
    </w:p>
    <w:p>
      <w:pPr>
        <w:spacing w:after="0" w:line="181" w:lineRule="exact"/>
        <w:rPr>
          <w:sz w:val="20"/>
          <w:szCs w:val="20"/>
          <w:color w:val="auto"/>
        </w:rPr>
      </w:pPr>
    </w:p>
    <w:p>
      <w:pPr>
        <w:ind w:left="460" w:right="80" w:firstLine="4"/>
        <w:spacing w:after="0" w:line="264" w:lineRule="auto"/>
        <w:tabs>
          <w:tab w:leader="none" w:pos="712"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1" w:lineRule="exact"/>
        <w:rPr>
          <w:rFonts w:ascii="Arial" w:cs="Arial" w:eastAsia="Arial" w:hAnsi="Arial"/>
          <w:sz w:val="18"/>
          <w:szCs w:val="18"/>
          <w:color w:val="auto"/>
        </w:rPr>
      </w:pPr>
    </w:p>
    <w:p>
      <w:pPr>
        <w:ind w:left="460" w:right="160" w:firstLine="4"/>
        <w:spacing w:after="0" w:line="277" w:lineRule="auto"/>
        <w:tabs>
          <w:tab w:leader="none" w:pos="7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w:t>
      </w:r>
    </w:p>
    <w:p>
      <w:pPr>
        <w:ind w:right="80"/>
        <w:spacing w:after="0" w:line="290" w:lineRule="auto"/>
        <w:rPr>
          <w:sz w:val="20"/>
          <w:szCs w:val="20"/>
          <w:color w:val="auto"/>
        </w:rPr>
      </w:pPr>
      <w:r>
        <w:rPr>
          <w:rFonts w:ascii="Arial" w:cs="Arial" w:eastAsia="Arial" w:hAnsi="Arial"/>
          <w:sz w:val="17"/>
          <w:szCs w:val="17"/>
          <w:color w:val="auto"/>
        </w:rPr>
        <w:t>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2"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420"/>
          </w:cols>
          <w:pgMar w:left="240" w:top="274"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40" w:type="dxa"/>
            <w:vAlign w:val="bottom"/>
            <w:gridSpan w:val="29"/>
          </w:tcPr>
          <w:p>
            <w:pPr>
              <w:ind w:left="4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w:t>
            </w:r>
          </w:p>
        </w:tc>
        <w:tc>
          <w:tcPr>
            <w:tcW w:w="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620" w:type="dxa"/>
            <w:vAlign w:val="bottom"/>
          </w:tcPr>
          <w:p>
            <w:pPr>
              <w:jc w:val="right"/>
              <w:ind w:right="211"/>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2"/>
                <w:szCs w:val="22"/>
                <w:color w:val="auto"/>
              </w:rPr>
            </w:pPr>
          </w:p>
        </w:tc>
        <w:tc>
          <w:tcPr>
            <w:tcW w:w="10120" w:type="dxa"/>
            <w:vAlign w:val="bottom"/>
            <w:gridSpan w:val="38"/>
          </w:tcPr>
          <w:p>
            <w:pPr>
              <w:spacing w:after="0"/>
              <w:rPr>
                <w:rFonts w:ascii="Arial" w:cs="Arial" w:eastAsia="Arial" w:hAnsi="Arial"/>
                <w:sz w:val="18"/>
                <w:szCs w:val="18"/>
                <w:color w:val="auto"/>
                <w:w w:val="92"/>
              </w:rPr>
            </w:pPr>
            <w:hyperlink r:id="rId23">
              <w:r>
                <w:rPr>
                  <w:rFonts w:ascii="Arial" w:cs="Arial" w:eastAsia="Arial" w:hAnsi="Arial"/>
                  <w:sz w:val="18"/>
                  <w:szCs w:val="18"/>
                  <w:color w:val="auto"/>
                  <w:w w:val="92"/>
                </w:rPr>
                <w:t xml:space="preserve">Amended and Restated Certificate of Incorporation of Broadcom Inc. </w:t>
              </w:r>
              <w:r>
                <w:rPr>
                  <w:rFonts w:ascii="Arial" w:cs="Arial" w:eastAsia="Arial" w:hAnsi="Arial"/>
                  <w:sz w:val="18"/>
                  <w:szCs w:val="18"/>
                  <w:color w:val="0000EE"/>
                  <w:w w:val="92"/>
                </w:rPr>
                <w:t>(incorporated by reference to Exhibit 3.1 of Broadcom Inc.’s Form 8-</w:t>
              </w:r>
            </w:hyperlink>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40" w:type="dxa"/>
            <w:vAlign w:val="bottom"/>
            <w:gridSpan w:val="15"/>
          </w:tcPr>
          <w:p>
            <w:pPr>
              <w:spacing w:after="0" w:line="196" w:lineRule="exact"/>
              <w:rPr>
                <w:rFonts w:ascii="Arial" w:cs="Arial" w:eastAsia="Arial" w:hAnsi="Arial"/>
                <w:sz w:val="18"/>
                <w:szCs w:val="18"/>
                <w:color w:val="0000EE"/>
              </w:rPr>
            </w:pPr>
            <w:hyperlink r:id="rId23">
              <w:r>
                <w:rPr>
                  <w:rFonts w:ascii="Arial" w:cs="Arial" w:eastAsia="Arial" w:hAnsi="Arial"/>
                  <w:sz w:val="18"/>
                  <w:szCs w:val="18"/>
                  <w:color w:val="0000EE"/>
                </w:rPr>
                <w:t>K12B filed with the SEC on April 4, 2018).</w:t>
              </w:r>
            </w:hyperlink>
          </w:p>
        </w:tc>
        <w:tc>
          <w:tcPr>
            <w:tcW w:w="5000" w:type="dxa"/>
            <w:vAlign w:val="bottom"/>
            <w:tcBorders>
              <w:top w:val="single" w:sz="8" w:color="0000EE"/>
            </w:tcBorders>
            <w:gridSpan w:val="22"/>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2"/>
              </w:rPr>
            </w:pPr>
            <w:hyperlink r:id="rId24">
              <w:r>
                <w:rPr>
                  <w:rFonts w:ascii="Arial" w:cs="Arial" w:eastAsia="Arial" w:hAnsi="Arial"/>
                  <w:sz w:val="18"/>
                  <w:szCs w:val="18"/>
                  <w:color w:val="auto"/>
                  <w:w w:val="92"/>
                </w:rPr>
                <w:t xml:space="preserve">Amended and Restated Bylaws of Broadcom Inc. </w:t>
              </w:r>
              <w:r>
                <w:rPr>
                  <w:rFonts w:ascii="Arial" w:cs="Arial" w:eastAsia="Arial" w:hAnsi="Arial"/>
                  <w:sz w:val="18"/>
                  <w:szCs w:val="18"/>
                  <w:color w:val="0000EE"/>
                  <w:w w:val="92"/>
                </w:rPr>
                <w:t>(incorporated by reference to Exhibit 3.2 of Broadcom Inc.’s Form 8-K12B filed with the</w:t>
              </w:r>
            </w:hyperlink>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0" w:type="dxa"/>
            <w:vAlign w:val="bottom"/>
            <w:gridSpan w:val="8"/>
          </w:tcPr>
          <w:p>
            <w:pPr>
              <w:spacing w:after="0" w:line="196" w:lineRule="exact"/>
              <w:rPr>
                <w:rFonts w:ascii="Arial" w:cs="Arial" w:eastAsia="Arial" w:hAnsi="Arial"/>
                <w:sz w:val="18"/>
                <w:szCs w:val="18"/>
                <w:color w:val="0000EE"/>
              </w:rPr>
            </w:pPr>
            <w:hyperlink r:id="rId24">
              <w:r>
                <w:rPr>
                  <w:rFonts w:ascii="Arial" w:cs="Arial" w:eastAsia="Arial" w:hAnsi="Arial"/>
                  <w:sz w:val="18"/>
                  <w:szCs w:val="18"/>
                  <w:color w:val="0000EE"/>
                </w:rPr>
                <w:t>SEC on April 4, 2018).</w:t>
              </w:r>
            </w:hyperlink>
          </w:p>
        </w:tc>
        <w:tc>
          <w:tcPr>
            <w:tcW w:w="6440" w:type="dxa"/>
            <w:vAlign w:val="bottom"/>
            <w:tcBorders>
              <w:top w:val="single" w:sz="8" w:color="0000EE"/>
            </w:tcBorders>
            <w:gridSpan w:val="29"/>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73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2"/>
              </w:rPr>
              <w:t>Opinion of Latham &amp; Watkins LLP as to the legality of the securities being registered (filed herewith).</w:t>
            </w:r>
          </w:p>
        </w:tc>
        <w:tc>
          <w:tcPr>
            <w:tcW w:w="2740" w:type="dxa"/>
            <w:vAlign w:val="bottom"/>
            <w:gridSpan w:val="15"/>
          </w:tcPr>
          <w:p>
            <w:pPr>
              <w:spacing w:after="0"/>
              <w:rPr>
                <w:sz w:val="24"/>
                <w:szCs w:val="24"/>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10.1</w:t>
            </w:r>
          </w:p>
        </w:tc>
        <w:tc>
          <w:tcPr>
            <w:tcW w:w="680" w:type="dxa"/>
            <w:vAlign w:val="bottom"/>
          </w:tcPr>
          <w:p>
            <w:pPr>
              <w:spacing w:after="0"/>
              <w:rPr>
                <w:sz w:val="24"/>
                <w:szCs w:val="24"/>
                <w:color w:val="auto"/>
              </w:rPr>
            </w:pPr>
          </w:p>
        </w:tc>
        <w:tc>
          <w:tcPr>
            <w:tcW w:w="9740" w:type="dxa"/>
            <w:vAlign w:val="bottom"/>
            <w:tcBorders>
              <w:bottom w:val="single" w:sz="8" w:color="0000EE"/>
            </w:tcBorders>
            <w:gridSpan w:val="33"/>
          </w:tcPr>
          <w:p>
            <w:pPr>
              <w:spacing w:after="0"/>
              <w:rPr>
                <w:rFonts w:ascii="Arial" w:cs="Arial" w:eastAsia="Arial" w:hAnsi="Arial"/>
                <w:sz w:val="18"/>
                <w:szCs w:val="18"/>
                <w:color w:val="0000EE"/>
                <w:w w:val="91"/>
              </w:rPr>
            </w:pPr>
            <w:hyperlink r:id="rId25">
              <w:r>
                <w:rPr>
                  <w:rFonts w:ascii="Arial" w:cs="Arial" w:eastAsia="Arial" w:hAnsi="Arial"/>
                  <w:sz w:val="18"/>
                  <w:szCs w:val="18"/>
                  <w:color w:val="0000EE"/>
                  <w:w w:val="91"/>
                </w:rPr>
                <w:t>Avago Technologies Limited 2009 Equity Incentive Award Plan (incorporated by reference to Exhibit 10.18 of the Avago Technologies</w:t>
              </w:r>
            </w:hyperlink>
          </w:p>
        </w:tc>
        <w:tc>
          <w:tcPr>
            <w:tcW w:w="380" w:type="dxa"/>
            <w:vAlign w:val="bottom"/>
            <w:gridSpan w:val="5"/>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rPr>
            </w:pPr>
            <w:hyperlink r:id="rId25">
              <w:r>
                <w:rPr>
                  <w:rFonts w:ascii="Arial" w:cs="Arial" w:eastAsia="Arial" w:hAnsi="Arial"/>
                  <w:sz w:val="18"/>
                  <w:szCs w:val="18"/>
                  <w:color w:val="0000EE"/>
                </w:rPr>
                <w:t>Limited’s Registration Statement on Form S-1 (SEC File No. 333-153127) filed with the SEC on July 27, 2009).</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10.2</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1"/>
              </w:rPr>
            </w:pPr>
            <w:hyperlink r:id="rId26">
              <w:r>
                <w:rPr>
                  <w:rFonts w:ascii="Arial" w:cs="Arial" w:eastAsia="Arial" w:hAnsi="Arial"/>
                  <w:sz w:val="18"/>
                  <w:szCs w:val="18"/>
                  <w:color w:val="auto"/>
                  <w:w w:val="91"/>
                </w:rPr>
                <w:t xml:space="preserve">Broadcom Corporation 2012 Stock Incentive Plan </w:t>
              </w:r>
              <w:r>
                <w:rPr>
                  <w:rFonts w:ascii="Arial" w:cs="Arial" w:eastAsia="Arial" w:hAnsi="Arial"/>
                  <w:sz w:val="18"/>
                  <w:szCs w:val="18"/>
                  <w:color w:val="0000EE"/>
                  <w:w w:val="91"/>
                </w:rPr>
                <w:t>(incorporated by reference to Exhibit 10.20 of Broadcom Corporation’s Annual Report on</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w w:val="99"/>
              </w:rPr>
            </w:pPr>
            <w:hyperlink r:id="rId26">
              <w:r>
                <w:rPr>
                  <w:rFonts w:ascii="Arial" w:cs="Arial" w:eastAsia="Arial" w:hAnsi="Arial"/>
                  <w:sz w:val="18"/>
                  <w:szCs w:val="18"/>
                  <w:color w:val="0000EE"/>
                  <w:w w:val="99"/>
                </w:rPr>
                <w:t>Form 10-K (SEC File No. 000-23993) filed with the SEC on January 29, 2015</w:t>
              </w:r>
              <w:r>
                <w:rPr>
                  <w:rFonts w:ascii="Arial" w:cs="Arial" w:eastAsia="Arial" w:hAnsi="Arial"/>
                  <w:sz w:val="18"/>
                  <w:szCs w:val="18"/>
                  <w:color w:val="000000"/>
                  <w:w w:val="99"/>
                </w:rPr>
                <w:t>, as amended by the Amendment to the Broadcom</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auto"/>
                <w:w w:val="94"/>
              </w:rPr>
            </w:pPr>
            <w:hyperlink r:id="rId27">
              <w:r>
                <w:rPr>
                  <w:rFonts w:ascii="Arial" w:cs="Arial" w:eastAsia="Arial" w:hAnsi="Arial"/>
                  <w:sz w:val="18"/>
                  <w:szCs w:val="18"/>
                  <w:color w:val="auto"/>
                  <w:w w:val="94"/>
                </w:rPr>
                <w:t xml:space="preserve">Corporation 2012 Stock Incentive Plan </w:t>
              </w:r>
              <w:r>
                <w:rPr>
                  <w:rFonts w:ascii="Arial" w:cs="Arial" w:eastAsia="Arial" w:hAnsi="Arial"/>
                  <w:sz w:val="18"/>
                  <w:szCs w:val="18"/>
                  <w:color w:val="0000EE"/>
                  <w:w w:val="94"/>
                </w:rPr>
                <w:t>(incorporated by reference to Exhibit 10.49 of Broadcom Limited’s Annual Report on Form 10-K</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rPr>
            </w:pPr>
            <w:hyperlink r:id="rId27">
              <w:r>
                <w:rPr>
                  <w:rFonts w:ascii="Arial" w:cs="Arial" w:eastAsia="Arial" w:hAnsi="Arial"/>
                  <w:sz w:val="18"/>
                  <w:szCs w:val="18"/>
                  <w:color w:val="0000EE"/>
                </w:rPr>
                <w:t>(SEC File No. 001-37690) filed with the SEC December 23, 2016).</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10.3</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6"/>
              </w:rPr>
            </w:pPr>
            <w:hyperlink r:id="rId28">
              <w:r>
                <w:rPr>
                  <w:rFonts w:ascii="Arial" w:cs="Arial" w:eastAsia="Arial" w:hAnsi="Arial"/>
                  <w:sz w:val="18"/>
                  <w:szCs w:val="18"/>
                  <w:color w:val="auto"/>
                  <w:w w:val="96"/>
                </w:rPr>
                <w:t xml:space="preserve">LSI Corporation 2003 Equity Incentive Plan, as amended </w:t>
              </w:r>
              <w:r>
                <w:rPr>
                  <w:rFonts w:ascii="Arial" w:cs="Arial" w:eastAsia="Arial" w:hAnsi="Arial"/>
                  <w:sz w:val="18"/>
                  <w:szCs w:val="18"/>
                  <w:color w:val="0000EE"/>
                  <w:w w:val="96"/>
                </w:rPr>
                <w:t>(incorporated by reference to Exhibit 4.1 of Avago Technologies Limited’s</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w w:val="91"/>
              </w:rPr>
            </w:pPr>
            <w:hyperlink r:id="rId28">
              <w:r>
                <w:rPr>
                  <w:rFonts w:ascii="Arial" w:cs="Arial" w:eastAsia="Arial" w:hAnsi="Arial"/>
                  <w:sz w:val="18"/>
                  <w:szCs w:val="18"/>
                  <w:color w:val="0000EE"/>
                  <w:w w:val="91"/>
                </w:rPr>
                <w:t xml:space="preserve">Registration Statement on Form S-8 (SEC File No. 333-195741) filed with the SEC on May 6, 2014) </w:t>
              </w:r>
              <w:r>
                <w:rPr>
                  <w:rFonts w:ascii="Arial" w:cs="Arial" w:eastAsia="Arial" w:hAnsi="Arial"/>
                  <w:sz w:val="18"/>
                  <w:szCs w:val="18"/>
                  <w:color w:val="000000"/>
                  <w:w w:val="91"/>
                </w:rPr>
                <w:t xml:space="preserve">as amended by the Amendment </w:t>
              </w:r>
            </w:hyperlink>
            <w:r>
              <w:rPr>
                <w:rFonts w:ascii="Arial" w:cs="Arial" w:eastAsia="Arial" w:hAnsi="Arial"/>
                <w:sz w:val="18"/>
                <w:szCs w:val="18"/>
                <w:color w:val="0000EE"/>
                <w:w w:val="91"/>
              </w:rPr>
              <w:t xml:space="preserve">to </w:t>
            </w:r>
            <w:r>
              <w:rPr>
                <w:rFonts w:ascii="Arial" w:cs="Arial" w:eastAsia="Arial" w:hAnsi="Arial"/>
                <w:sz w:val="18"/>
                <w:szCs w:val="18"/>
                <w:color w:val="000000"/>
                <w:w w:val="91"/>
              </w:rPr>
              <w:t>the</w:t>
            </w:r>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auto"/>
                <w:w w:val="94"/>
              </w:rPr>
            </w:pPr>
            <w:hyperlink r:id="rId29">
              <w:r>
                <w:rPr>
                  <w:rFonts w:ascii="Arial" w:cs="Arial" w:eastAsia="Arial" w:hAnsi="Arial"/>
                  <w:sz w:val="18"/>
                  <w:szCs w:val="18"/>
                  <w:color w:val="auto"/>
                  <w:w w:val="94"/>
                </w:rPr>
                <w:t xml:space="preserve">LSI Corporation 2003 Equity Incentive Plan </w:t>
              </w:r>
              <w:r>
                <w:rPr>
                  <w:rFonts w:ascii="Arial" w:cs="Arial" w:eastAsia="Arial" w:hAnsi="Arial"/>
                  <w:sz w:val="18"/>
                  <w:szCs w:val="18"/>
                  <w:color w:val="0000EE"/>
                  <w:w w:val="94"/>
                </w:rPr>
                <w:t>(incorporated by reference to Exhibit 10.45 of Broadcom Limited’s Annual Report on Form</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rPr>
            </w:pPr>
            <w:hyperlink r:id="rId29">
              <w:r>
                <w:rPr>
                  <w:rFonts w:ascii="Arial" w:cs="Arial" w:eastAsia="Arial" w:hAnsi="Arial"/>
                  <w:sz w:val="18"/>
                  <w:szCs w:val="18"/>
                  <w:color w:val="0000EE"/>
                </w:rPr>
                <w:t>10-K (SEC File No. 001-37690) filed with the SEC on December 23, 2016)</w:t>
              </w:r>
              <w:r>
                <w:rPr>
                  <w:rFonts w:ascii="Arial" w:cs="Arial" w:eastAsia="Arial" w:hAnsi="Arial"/>
                  <w:sz w:val="18"/>
                  <w:szCs w:val="18"/>
                  <w:color w:val="000000"/>
                </w:rPr>
                <w:t>.</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10.4</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4"/>
              </w:rPr>
            </w:pPr>
            <w:hyperlink r:id="rId30">
              <w:r>
                <w:rPr>
                  <w:rFonts w:ascii="Arial" w:cs="Arial" w:eastAsia="Arial" w:hAnsi="Arial"/>
                  <w:sz w:val="18"/>
                  <w:szCs w:val="18"/>
                  <w:color w:val="auto"/>
                  <w:w w:val="94"/>
                </w:rPr>
                <w:t>Emulex Corporation 2005 Equity Incentive Plan (</w:t>
              </w:r>
              <w:r>
                <w:rPr>
                  <w:rFonts w:ascii="Arial" w:cs="Arial" w:eastAsia="Arial" w:hAnsi="Arial"/>
                  <w:sz w:val="18"/>
                  <w:szCs w:val="18"/>
                  <w:color w:val="0000EE"/>
                  <w:w w:val="94"/>
                </w:rPr>
                <w:t>incorporated by reference to Exhibit 4.1 of Avago Technologies Limited’s Registration</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w w:val="92"/>
              </w:rPr>
            </w:pPr>
            <w:hyperlink r:id="rId30">
              <w:r>
                <w:rPr>
                  <w:rFonts w:ascii="Arial" w:cs="Arial" w:eastAsia="Arial" w:hAnsi="Arial"/>
                  <w:sz w:val="18"/>
                  <w:szCs w:val="18"/>
                  <w:color w:val="0000EE"/>
                  <w:w w:val="92"/>
                </w:rPr>
                <w:t>Statement on Form S-8 (SEC File No. 333-203858) filed with the SEC on May 5, 2015</w:t>
              </w:r>
              <w:r>
                <w:rPr>
                  <w:rFonts w:ascii="Arial" w:cs="Arial" w:eastAsia="Arial" w:hAnsi="Arial"/>
                  <w:sz w:val="18"/>
                  <w:szCs w:val="18"/>
                  <w:color w:val="000000"/>
                  <w:w w:val="92"/>
                </w:rPr>
                <w:t>), as amended by the Amendment to the Amended</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auto"/>
                <w:w w:val="93"/>
              </w:rPr>
            </w:pPr>
            <w:hyperlink r:id="rId31">
              <w:r>
                <w:rPr>
                  <w:rFonts w:ascii="Arial" w:cs="Arial" w:eastAsia="Arial" w:hAnsi="Arial"/>
                  <w:sz w:val="18"/>
                  <w:szCs w:val="18"/>
                  <w:color w:val="auto"/>
                  <w:w w:val="93"/>
                </w:rPr>
                <w:t xml:space="preserve">and Restated Emulex Corporation 2005 Equity Incentive Plan </w:t>
              </w:r>
              <w:r>
                <w:rPr>
                  <w:rFonts w:ascii="Arial" w:cs="Arial" w:eastAsia="Arial" w:hAnsi="Arial"/>
                  <w:sz w:val="18"/>
                  <w:szCs w:val="18"/>
                  <w:color w:val="0000EE"/>
                  <w:w w:val="93"/>
                </w:rPr>
                <w:t>(incorporated by reference to Exhibit 10.47 of Broadcom Limited’s Annual</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rPr>
            </w:pPr>
            <w:hyperlink r:id="rId31">
              <w:r>
                <w:rPr>
                  <w:rFonts w:ascii="Arial" w:cs="Arial" w:eastAsia="Arial" w:hAnsi="Arial"/>
                  <w:sz w:val="18"/>
                  <w:szCs w:val="18"/>
                  <w:color w:val="0000EE"/>
                </w:rPr>
                <w:t>Report on Form 10-K (SEC File No. 001-37690) filed with the SEC on December 23, 2016)</w:t>
              </w:r>
              <w:r>
                <w:rPr>
                  <w:rFonts w:ascii="Arial" w:cs="Arial" w:eastAsia="Arial" w:hAnsi="Arial"/>
                  <w:sz w:val="18"/>
                  <w:szCs w:val="18"/>
                  <w:color w:val="000000"/>
                </w:rPr>
                <w:t>.</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10.5</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0"/>
              </w:rPr>
            </w:pPr>
            <w:hyperlink r:id="rId32">
              <w:r>
                <w:rPr>
                  <w:rFonts w:ascii="Arial" w:cs="Arial" w:eastAsia="Arial" w:hAnsi="Arial"/>
                  <w:sz w:val="18"/>
                  <w:szCs w:val="18"/>
                  <w:color w:val="auto"/>
                  <w:w w:val="90"/>
                </w:rPr>
                <w:t xml:space="preserve">Brocade Communication Systems, Inc. 2009 Stock Plan, as amended and restated April 11, 2017 </w:t>
              </w:r>
              <w:r>
                <w:rPr>
                  <w:rFonts w:ascii="Arial" w:cs="Arial" w:eastAsia="Arial" w:hAnsi="Arial"/>
                  <w:sz w:val="18"/>
                  <w:szCs w:val="18"/>
                  <w:color w:val="0000EE"/>
                  <w:w w:val="90"/>
                </w:rPr>
                <w:t>(incorporated by reference to Exhibit 10.2</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w w:val="93"/>
              </w:rPr>
            </w:pPr>
            <w:hyperlink r:id="rId32">
              <w:r>
                <w:rPr>
                  <w:rFonts w:ascii="Arial" w:cs="Arial" w:eastAsia="Arial" w:hAnsi="Arial"/>
                  <w:sz w:val="18"/>
                  <w:szCs w:val="18"/>
                  <w:color w:val="0000EE"/>
                  <w:w w:val="93"/>
                </w:rPr>
                <w:t>of Brocade Communication Systems, Inc.’s Current Report on Form 8-K (SEC File No. 000-25601) filed with the SEC April 12, 2017</w:t>
              </w:r>
              <w:r>
                <w:rPr>
                  <w:rFonts w:ascii="Arial" w:cs="Arial" w:eastAsia="Arial" w:hAnsi="Arial"/>
                  <w:sz w:val="18"/>
                  <w:szCs w:val="18"/>
                  <w:color w:val="000000"/>
                  <w:w w:val="93"/>
                </w:rPr>
                <w:t>, as</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auto"/>
                <w:w w:val="93"/>
              </w:rPr>
            </w:pPr>
            <w:hyperlink r:id="rId33">
              <w:r>
                <w:rPr>
                  <w:rFonts w:ascii="Arial" w:cs="Arial" w:eastAsia="Arial" w:hAnsi="Arial"/>
                  <w:sz w:val="18"/>
                  <w:szCs w:val="18"/>
                  <w:color w:val="auto"/>
                  <w:w w:val="93"/>
                </w:rPr>
                <w:t xml:space="preserve">amended by the Amendment to the Brocade Communication Systems, Inc. 2009 Stock Plan </w:t>
              </w:r>
              <w:r>
                <w:rPr>
                  <w:rFonts w:ascii="Arial" w:cs="Arial" w:eastAsia="Arial" w:hAnsi="Arial"/>
                  <w:sz w:val="18"/>
                  <w:szCs w:val="18"/>
                  <w:color w:val="0000EE"/>
                  <w:w w:val="93"/>
                </w:rPr>
                <w:t>(incorporated by reference to Exhibit 4.2 of</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w w:val="99"/>
              </w:rPr>
            </w:pPr>
            <w:hyperlink r:id="rId33">
              <w:r>
                <w:rPr>
                  <w:rFonts w:ascii="Arial" w:cs="Arial" w:eastAsia="Arial" w:hAnsi="Arial"/>
                  <w:sz w:val="18"/>
                  <w:szCs w:val="18"/>
                  <w:color w:val="0000EE"/>
                  <w:w w:val="99"/>
                </w:rPr>
                <w:t>Broadcom Limited’s Registration Statement on Form S-8 (SEC File No. 333-221654) filed with the SEC on November 11, 2017).</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4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10.6</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3"/>
              </w:rPr>
            </w:pPr>
            <w:hyperlink r:id="rId34">
              <w:r>
                <w:rPr>
                  <w:rFonts w:ascii="Arial" w:cs="Arial" w:eastAsia="Arial" w:hAnsi="Arial"/>
                  <w:sz w:val="18"/>
                  <w:szCs w:val="18"/>
                  <w:color w:val="auto"/>
                  <w:w w:val="93"/>
                </w:rPr>
                <w:t xml:space="preserve">Brocade Communications Systems, Inc. Amended and Restated Inducement Award Plan, effective as of May 24, 2016 </w:t>
              </w:r>
              <w:r>
                <w:rPr>
                  <w:rFonts w:ascii="Arial" w:cs="Arial" w:eastAsia="Arial" w:hAnsi="Arial"/>
                  <w:sz w:val="18"/>
                  <w:szCs w:val="18"/>
                  <w:color w:val="0000EE"/>
                  <w:w w:val="93"/>
                </w:rPr>
                <w:t>(incorporated by</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4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reference to Exhibit 10.1 of Brocade Communication Systems, Inc.’s Post-Effective Amendment No. 1 to Form S-4 on Form S-8</w:t>
              </w:r>
            </w:hyperlink>
          </w:p>
        </w:tc>
        <w:tc>
          <w:tcPr>
            <w:tcW w:w="780" w:type="dxa"/>
            <w:vAlign w:val="bottom"/>
            <w:gridSpan w:val="9"/>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w w:val="94"/>
              </w:rPr>
            </w:pPr>
            <w:hyperlink r:id="rId34">
              <w:r>
                <w:rPr>
                  <w:rFonts w:ascii="Arial" w:cs="Arial" w:eastAsia="Arial" w:hAnsi="Arial"/>
                  <w:sz w:val="18"/>
                  <w:szCs w:val="18"/>
                  <w:color w:val="0000EE"/>
                  <w:w w:val="94"/>
                </w:rPr>
                <w:t>Registration Statement (SEC File No. 333-211823) filed with the SEC on June 3, 2016</w:t>
              </w:r>
              <w:r>
                <w:rPr>
                  <w:rFonts w:ascii="Arial" w:cs="Arial" w:eastAsia="Arial" w:hAnsi="Arial"/>
                  <w:sz w:val="18"/>
                  <w:szCs w:val="18"/>
                  <w:color w:val="000000"/>
                  <w:w w:val="94"/>
                </w:rPr>
                <w:t>, as amended by the Amendment to the Brocade</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auto"/>
                <w:w w:val="95"/>
              </w:rPr>
            </w:pPr>
            <w:hyperlink r:id="rId35">
              <w:r>
                <w:rPr>
                  <w:rFonts w:ascii="Arial" w:cs="Arial" w:eastAsia="Arial" w:hAnsi="Arial"/>
                  <w:sz w:val="18"/>
                  <w:szCs w:val="18"/>
                  <w:color w:val="auto"/>
                  <w:w w:val="95"/>
                </w:rPr>
                <w:t xml:space="preserve">Communication Systems, Inc. Amended and Restated Inducement Award Plan </w:t>
              </w:r>
              <w:r>
                <w:rPr>
                  <w:rFonts w:ascii="Arial" w:cs="Arial" w:eastAsia="Arial" w:hAnsi="Arial"/>
                  <w:sz w:val="18"/>
                  <w:szCs w:val="18"/>
                  <w:color w:val="0000EE"/>
                  <w:w w:val="95"/>
                </w:rPr>
                <w:t>(incorporated by reference to Exhibit 4.4 of Broadcom</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80" w:type="dxa"/>
            <w:vAlign w:val="bottom"/>
            <w:gridSpan w:val="6"/>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56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Limited’s Registration Statement on Form S-8 (SEC File No. 333-221654) filed with the SEC on November 11, 2017).</w:t>
              </w:r>
            </w:hyperlink>
          </w:p>
        </w:tc>
        <w:tc>
          <w:tcPr>
            <w:tcW w:w="1560" w:type="dxa"/>
            <w:vAlign w:val="bottom"/>
            <w:gridSpan w:val="11"/>
          </w:tcPr>
          <w:p>
            <w:pPr>
              <w:spacing w:after="0"/>
              <w:rPr>
                <w:sz w:val="17"/>
                <w:szCs w:val="17"/>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10.7</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6"/>
              </w:rPr>
            </w:pPr>
            <w:hyperlink r:id="rId36">
              <w:r>
                <w:rPr>
                  <w:rFonts w:ascii="Arial" w:cs="Arial" w:eastAsia="Arial" w:hAnsi="Arial"/>
                  <w:sz w:val="18"/>
                  <w:szCs w:val="18"/>
                  <w:color w:val="auto"/>
                  <w:w w:val="96"/>
                </w:rPr>
                <w:t xml:space="preserve">Amended and Restated Broadcom Limited Employee Share Purchase Plan </w:t>
              </w:r>
              <w:r>
                <w:rPr>
                  <w:rFonts w:ascii="Arial" w:cs="Arial" w:eastAsia="Arial" w:hAnsi="Arial"/>
                  <w:sz w:val="18"/>
                  <w:szCs w:val="18"/>
                  <w:color w:val="0000EE"/>
                  <w:w w:val="96"/>
                </w:rPr>
                <w:t>(incorporated by reference to Exhibit 10.2 of Broadcom</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60" w:type="dxa"/>
            <w:vAlign w:val="bottom"/>
            <w:tcBorders>
              <w:right w:val="single" w:sz="8" w:color="0000EE"/>
            </w:tcBorders>
            <w:gridSpan w:val="2"/>
          </w:tcPr>
          <w:p>
            <w:pPr>
              <w:spacing w:after="0" w:line="20" w:lineRule="exact"/>
              <w:rPr>
                <w:sz w:val="1"/>
                <w:szCs w:val="1"/>
                <w:color w:val="auto"/>
              </w:rPr>
            </w:pPr>
          </w:p>
        </w:tc>
        <w:tc>
          <w:tcPr>
            <w:tcW w:w="2140" w:type="dxa"/>
            <w:vAlign w:val="bottom"/>
            <w:gridSpan w:val="8"/>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740" w:type="dxa"/>
            <w:vAlign w:val="bottom"/>
            <w:tcBorders>
              <w:bottom w:val="single" w:sz="8" w:color="0000EE"/>
            </w:tcBorders>
            <w:gridSpan w:val="25"/>
          </w:tcPr>
          <w:p>
            <w:pPr>
              <w:spacing w:after="0" w:line="196" w:lineRule="exact"/>
              <w:rPr>
                <w:rFonts w:ascii="Arial" w:cs="Arial" w:eastAsia="Arial" w:hAnsi="Arial"/>
                <w:sz w:val="18"/>
                <w:szCs w:val="18"/>
                <w:color w:val="0000EE"/>
                <w:w w:val="92"/>
              </w:rPr>
            </w:pPr>
            <w:hyperlink r:id="rId36">
              <w:r>
                <w:rPr>
                  <w:rFonts w:ascii="Arial" w:cs="Arial" w:eastAsia="Arial" w:hAnsi="Arial"/>
                  <w:sz w:val="18"/>
                  <w:szCs w:val="18"/>
                  <w:color w:val="0000EE"/>
                  <w:w w:val="92"/>
                </w:rPr>
                <w:t>Limited’s Current Report on Form 8-K (SEC File No. 001-37690) filed with the SEC on February 2, 2016).</w:t>
              </w:r>
            </w:hyperlink>
          </w:p>
        </w:tc>
        <w:tc>
          <w:tcPr>
            <w:tcW w:w="2380" w:type="dxa"/>
            <w:vAlign w:val="bottom"/>
            <w:gridSpan w:val="13"/>
          </w:tcPr>
          <w:p>
            <w:pPr>
              <w:spacing w:after="0"/>
              <w:rPr>
                <w:sz w:val="17"/>
                <w:szCs w:val="17"/>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10.8</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5"/>
              </w:rPr>
            </w:pPr>
            <w:hyperlink r:id="rId37">
              <w:r>
                <w:rPr>
                  <w:rFonts w:ascii="Arial" w:cs="Arial" w:eastAsia="Arial" w:hAnsi="Arial"/>
                  <w:sz w:val="18"/>
                  <w:szCs w:val="18"/>
                  <w:color w:val="auto"/>
                  <w:w w:val="95"/>
                </w:rPr>
                <w:t xml:space="preserve">Option to Purchase Syntax Stock Agreement with Joseph M. Marvin </w:t>
              </w:r>
              <w:r>
                <w:rPr>
                  <w:rFonts w:ascii="Arial" w:cs="Arial" w:eastAsia="Arial" w:hAnsi="Arial"/>
                  <w:sz w:val="18"/>
                  <w:szCs w:val="18"/>
                  <w:color w:val="0000EE"/>
                  <w:w w:val="95"/>
                </w:rPr>
                <w:t>(incorporated by reference to Exhibit 4.3 of Avago Technologies</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600" w:type="dxa"/>
            <w:vAlign w:val="bottom"/>
            <w:gridSpan w:val="10"/>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Limited’s Registration Statement on Form S-8 (SEC File No. 333-196438) filed with the SEC on June 2, 2014).</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160" w:type="dxa"/>
            <w:vAlign w:val="bottom"/>
            <w:gridSpan w:val="1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10.9</w:t>
            </w:r>
          </w:p>
        </w:tc>
        <w:tc>
          <w:tcPr>
            <w:tcW w:w="680" w:type="dxa"/>
            <w:vAlign w:val="bottom"/>
          </w:tcPr>
          <w:p>
            <w:pPr>
              <w:spacing w:after="0"/>
              <w:rPr>
                <w:sz w:val="24"/>
                <w:szCs w:val="24"/>
                <w:color w:val="auto"/>
              </w:rPr>
            </w:pPr>
          </w:p>
        </w:tc>
        <w:tc>
          <w:tcPr>
            <w:tcW w:w="10120" w:type="dxa"/>
            <w:vAlign w:val="bottom"/>
            <w:gridSpan w:val="38"/>
          </w:tcPr>
          <w:p>
            <w:pPr>
              <w:spacing w:after="0"/>
              <w:rPr>
                <w:rFonts w:ascii="Arial" w:cs="Arial" w:eastAsia="Arial" w:hAnsi="Arial"/>
                <w:sz w:val="18"/>
                <w:szCs w:val="18"/>
                <w:color w:val="auto"/>
                <w:w w:val="92"/>
              </w:rPr>
            </w:pPr>
            <w:hyperlink r:id="rId38">
              <w:r>
                <w:rPr>
                  <w:rFonts w:ascii="Arial" w:cs="Arial" w:eastAsia="Arial" w:hAnsi="Arial"/>
                  <w:sz w:val="18"/>
                  <w:szCs w:val="18"/>
                  <w:color w:val="auto"/>
                  <w:w w:val="92"/>
                </w:rPr>
                <w:t xml:space="preserve">Amended and Restated Equity Incentive Plan for Executive Employees of Avago Technologies Limited and Subsidiaries </w:t>
              </w:r>
              <w:r>
                <w:rPr>
                  <w:rFonts w:ascii="Arial" w:cs="Arial" w:eastAsia="Arial" w:hAnsi="Arial"/>
                  <w:sz w:val="18"/>
                  <w:szCs w:val="18"/>
                  <w:color w:val="0000EE"/>
                  <w:w w:val="92"/>
                </w:rPr>
                <w:t>(incorporated by</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82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tcBorders>
              <w:right w:val="single" w:sz="8" w:color="0000EE"/>
            </w:tcBorders>
            <w:gridSpan w:val="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920" w:type="dxa"/>
            <w:vAlign w:val="bottom"/>
            <w:tcBorders>
              <w:bottom w:val="single" w:sz="8" w:color="0000EE"/>
            </w:tcBorders>
            <w:gridSpan w:val="36"/>
          </w:tcPr>
          <w:p>
            <w:pPr>
              <w:spacing w:after="0" w:line="196" w:lineRule="exact"/>
              <w:rPr>
                <w:rFonts w:ascii="Arial" w:cs="Arial" w:eastAsia="Arial" w:hAnsi="Arial"/>
                <w:sz w:val="18"/>
                <w:szCs w:val="18"/>
                <w:color w:val="0000EE"/>
                <w:w w:val="92"/>
              </w:rPr>
            </w:pPr>
            <w:hyperlink r:id="rId38">
              <w:r>
                <w:rPr>
                  <w:rFonts w:ascii="Arial" w:cs="Arial" w:eastAsia="Arial" w:hAnsi="Arial"/>
                  <w:sz w:val="18"/>
                  <w:szCs w:val="18"/>
                  <w:color w:val="0000EE"/>
                  <w:w w:val="92"/>
                </w:rPr>
                <w:t>reference to Exhibit 4.18 of Avago Technologies Finance Pte. Ltd.’s Annual Report on Form 20-F/A (File No. 333-137664) filed with the</w:t>
              </w:r>
            </w:hyperlink>
          </w:p>
        </w:tc>
        <w:tc>
          <w:tcPr>
            <w:tcW w:w="200" w:type="dxa"/>
            <w:vAlign w:val="bottom"/>
            <w:gridSpan w:val="2"/>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120" w:type="dxa"/>
            <w:vAlign w:val="bottom"/>
            <w:gridSpan w:val="38"/>
          </w:tcPr>
          <w:p>
            <w:pPr>
              <w:spacing w:after="0" w:line="196" w:lineRule="exact"/>
              <w:rPr>
                <w:rFonts w:ascii="Arial" w:cs="Arial" w:eastAsia="Arial" w:hAnsi="Arial"/>
                <w:sz w:val="18"/>
                <w:szCs w:val="18"/>
                <w:color w:val="0000EE"/>
              </w:rPr>
            </w:pPr>
            <w:hyperlink r:id="rId38">
              <w:r>
                <w:rPr>
                  <w:rFonts w:ascii="Arial" w:cs="Arial" w:eastAsia="Arial" w:hAnsi="Arial"/>
                  <w:sz w:val="18"/>
                  <w:szCs w:val="18"/>
                  <w:color w:val="0000EE"/>
                </w:rPr>
                <w:t>SEC on February 27, 2008).</w:t>
              </w:r>
            </w:hyperlink>
          </w:p>
        </w:tc>
      </w:tr>
      <w:tr>
        <w:trPr>
          <w:trHeight w:val="20"/>
        </w:trPr>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160" w:type="dxa"/>
            <w:vAlign w:val="bottom"/>
            <w:gridSpan w:val="13"/>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r>
      <w:tr>
        <w:trPr>
          <w:trHeight w:val="330"/>
        </w:trPr>
        <w:tc>
          <w:tcPr>
            <w:tcW w:w="620" w:type="dxa"/>
            <w:vAlign w:val="bottom"/>
          </w:tcPr>
          <w:p>
            <w:pPr>
              <w:spacing w:after="0"/>
              <w:rPr>
                <w:sz w:val="20"/>
                <w:szCs w:val="20"/>
                <w:color w:val="auto"/>
              </w:rPr>
            </w:pPr>
            <w:r>
              <w:rPr>
                <w:rFonts w:ascii="Arial" w:cs="Arial" w:eastAsia="Arial" w:hAnsi="Arial"/>
                <w:sz w:val="18"/>
                <w:szCs w:val="18"/>
                <w:color w:val="auto"/>
              </w:rPr>
              <w:t>10.10</w:t>
            </w:r>
          </w:p>
        </w:tc>
        <w:tc>
          <w:tcPr>
            <w:tcW w:w="680" w:type="dxa"/>
            <w:vAlign w:val="bottom"/>
          </w:tcPr>
          <w:p>
            <w:pPr>
              <w:spacing w:after="0"/>
              <w:rPr>
                <w:sz w:val="24"/>
                <w:szCs w:val="24"/>
                <w:color w:val="auto"/>
              </w:rPr>
            </w:pPr>
          </w:p>
        </w:tc>
        <w:tc>
          <w:tcPr>
            <w:tcW w:w="10120" w:type="dxa"/>
            <w:vAlign w:val="bottom"/>
            <w:gridSpan w:val="38"/>
          </w:tcPr>
          <w:p>
            <w:pPr>
              <w:spacing w:after="0"/>
              <w:rPr>
                <w:sz w:val="20"/>
                <w:szCs w:val="20"/>
                <w:color w:val="auto"/>
              </w:rPr>
            </w:pPr>
            <w:r>
              <w:rPr>
                <w:rFonts w:ascii="Arial" w:cs="Arial" w:eastAsia="Arial" w:hAnsi="Arial"/>
                <w:sz w:val="18"/>
                <w:szCs w:val="18"/>
                <w:color w:val="auto"/>
                <w:w w:val="97"/>
              </w:rPr>
              <w:t>Amended and Restated Equity Incentive Plan for Senior Management Employees of Avago Technologies Limited and Subsidiaries</w:t>
            </w:r>
          </w:p>
        </w:tc>
      </w:tr>
      <w:tr>
        <w:trPr>
          <w:trHeight w:val="190"/>
        </w:trPr>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120" w:type="dxa"/>
            <w:vAlign w:val="bottom"/>
            <w:gridSpan w:val="38"/>
          </w:tcPr>
          <w:p>
            <w:pPr>
              <w:spacing w:after="0" w:line="190" w:lineRule="exact"/>
              <w:rPr>
                <w:rFonts w:ascii="Arial" w:cs="Arial" w:eastAsia="Arial" w:hAnsi="Arial"/>
                <w:sz w:val="18"/>
                <w:szCs w:val="18"/>
                <w:color w:val="0000EE"/>
                <w:w w:val="97"/>
              </w:rPr>
            </w:pPr>
            <w:hyperlink r:id="rId39">
              <w:r>
                <w:rPr>
                  <w:rFonts w:ascii="Arial" w:cs="Arial" w:eastAsia="Arial" w:hAnsi="Arial"/>
                  <w:sz w:val="18"/>
                  <w:szCs w:val="18"/>
                  <w:color w:val="0000EE"/>
                  <w:w w:val="97"/>
                </w:rPr>
                <w:t>(incorporated by reference to Exhibit 4.19 of Avago Technologies Finance Pte. Ltd.’s Annual Report on Form 20-F/A (File No. 333-</w:t>
              </w:r>
            </w:hyperlink>
          </w:p>
        </w:tc>
      </w:tr>
      <w:tr>
        <w:trPr>
          <w:trHeight w:val="196"/>
        </w:trPr>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39">
              <w:r>
                <w:rPr>
                  <w:rFonts w:ascii="Arial" w:cs="Arial" w:eastAsia="Arial" w:hAnsi="Arial"/>
                  <w:sz w:val="18"/>
                  <w:szCs w:val="18"/>
                  <w:color w:val="0000EE"/>
                  <w:w w:val="91"/>
                </w:rPr>
                <w:t>137664) filed with the SEC on February 27, 2008).</w:t>
              </w:r>
            </w:hyperlink>
          </w:p>
        </w:tc>
        <w:tc>
          <w:tcPr>
            <w:tcW w:w="5860" w:type="dxa"/>
            <w:vAlign w:val="bottom"/>
            <w:tcBorders>
              <w:top w:val="single" w:sz="8" w:color="0000EE"/>
            </w:tcBorders>
            <w:gridSpan w:val="22"/>
          </w:tcPr>
          <w:p>
            <w:pPr>
              <w:spacing w:after="0"/>
              <w:rPr>
                <w:sz w:val="17"/>
                <w:szCs w:val="17"/>
                <w:color w:val="auto"/>
              </w:rPr>
            </w:pPr>
          </w:p>
        </w:tc>
        <w:tc>
          <w:tcPr>
            <w:tcW w:w="580" w:type="dxa"/>
            <w:vAlign w:val="bottom"/>
            <w:gridSpan w:val="7"/>
          </w:tcPr>
          <w:p>
            <w:pPr>
              <w:spacing w:after="0"/>
              <w:rPr>
                <w:sz w:val="17"/>
                <w:szCs w:val="17"/>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23.1</w:t>
            </w:r>
          </w:p>
        </w:tc>
        <w:tc>
          <w:tcPr>
            <w:tcW w:w="680" w:type="dxa"/>
            <w:vAlign w:val="bottom"/>
          </w:tcPr>
          <w:p>
            <w:pPr>
              <w:spacing w:after="0"/>
              <w:rPr>
                <w:sz w:val="24"/>
                <w:szCs w:val="24"/>
                <w:color w:val="auto"/>
              </w:rPr>
            </w:pPr>
          </w:p>
        </w:tc>
        <w:tc>
          <w:tcPr>
            <w:tcW w:w="44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3"/>
              </w:rPr>
              <w:t>Consent of Latham &amp; Watkins LLP (included in Exhibit 5.1).</w:t>
            </w:r>
          </w:p>
        </w:tc>
        <w:tc>
          <w:tcPr>
            <w:tcW w:w="5700" w:type="dxa"/>
            <w:vAlign w:val="bottom"/>
            <w:gridSpan w:val="27"/>
          </w:tcPr>
          <w:p>
            <w:pPr>
              <w:spacing w:after="0"/>
              <w:rPr>
                <w:sz w:val="24"/>
                <w:szCs w:val="24"/>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23.2</w:t>
            </w:r>
          </w:p>
        </w:tc>
        <w:tc>
          <w:tcPr>
            <w:tcW w:w="680" w:type="dxa"/>
            <w:vAlign w:val="bottom"/>
          </w:tcPr>
          <w:p>
            <w:pPr>
              <w:spacing w:after="0"/>
              <w:rPr>
                <w:sz w:val="24"/>
                <w:szCs w:val="24"/>
                <w:color w:val="auto"/>
              </w:rPr>
            </w:pPr>
          </w:p>
        </w:tc>
        <w:tc>
          <w:tcPr>
            <w:tcW w:w="758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0"/>
              </w:rPr>
              <w:t>Consent of PricewaterhouseCoopers LLP, independent registered public accounting firm (filed herewith).</w:t>
            </w:r>
          </w:p>
        </w:tc>
        <w:tc>
          <w:tcPr>
            <w:tcW w:w="2540" w:type="dxa"/>
            <w:vAlign w:val="bottom"/>
            <w:gridSpan w:val="14"/>
          </w:tcPr>
          <w:p>
            <w:pPr>
              <w:spacing w:after="0"/>
              <w:rPr>
                <w:sz w:val="24"/>
                <w:szCs w:val="24"/>
                <w:color w:val="auto"/>
              </w:rPr>
            </w:pPr>
          </w:p>
        </w:tc>
      </w:tr>
      <w:tr>
        <w:trPr>
          <w:trHeight w:val="304"/>
        </w:trPr>
        <w:tc>
          <w:tcPr>
            <w:tcW w:w="620" w:type="dxa"/>
            <w:vAlign w:val="bottom"/>
          </w:tcPr>
          <w:p>
            <w:pPr>
              <w:jc w:val="right"/>
              <w:ind w:right="211"/>
              <w:spacing w:after="0"/>
              <w:rPr>
                <w:sz w:val="20"/>
                <w:szCs w:val="20"/>
                <w:color w:val="auto"/>
              </w:rPr>
            </w:pPr>
            <w:r>
              <w:rPr>
                <w:rFonts w:ascii="Arial" w:cs="Arial" w:eastAsia="Arial" w:hAnsi="Arial"/>
                <w:sz w:val="18"/>
                <w:szCs w:val="18"/>
                <w:color w:val="auto"/>
                <w:w w:val="85"/>
              </w:rPr>
              <w:t>24.1</w:t>
            </w:r>
          </w:p>
        </w:tc>
        <w:tc>
          <w:tcPr>
            <w:tcW w:w="680" w:type="dxa"/>
            <w:vAlign w:val="bottom"/>
          </w:tcPr>
          <w:p>
            <w:pPr>
              <w:spacing w:after="0"/>
              <w:rPr>
                <w:sz w:val="24"/>
                <w:szCs w:val="24"/>
                <w:color w:val="auto"/>
              </w:rPr>
            </w:pPr>
          </w:p>
        </w:tc>
        <w:tc>
          <w:tcPr>
            <w:tcW w:w="34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Power of Attorney (included on signature page).</w:t>
              </w:r>
            </w:hyperlink>
          </w:p>
        </w:tc>
        <w:tc>
          <w:tcPr>
            <w:tcW w:w="6640" w:type="dxa"/>
            <w:vAlign w:val="bottom"/>
            <w:gridSpan w:val="32"/>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San Jose, State of California, on this 4th day of April 2018.</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BROADCOM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Thomas H. Krause, Jr.</w:t>
      </w:r>
    </w:p>
    <w:p>
      <w:pPr>
        <w:spacing w:after="0" w:line="23" w:lineRule="exact"/>
        <w:rPr>
          <w:sz w:val="20"/>
          <w:szCs w:val="20"/>
          <w:color w:val="auto"/>
        </w:rPr>
      </w:pPr>
    </w:p>
    <w:p>
      <w:pPr>
        <w:ind w:left="8520"/>
        <w:spacing w:after="0"/>
        <w:rPr>
          <w:sz w:val="20"/>
          <w:szCs w:val="20"/>
          <w:color w:val="auto"/>
        </w:rPr>
      </w:pPr>
      <w:r>
        <w:rPr>
          <w:rFonts w:ascii="Arial" w:cs="Arial" w:eastAsia="Arial" w:hAnsi="Arial"/>
          <w:sz w:val="18"/>
          <w:szCs w:val="18"/>
          <w:color w:val="auto"/>
        </w:rPr>
        <w:t>Thomas H. Krause,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780"/>
        <w:spacing w:after="0"/>
        <w:rPr>
          <w:sz w:val="20"/>
          <w:szCs w:val="20"/>
          <w:color w:val="auto"/>
        </w:rPr>
      </w:pPr>
      <w:r>
        <w:rPr>
          <w:rFonts w:ascii="Arial" w:cs="Arial" w:eastAsia="Arial" w:hAnsi="Arial"/>
          <w:sz w:val="18"/>
          <w:szCs w:val="18"/>
          <w:i w:val="1"/>
          <w:iCs w:val="1"/>
          <w:color w:val="auto"/>
        </w:rPr>
        <w:t>Vice President and Chief Financial Officer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does hereby constitute and appoint Hock E. Tan, Thomas H. Krause, Jr. and Mark Brazeal, and each of them, with full power of substitution and full power to act without the others, his or her true and lawful attorney-in-fact and agent to act for him or her in his or her name, place and stead, in any and all capacities, to sign any and all amendments (including post-effective amendments) to the Registration Statements amended by this Post-Effective Amendment, and to file this Post-Effective Amendment, with all exhibits thereto, and other documents in connection therewith, with the SEC, granting unto said attorneys-in-fact and agents, and each of them, full power and authority to do and perform each and every act and thing requisite and necessary to be done in order to effectuate the same as fully, to all intents and purposes, as they or he or she might or could do in person, hereby ratifying and confirming all that said attorneys-in-fact and agents, or any of them, may lawfully do or cause to be done by virtue hereof.</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Act, this Post-Effective Amendment has been signed by the following persons in the capacities and on the date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366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Title</w:t>
            </w: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Hock E. Tan</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 and</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182"/>
        </w:trPr>
        <w:tc>
          <w:tcPr>
            <w:tcW w:w="4000" w:type="dxa"/>
            <w:vAlign w:val="bottom"/>
          </w:tcPr>
          <w:p>
            <w:pPr>
              <w:jc w:val="center"/>
              <w:spacing w:after="0" w:line="182" w:lineRule="exact"/>
              <w:rPr>
                <w:sz w:val="20"/>
                <w:szCs w:val="20"/>
                <w:color w:val="auto"/>
              </w:rPr>
            </w:pPr>
            <w:r>
              <w:rPr>
                <w:rFonts w:ascii="Arial" w:cs="Arial" w:eastAsia="Arial" w:hAnsi="Arial"/>
                <w:sz w:val="18"/>
                <w:szCs w:val="18"/>
                <w:color w:val="auto"/>
                <w:w w:val="90"/>
              </w:rPr>
              <w:t>Hock E. Tan</w:t>
            </w:r>
          </w:p>
        </w:tc>
        <w:tc>
          <w:tcPr>
            <w:tcW w:w="120" w:type="dxa"/>
            <w:vAlign w:val="bottom"/>
          </w:tcPr>
          <w:p>
            <w:pPr>
              <w:spacing w:after="0"/>
              <w:rPr>
                <w:sz w:val="15"/>
                <w:szCs w:val="15"/>
                <w:color w:val="auto"/>
              </w:rPr>
            </w:pPr>
          </w:p>
        </w:tc>
        <w:tc>
          <w:tcPr>
            <w:tcW w:w="3780" w:type="dxa"/>
            <w:vAlign w:val="bottom"/>
            <w:gridSpan w:val="2"/>
          </w:tcPr>
          <w:p>
            <w:pPr>
              <w:spacing w:after="0" w:line="182" w:lineRule="exact"/>
              <w:rPr>
                <w:sz w:val="20"/>
                <w:szCs w:val="20"/>
                <w:color w:val="auto"/>
              </w:rPr>
            </w:pPr>
            <w:r>
              <w:rPr>
                <w:rFonts w:ascii="Arial" w:cs="Arial" w:eastAsia="Arial" w:hAnsi="Arial"/>
                <w:sz w:val="18"/>
                <w:szCs w:val="18"/>
                <w:color w:val="auto"/>
              </w:rPr>
              <w:t>Director</w:t>
            </w:r>
          </w:p>
        </w:tc>
        <w:tc>
          <w:tcPr>
            <w:tcW w:w="3520" w:type="dxa"/>
            <w:vAlign w:val="bottom"/>
          </w:tcPr>
          <w:p>
            <w:pPr>
              <w:spacing w:after="0"/>
              <w:rPr>
                <w:sz w:val="15"/>
                <w:szCs w:val="15"/>
                <w:color w:val="auto"/>
              </w:rPr>
            </w:pPr>
          </w:p>
        </w:tc>
      </w:tr>
      <w:tr>
        <w:trPr>
          <w:trHeight w:val="230"/>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520" w:type="dxa"/>
            <w:vAlign w:val="bottom"/>
          </w:tcPr>
          <w:p>
            <w:pPr>
              <w:spacing w:after="0"/>
              <w:rPr>
                <w:sz w:val="20"/>
                <w:szCs w:val="20"/>
                <w:color w:val="auto"/>
              </w:rPr>
            </w:pPr>
          </w:p>
        </w:tc>
      </w:tr>
      <w:tr>
        <w:trPr>
          <w:trHeight w:val="446"/>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H. Krause, Jr.</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9"/>
              </w:rPr>
              <w:t>Thomas H. Krause, Jr.</w:t>
            </w:r>
          </w:p>
        </w:tc>
        <w:tc>
          <w:tcPr>
            <w:tcW w:w="1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c>
          <w:tcPr>
            <w:tcW w:w="352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Kirsten Spears</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Corporate Controller</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9"/>
              </w:rPr>
              <w:t>Kirsten Spears</w:t>
            </w:r>
          </w:p>
        </w:tc>
        <w:tc>
          <w:tcPr>
            <w:tcW w:w="12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(Principal Accounting Officer)</w:t>
            </w:r>
          </w:p>
        </w:tc>
        <w:tc>
          <w:tcPr>
            <w:tcW w:w="352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James V. Diller</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Chairman of the Board of Directors</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0"/>
              </w:rPr>
              <w:t>James V. Diller</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Gayla J. Delly</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3"/>
              </w:rPr>
              <w:t>Gayla J. Delly</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Lewis C. Eggebrecht</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1"/>
              </w:rPr>
              <w:t>Lewis C. Eggebrecht</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Kenneth Y. Hao</w:t>
            </w:r>
          </w:p>
        </w:tc>
        <w:tc>
          <w:tcPr>
            <w:tcW w:w="120" w:type="dxa"/>
            <w:vAlign w:val="bottom"/>
          </w:tcPr>
          <w:p>
            <w:pPr>
              <w:spacing w:after="0"/>
              <w:rPr>
                <w:sz w:val="24"/>
                <w:szCs w:val="24"/>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3520" w:type="dxa"/>
            <w:vAlign w:val="bottom"/>
          </w:tcPr>
          <w:p>
            <w:pPr>
              <w:jc w:val="center"/>
              <w:spacing w:after="0"/>
              <w:rPr>
                <w:sz w:val="20"/>
                <w:szCs w:val="20"/>
                <w:color w:val="auto"/>
              </w:rPr>
            </w:pPr>
            <w:r>
              <w:rPr>
                <w:rFonts w:ascii="Arial" w:cs="Arial" w:eastAsia="Arial" w:hAnsi="Arial"/>
                <w:sz w:val="18"/>
                <w:szCs w:val="18"/>
                <w:color w:val="auto"/>
                <w:w w:val="94"/>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9"/>
              </w:rPr>
              <w:t>Kenneth Y. Hao</w:t>
            </w:r>
          </w:p>
        </w:tc>
        <w:tc>
          <w:tcPr>
            <w:tcW w:w="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Eddy W. Hartenstein</w:t>
            </w:r>
          </w:p>
        </w:tc>
        <w:tc>
          <w:tcPr>
            <w:tcW w:w="29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2220"/>
              <w:spacing w:after="0"/>
              <w:rPr>
                <w:sz w:val="20"/>
                <w:szCs w:val="20"/>
                <w:color w:val="auto"/>
              </w:rPr>
            </w:pPr>
            <w:r>
              <w:rPr>
                <w:rFonts w:ascii="Arial" w:cs="Arial" w:eastAsia="Arial" w:hAnsi="Arial"/>
                <w:sz w:val="18"/>
                <w:szCs w:val="18"/>
                <w:color w:val="auto"/>
                <w:w w:val="92"/>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0"/>
              </w:rPr>
              <w:t>Eddy W. Hartenstein</w:t>
            </w:r>
          </w:p>
        </w:tc>
        <w:tc>
          <w:tcPr>
            <w:tcW w:w="296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Check Kian Low</w:t>
            </w:r>
          </w:p>
        </w:tc>
        <w:tc>
          <w:tcPr>
            <w:tcW w:w="29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2220"/>
              <w:spacing w:after="0"/>
              <w:rPr>
                <w:sz w:val="20"/>
                <w:szCs w:val="20"/>
                <w:color w:val="auto"/>
              </w:rPr>
            </w:pPr>
            <w:r>
              <w:rPr>
                <w:rFonts w:ascii="Arial" w:cs="Arial" w:eastAsia="Arial" w:hAnsi="Arial"/>
                <w:sz w:val="18"/>
                <w:szCs w:val="18"/>
                <w:color w:val="auto"/>
                <w:w w:val="92"/>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3"/>
              </w:rPr>
              <w:t>Check Kian Low</w:t>
            </w:r>
          </w:p>
        </w:tc>
        <w:tc>
          <w:tcPr>
            <w:tcW w:w="296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Donald Macleod</w:t>
            </w:r>
          </w:p>
        </w:tc>
        <w:tc>
          <w:tcPr>
            <w:tcW w:w="29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2220"/>
              <w:spacing w:after="0"/>
              <w:rPr>
                <w:sz w:val="20"/>
                <w:szCs w:val="20"/>
                <w:color w:val="auto"/>
              </w:rPr>
            </w:pPr>
            <w:r>
              <w:rPr>
                <w:rFonts w:ascii="Arial" w:cs="Arial" w:eastAsia="Arial" w:hAnsi="Arial"/>
                <w:sz w:val="18"/>
                <w:szCs w:val="18"/>
                <w:color w:val="auto"/>
                <w:w w:val="92"/>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2"/>
              </w:rPr>
              <w:t>Donald Macleod</w:t>
            </w:r>
          </w:p>
        </w:tc>
        <w:tc>
          <w:tcPr>
            <w:tcW w:w="296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Peter J. Marks</w:t>
            </w:r>
          </w:p>
        </w:tc>
        <w:tc>
          <w:tcPr>
            <w:tcW w:w="29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2220"/>
              <w:spacing w:after="0"/>
              <w:rPr>
                <w:sz w:val="20"/>
                <w:szCs w:val="20"/>
                <w:color w:val="auto"/>
              </w:rPr>
            </w:pPr>
            <w:r>
              <w:rPr>
                <w:rFonts w:ascii="Arial" w:cs="Arial" w:eastAsia="Arial" w:hAnsi="Arial"/>
                <w:sz w:val="18"/>
                <w:szCs w:val="18"/>
                <w:color w:val="auto"/>
                <w:w w:val="92"/>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89"/>
              </w:rPr>
              <w:t>Peter J. Marks</w:t>
            </w:r>
          </w:p>
        </w:tc>
        <w:tc>
          <w:tcPr>
            <w:tcW w:w="2960" w:type="dxa"/>
            <w:vAlign w:val="bottom"/>
          </w:tcPr>
          <w:p>
            <w:pPr>
              <w:spacing w:after="0"/>
              <w:rPr>
                <w:sz w:val="19"/>
                <w:szCs w:val="19"/>
                <w:color w:val="auto"/>
              </w:rPr>
            </w:pPr>
          </w:p>
        </w:tc>
        <w:tc>
          <w:tcPr>
            <w:tcW w:w="3180" w:type="dxa"/>
            <w:vAlign w:val="bottom"/>
          </w:tcPr>
          <w:p>
            <w:pPr>
              <w:spacing w:after="0"/>
              <w:rPr>
                <w:sz w:val="19"/>
                <w:szCs w:val="19"/>
                <w:color w:val="auto"/>
              </w:rPr>
            </w:pPr>
          </w:p>
        </w:tc>
      </w:tr>
      <w:tr>
        <w:trPr>
          <w:trHeight w:val="418"/>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Henry Samueli</w:t>
            </w:r>
          </w:p>
        </w:tc>
        <w:tc>
          <w:tcPr>
            <w:tcW w:w="2960" w:type="dxa"/>
            <w:vAlign w:val="bottom"/>
          </w:tcPr>
          <w:p>
            <w:pPr>
              <w:ind w:left="120"/>
              <w:spacing w:after="0"/>
              <w:rPr>
                <w:sz w:val="20"/>
                <w:szCs w:val="20"/>
                <w:color w:val="auto"/>
              </w:rPr>
            </w:pPr>
            <w:r>
              <w:rPr>
                <w:rFonts w:ascii="Arial" w:cs="Arial" w:eastAsia="Arial" w:hAnsi="Arial"/>
                <w:sz w:val="18"/>
                <w:szCs w:val="18"/>
                <w:color w:val="auto"/>
              </w:rPr>
              <w:t>Director</w:t>
            </w:r>
          </w:p>
        </w:tc>
        <w:tc>
          <w:tcPr>
            <w:tcW w:w="3180" w:type="dxa"/>
            <w:vAlign w:val="bottom"/>
          </w:tcPr>
          <w:p>
            <w:pPr>
              <w:ind w:left="2220"/>
              <w:spacing w:after="0"/>
              <w:rPr>
                <w:sz w:val="20"/>
                <w:szCs w:val="20"/>
                <w:color w:val="auto"/>
              </w:rPr>
            </w:pPr>
            <w:r>
              <w:rPr>
                <w:rFonts w:ascii="Arial" w:cs="Arial" w:eastAsia="Arial" w:hAnsi="Arial"/>
                <w:sz w:val="18"/>
                <w:szCs w:val="18"/>
                <w:color w:val="auto"/>
                <w:w w:val="92"/>
              </w:rPr>
              <w:t>April 4, 2018</w:t>
            </w:r>
          </w:p>
        </w:tc>
      </w:tr>
      <w:tr>
        <w:trPr>
          <w:trHeight w:val="224"/>
        </w:trPr>
        <w:tc>
          <w:tcPr>
            <w:tcW w:w="4000" w:type="dxa"/>
            <w:vAlign w:val="bottom"/>
          </w:tcPr>
          <w:p>
            <w:pPr>
              <w:jc w:val="center"/>
              <w:spacing w:after="0"/>
              <w:rPr>
                <w:sz w:val="20"/>
                <w:szCs w:val="20"/>
                <w:color w:val="auto"/>
              </w:rPr>
            </w:pPr>
            <w:r>
              <w:rPr>
                <w:rFonts w:ascii="Arial" w:cs="Arial" w:eastAsia="Arial" w:hAnsi="Arial"/>
                <w:sz w:val="18"/>
                <w:szCs w:val="18"/>
                <w:color w:val="auto"/>
                <w:w w:val="91"/>
              </w:rPr>
              <w:t>Henry Samueli</w:t>
            </w:r>
          </w:p>
        </w:tc>
        <w:tc>
          <w:tcPr>
            <w:tcW w:w="2960" w:type="dxa"/>
            <w:vAlign w:val="bottom"/>
          </w:tcPr>
          <w:p>
            <w:pPr>
              <w:spacing w:after="0"/>
              <w:rPr>
                <w:sz w:val="19"/>
                <w:szCs w:val="19"/>
                <w:color w:val="auto"/>
              </w:rPr>
            </w:pPr>
          </w:p>
        </w:tc>
        <w:tc>
          <w:tcPr>
            <w:tcW w:w="3180" w:type="dxa"/>
            <w:vAlign w:val="bottom"/>
          </w:tcPr>
          <w:p>
            <w:pPr>
              <w:spacing w:after="0"/>
              <w:rPr>
                <w:sz w:val="19"/>
                <w:szCs w:val="19"/>
                <w:color w:val="auto"/>
              </w:rPr>
            </w:pPr>
          </w:p>
        </w:tc>
      </w:tr>
    </w:tbl>
    <w:p>
      <w:pPr>
        <w:sectPr>
          <w:pgSz w:w="11900" w:h="16838" w:orient="portrait"/>
          <w:cols w:equalWidth="0" w:num="1">
            <w:col w:w="10219"/>
          </w:cols>
          <w:pgMar w:left="240" w:top="274"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200" w:type="dxa"/>
            <w:vAlign w:val="bottom"/>
          </w:tcPr>
          <w:p>
            <w:pPr>
              <w:ind w:left="1360"/>
              <w:spacing w:after="0"/>
              <w:rPr>
                <w:sz w:val="20"/>
                <w:szCs w:val="20"/>
                <w:color w:val="auto"/>
              </w:rPr>
            </w:pPr>
            <w:r>
              <w:rPr>
                <w:rFonts w:ascii="Arial" w:cs="Arial" w:eastAsia="Arial" w:hAnsi="Arial"/>
                <w:sz w:val="18"/>
                <w:szCs w:val="18"/>
                <w:b w:val="1"/>
                <w:bCs w:val="1"/>
                <w:color w:val="auto"/>
                <w:w w:val="91"/>
              </w:rPr>
              <w:t>Exhibit 5.1</w:t>
            </w:r>
          </w:p>
        </w:tc>
        <w:tc>
          <w:tcPr>
            <w:tcW w:w="0" w:type="dxa"/>
            <w:vAlign w:val="bottom"/>
          </w:tcPr>
          <w:p>
            <w:pPr>
              <w:spacing w:after="0"/>
              <w:rPr>
                <w:sz w:val="1"/>
                <w:szCs w:val="1"/>
                <w:color w:val="auto"/>
              </w:rPr>
            </w:pPr>
          </w:p>
        </w:tc>
      </w:tr>
      <w:tr>
        <w:trPr>
          <w:trHeight w:val="445"/>
        </w:trPr>
        <w:tc>
          <w:tcPr>
            <w:tcW w:w="1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140 Scott Drive</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20" w:type="dxa"/>
            <w:vAlign w:val="bottom"/>
            <w:gridSpan w:val="2"/>
          </w:tcPr>
          <w:p>
            <w:pPr>
              <w:ind w:left="1260"/>
              <w:spacing w:after="0"/>
              <w:rPr>
                <w:sz w:val="20"/>
                <w:szCs w:val="20"/>
                <w:color w:val="auto"/>
              </w:rPr>
            </w:pPr>
            <w:r>
              <w:rPr>
                <w:rFonts w:ascii="Arial" w:cs="Arial" w:eastAsia="Arial" w:hAnsi="Arial"/>
                <w:sz w:val="18"/>
                <w:szCs w:val="18"/>
                <w:color w:val="auto"/>
              </w:rPr>
              <w:t>Menlo Park, California 94025</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820" w:type="dxa"/>
            <w:vAlign w:val="bottom"/>
            <w:gridSpan w:val="2"/>
          </w:tcPr>
          <w:p>
            <w:pPr>
              <w:ind w:left="1260"/>
              <w:spacing w:after="0"/>
              <w:rPr>
                <w:sz w:val="20"/>
                <w:szCs w:val="20"/>
                <w:color w:val="auto"/>
              </w:rPr>
            </w:pPr>
            <w:r>
              <w:rPr>
                <w:rFonts w:ascii="Arial" w:cs="Arial" w:eastAsia="Arial" w:hAnsi="Arial"/>
                <w:sz w:val="18"/>
                <w:szCs w:val="18"/>
                <w:color w:val="auto"/>
              </w:rPr>
              <w:t>Tel: +1.650.328.4600 Fax: +1.650.463.2600</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www.lw.com</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8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820" w:type="dxa"/>
            <w:vAlign w:val="bottom"/>
            <w:gridSpan w:val="2"/>
          </w:tcPr>
          <w:p>
            <w:pPr>
              <w:ind w:left="1260"/>
              <w:spacing w:after="0"/>
              <w:rPr>
                <w:sz w:val="20"/>
                <w:szCs w:val="20"/>
                <w:color w:val="auto"/>
              </w:rPr>
            </w:pPr>
            <w:r>
              <w:rPr>
                <w:rFonts w:ascii="Arial" w:cs="Arial" w:eastAsia="Arial" w:hAnsi="Arial"/>
                <w:sz w:val="18"/>
                <w:szCs w:val="18"/>
                <w:color w:val="auto"/>
              </w:rPr>
              <w:t>FIRM / AFFILIATE OFFICES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Beijing</w:t>
            </w:r>
          </w:p>
        </w:tc>
        <w:tc>
          <w:tcPr>
            <w:tcW w:w="2200" w:type="dxa"/>
            <w:vAlign w:val="bottom"/>
          </w:tcPr>
          <w:p>
            <w:pPr>
              <w:ind w:left="200"/>
              <w:spacing w:after="0"/>
              <w:rPr>
                <w:sz w:val="20"/>
                <w:szCs w:val="20"/>
                <w:color w:val="auto"/>
              </w:rPr>
            </w:pPr>
            <w:r>
              <w:rPr>
                <w:rFonts w:ascii="Arial" w:cs="Arial" w:eastAsia="Arial" w:hAnsi="Arial"/>
                <w:sz w:val="18"/>
                <w:szCs w:val="18"/>
                <w:color w:val="auto"/>
              </w:rPr>
              <w:t>Moscow</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Boston</w:t>
            </w:r>
          </w:p>
        </w:tc>
        <w:tc>
          <w:tcPr>
            <w:tcW w:w="2200" w:type="dxa"/>
            <w:vAlign w:val="bottom"/>
          </w:tcPr>
          <w:p>
            <w:pPr>
              <w:ind w:left="200"/>
              <w:spacing w:after="0"/>
              <w:rPr>
                <w:sz w:val="20"/>
                <w:szCs w:val="20"/>
                <w:color w:val="auto"/>
              </w:rPr>
            </w:pPr>
            <w:r>
              <w:rPr>
                <w:rFonts w:ascii="Arial" w:cs="Arial" w:eastAsia="Arial" w:hAnsi="Arial"/>
                <w:sz w:val="18"/>
                <w:szCs w:val="18"/>
                <w:color w:val="auto"/>
              </w:rPr>
              <w:t>Munich</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Brussels</w:t>
            </w:r>
          </w:p>
        </w:tc>
        <w:tc>
          <w:tcPr>
            <w:tcW w:w="2200" w:type="dxa"/>
            <w:vAlign w:val="bottom"/>
          </w:tcPr>
          <w:p>
            <w:pPr>
              <w:ind w:left="200"/>
              <w:spacing w:after="0"/>
              <w:rPr>
                <w:sz w:val="20"/>
                <w:szCs w:val="20"/>
                <w:color w:val="auto"/>
              </w:rPr>
            </w:pPr>
            <w:r>
              <w:rPr>
                <w:rFonts w:ascii="Arial" w:cs="Arial" w:eastAsia="Arial" w:hAnsi="Arial"/>
                <w:sz w:val="18"/>
                <w:szCs w:val="18"/>
                <w:color w:val="auto"/>
              </w:rPr>
              <w:t>New York</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Century City</w:t>
            </w:r>
          </w:p>
        </w:tc>
        <w:tc>
          <w:tcPr>
            <w:tcW w:w="2200" w:type="dxa"/>
            <w:vAlign w:val="bottom"/>
          </w:tcPr>
          <w:p>
            <w:pPr>
              <w:ind w:left="200"/>
              <w:spacing w:after="0"/>
              <w:rPr>
                <w:sz w:val="20"/>
                <w:szCs w:val="20"/>
                <w:color w:val="auto"/>
              </w:rPr>
            </w:pPr>
            <w:r>
              <w:rPr>
                <w:rFonts w:ascii="Arial" w:cs="Arial" w:eastAsia="Arial" w:hAnsi="Arial"/>
                <w:sz w:val="18"/>
                <w:szCs w:val="18"/>
                <w:color w:val="auto"/>
              </w:rPr>
              <w:t>Orange County</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Chicago</w:t>
            </w:r>
          </w:p>
        </w:tc>
        <w:tc>
          <w:tcPr>
            <w:tcW w:w="2200" w:type="dxa"/>
            <w:vAlign w:val="bottom"/>
          </w:tcPr>
          <w:p>
            <w:pPr>
              <w:ind w:left="200"/>
              <w:spacing w:after="0"/>
              <w:rPr>
                <w:sz w:val="20"/>
                <w:szCs w:val="20"/>
                <w:color w:val="auto"/>
              </w:rPr>
            </w:pPr>
            <w:r>
              <w:rPr>
                <w:rFonts w:ascii="Arial" w:cs="Arial" w:eastAsia="Arial" w:hAnsi="Arial"/>
                <w:sz w:val="18"/>
                <w:szCs w:val="18"/>
                <w:color w:val="auto"/>
              </w:rPr>
              <w:t>Paris</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Dubai</w:t>
            </w:r>
          </w:p>
        </w:tc>
        <w:tc>
          <w:tcPr>
            <w:tcW w:w="2200" w:type="dxa"/>
            <w:vAlign w:val="bottom"/>
          </w:tcPr>
          <w:p>
            <w:pPr>
              <w:ind w:left="200"/>
              <w:spacing w:after="0"/>
              <w:rPr>
                <w:sz w:val="20"/>
                <w:szCs w:val="20"/>
                <w:color w:val="auto"/>
              </w:rPr>
            </w:pPr>
            <w:r>
              <w:rPr>
                <w:rFonts w:ascii="Arial" w:cs="Arial" w:eastAsia="Arial" w:hAnsi="Arial"/>
                <w:sz w:val="18"/>
                <w:szCs w:val="18"/>
                <w:color w:val="auto"/>
              </w:rPr>
              <w:t>Riyadh</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Düsseldorf</w:t>
            </w:r>
          </w:p>
        </w:tc>
        <w:tc>
          <w:tcPr>
            <w:tcW w:w="2200" w:type="dxa"/>
            <w:vAlign w:val="bottom"/>
          </w:tcPr>
          <w:p>
            <w:pPr>
              <w:ind w:left="200"/>
              <w:spacing w:after="0"/>
              <w:rPr>
                <w:sz w:val="20"/>
                <w:szCs w:val="20"/>
                <w:color w:val="auto"/>
              </w:rPr>
            </w:pPr>
            <w:r>
              <w:rPr>
                <w:rFonts w:ascii="Arial" w:cs="Arial" w:eastAsia="Arial" w:hAnsi="Arial"/>
                <w:sz w:val="18"/>
                <w:szCs w:val="18"/>
                <w:color w:val="auto"/>
              </w:rPr>
              <w:t>Rome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Frankfurt</w:t>
            </w:r>
          </w:p>
        </w:tc>
        <w:tc>
          <w:tcPr>
            <w:tcW w:w="2200" w:type="dxa"/>
            <w:vAlign w:val="bottom"/>
          </w:tcPr>
          <w:p>
            <w:pPr>
              <w:ind w:left="200"/>
              <w:spacing w:after="0"/>
              <w:rPr>
                <w:sz w:val="20"/>
                <w:szCs w:val="20"/>
                <w:color w:val="auto"/>
              </w:rPr>
            </w:pPr>
            <w:r>
              <w:rPr>
                <w:rFonts w:ascii="Arial" w:cs="Arial" w:eastAsia="Arial" w:hAnsi="Arial"/>
                <w:sz w:val="18"/>
                <w:szCs w:val="18"/>
                <w:color w:val="auto"/>
              </w:rPr>
              <w:t>San Diego</w:t>
            </w:r>
          </w:p>
        </w:tc>
        <w:tc>
          <w:tcPr>
            <w:tcW w:w="0" w:type="dxa"/>
            <w:vAlign w:val="bottom"/>
          </w:tcPr>
          <w:p>
            <w:pPr>
              <w:spacing w:after="0"/>
              <w:rPr>
                <w:sz w:val="1"/>
                <w:szCs w:val="1"/>
                <w:color w:val="auto"/>
              </w:rPr>
            </w:pPr>
          </w:p>
        </w:tc>
      </w:tr>
      <w:tr>
        <w:trPr>
          <w:trHeight w:val="216"/>
        </w:trPr>
        <w:tc>
          <w:tcPr>
            <w:tcW w:w="1820" w:type="dxa"/>
            <w:vAlign w:val="bottom"/>
            <w:vMerge w:val="restart"/>
          </w:tcPr>
          <w:p>
            <w:pPr>
              <w:spacing w:after="0"/>
              <w:rPr>
                <w:sz w:val="20"/>
                <w:szCs w:val="20"/>
                <w:color w:val="auto"/>
              </w:rPr>
            </w:pPr>
            <w:r>
              <w:rPr>
                <w:rFonts w:ascii="Arial" w:cs="Arial" w:eastAsia="Arial" w:hAnsi="Arial"/>
                <w:sz w:val="18"/>
                <w:szCs w:val="18"/>
                <w:color w:val="auto"/>
              </w:rPr>
              <w:t>April 4, 2018</w:t>
            </w: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Hamburg</w:t>
            </w:r>
          </w:p>
        </w:tc>
        <w:tc>
          <w:tcPr>
            <w:tcW w:w="2200" w:type="dxa"/>
            <w:vAlign w:val="bottom"/>
          </w:tcPr>
          <w:p>
            <w:pPr>
              <w:ind w:left="200"/>
              <w:spacing w:after="0"/>
              <w:rPr>
                <w:sz w:val="20"/>
                <w:szCs w:val="20"/>
                <w:color w:val="auto"/>
              </w:rPr>
            </w:pPr>
            <w:r>
              <w:rPr>
                <w:rFonts w:ascii="Arial" w:cs="Arial" w:eastAsia="Arial" w:hAnsi="Arial"/>
                <w:sz w:val="18"/>
                <w:szCs w:val="18"/>
                <w:color w:val="auto"/>
              </w:rPr>
              <w:t>San Francisco</w:t>
            </w:r>
          </w:p>
        </w:tc>
        <w:tc>
          <w:tcPr>
            <w:tcW w:w="0" w:type="dxa"/>
            <w:vAlign w:val="bottom"/>
          </w:tcPr>
          <w:p>
            <w:pPr>
              <w:spacing w:after="0"/>
              <w:rPr>
                <w:sz w:val="1"/>
                <w:szCs w:val="1"/>
                <w:color w:val="auto"/>
              </w:rPr>
            </w:pPr>
          </w:p>
        </w:tc>
      </w:tr>
      <w:tr>
        <w:trPr>
          <w:trHeight w:val="163"/>
        </w:trPr>
        <w:tc>
          <w:tcPr>
            <w:tcW w:w="1820" w:type="dxa"/>
            <w:vAlign w:val="bottom"/>
            <w:vMerge w:val="continue"/>
          </w:tcPr>
          <w:p>
            <w:pPr>
              <w:spacing w:after="0"/>
              <w:rPr>
                <w:sz w:val="14"/>
                <w:szCs w:val="14"/>
                <w:color w:val="auto"/>
              </w:rPr>
            </w:pPr>
          </w:p>
        </w:tc>
        <w:tc>
          <w:tcPr>
            <w:tcW w:w="28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620" w:type="dxa"/>
            <w:vAlign w:val="bottom"/>
            <w:vMerge w:val="restart"/>
          </w:tcPr>
          <w:p>
            <w:pPr>
              <w:ind w:left="1260"/>
              <w:spacing w:after="0"/>
              <w:rPr>
                <w:sz w:val="20"/>
                <w:szCs w:val="20"/>
                <w:color w:val="auto"/>
              </w:rPr>
            </w:pPr>
            <w:r>
              <w:rPr>
                <w:rFonts w:ascii="Arial" w:cs="Arial" w:eastAsia="Arial" w:hAnsi="Arial"/>
                <w:sz w:val="18"/>
                <w:szCs w:val="18"/>
                <w:color w:val="auto"/>
              </w:rPr>
              <w:t>Hong Kong</w:t>
            </w:r>
          </w:p>
        </w:tc>
        <w:tc>
          <w:tcPr>
            <w:tcW w:w="2200" w:type="dxa"/>
            <w:vAlign w:val="bottom"/>
            <w:vMerge w:val="restart"/>
          </w:tcPr>
          <w:p>
            <w:pPr>
              <w:ind w:left="200"/>
              <w:spacing w:after="0"/>
              <w:rPr>
                <w:sz w:val="20"/>
                <w:szCs w:val="20"/>
                <w:color w:val="auto"/>
              </w:rPr>
            </w:pPr>
            <w:r>
              <w:rPr>
                <w:rFonts w:ascii="Arial" w:cs="Arial" w:eastAsia="Arial" w:hAnsi="Arial"/>
                <w:sz w:val="18"/>
                <w:szCs w:val="18"/>
                <w:color w:val="auto"/>
              </w:rPr>
              <w:t>Seoul</w:t>
            </w:r>
          </w:p>
        </w:tc>
        <w:tc>
          <w:tcPr>
            <w:tcW w:w="0" w:type="dxa"/>
            <w:vAlign w:val="bottom"/>
          </w:tcPr>
          <w:p>
            <w:pPr>
              <w:spacing w:after="0"/>
              <w:rPr>
                <w:sz w:val="1"/>
                <w:szCs w:val="1"/>
                <w:color w:val="auto"/>
              </w:rPr>
            </w:pPr>
          </w:p>
        </w:tc>
      </w:tr>
      <w:tr>
        <w:trPr>
          <w:trHeight w:val="53"/>
        </w:trPr>
        <w:tc>
          <w:tcPr>
            <w:tcW w:w="1820" w:type="dxa"/>
            <w:vAlign w:val="bottom"/>
          </w:tcPr>
          <w:p>
            <w:pPr>
              <w:spacing w:after="0"/>
              <w:rPr>
                <w:sz w:val="4"/>
                <w:szCs w:val="4"/>
                <w:color w:val="auto"/>
              </w:rPr>
            </w:pPr>
          </w:p>
        </w:tc>
        <w:tc>
          <w:tcPr>
            <w:tcW w:w="2860" w:type="dxa"/>
            <w:vAlign w:val="bottom"/>
          </w:tcPr>
          <w:p>
            <w:pPr>
              <w:spacing w:after="0"/>
              <w:rPr>
                <w:sz w:val="4"/>
                <w:szCs w:val="4"/>
                <w:color w:val="auto"/>
              </w:rPr>
            </w:pPr>
          </w:p>
        </w:tc>
        <w:tc>
          <w:tcPr>
            <w:tcW w:w="1920" w:type="dxa"/>
            <w:vAlign w:val="bottom"/>
          </w:tcPr>
          <w:p>
            <w:pPr>
              <w:spacing w:after="0"/>
              <w:rPr>
                <w:sz w:val="4"/>
                <w:szCs w:val="4"/>
                <w:color w:val="auto"/>
              </w:rPr>
            </w:pPr>
          </w:p>
        </w:tc>
        <w:tc>
          <w:tcPr>
            <w:tcW w:w="2620" w:type="dxa"/>
            <w:vAlign w:val="bottom"/>
            <w:vMerge w:val="continue"/>
          </w:tcPr>
          <w:p>
            <w:pPr>
              <w:spacing w:after="0"/>
              <w:rPr>
                <w:sz w:val="4"/>
                <w:szCs w:val="4"/>
                <w:color w:val="auto"/>
              </w:rPr>
            </w:pPr>
          </w:p>
        </w:tc>
        <w:tc>
          <w:tcPr>
            <w:tcW w:w="2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Houston</w:t>
            </w:r>
          </w:p>
        </w:tc>
        <w:tc>
          <w:tcPr>
            <w:tcW w:w="2200" w:type="dxa"/>
            <w:vAlign w:val="bottom"/>
          </w:tcPr>
          <w:p>
            <w:pPr>
              <w:ind w:left="200"/>
              <w:spacing w:after="0"/>
              <w:rPr>
                <w:sz w:val="20"/>
                <w:szCs w:val="20"/>
                <w:color w:val="auto"/>
              </w:rPr>
            </w:pPr>
            <w:r>
              <w:rPr>
                <w:rFonts w:ascii="Arial" w:cs="Arial" w:eastAsia="Arial" w:hAnsi="Arial"/>
                <w:sz w:val="18"/>
                <w:szCs w:val="18"/>
                <w:color w:val="auto"/>
              </w:rPr>
              <w:t>Shanghai</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London</w:t>
            </w:r>
          </w:p>
        </w:tc>
        <w:tc>
          <w:tcPr>
            <w:tcW w:w="2200" w:type="dxa"/>
            <w:vAlign w:val="bottom"/>
          </w:tcPr>
          <w:p>
            <w:pPr>
              <w:ind w:left="200"/>
              <w:spacing w:after="0"/>
              <w:rPr>
                <w:sz w:val="20"/>
                <w:szCs w:val="20"/>
                <w:color w:val="auto"/>
              </w:rPr>
            </w:pPr>
            <w:r>
              <w:rPr>
                <w:rFonts w:ascii="Arial" w:cs="Arial" w:eastAsia="Arial" w:hAnsi="Arial"/>
                <w:sz w:val="18"/>
                <w:szCs w:val="18"/>
                <w:color w:val="auto"/>
              </w:rPr>
              <w:t>Silicon Valley</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Broadcom Inc.</w:t>
            </w: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Los Angeles</w:t>
            </w:r>
          </w:p>
        </w:tc>
        <w:tc>
          <w:tcPr>
            <w:tcW w:w="2200" w:type="dxa"/>
            <w:vAlign w:val="bottom"/>
          </w:tcPr>
          <w:p>
            <w:pPr>
              <w:ind w:left="20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w w:val="96"/>
              </w:rPr>
              <w:t>1320 Ridder Park Drive</w:t>
            </w:r>
          </w:p>
        </w:tc>
        <w:tc>
          <w:tcPr>
            <w:tcW w:w="28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620" w:type="dxa"/>
            <w:vAlign w:val="bottom"/>
          </w:tcPr>
          <w:p>
            <w:pPr>
              <w:ind w:left="1260"/>
              <w:spacing w:after="0"/>
              <w:rPr>
                <w:sz w:val="20"/>
                <w:szCs w:val="20"/>
                <w:color w:val="auto"/>
              </w:rPr>
            </w:pPr>
            <w:r>
              <w:rPr>
                <w:rFonts w:ascii="Arial" w:cs="Arial" w:eastAsia="Arial" w:hAnsi="Arial"/>
                <w:sz w:val="18"/>
                <w:szCs w:val="18"/>
                <w:color w:val="auto"/>
              </w:rPr>
              <w:t>Madrid</w:t>
            </w:r>
          </w:p>
        </w:tc>
        <w:tc>
          <w:tcPr>
            <w:tcW w:w="2200" w:type="dxa"/>
            <w:vAlign w:val="bottom"/>
          </w:tcPr>
          <w:p>
            <w:pPr>
              <w:ind w:left="200"/>
              <w:spacing w:after="0"/>
              <w:rPr>
                <w:sz w:val="20"/>
                <w:szCs w:val="20"/>
                <w:color w:val="auto"/>
              </w:rPr>
            </w:pPr>
            <w:r>
              <w:rPr>
                <w:rFonts w:ascii="Arial" w:cs="Arial" w:eastAsia="Arial" w:hAnsi="Arial"/>
                <w:sz w:val="18"/>
                <w:szCs w:val="18"/>
                <w:color w:val="auto"/>
              </w:rPr>
              <w:t>Tokyo</w:t>
            </w:r>
          </w:p>
        </w:tc>
        <w:tc>
          <w:tcPr>
            <w:tcW w:w="0" w:type="dxa"/>
            <w:vAlign w:val="bottom"/>
          </w:tcPr>
          <w:p>
            <w:pPr>
              <w:spacing w:after="0"/>
              <w:rPr>
                <w:sz w:val="1"/>
                <w:szCs w:val="1"/>
                <w:color w:val="auto"/>
              </w:rPr>
            </w:pPr>
          </w:p>
        </w:tc>
      </w:tr>
      <w:tr>
        <w:trPr>
          <w:trHeight w:val="230"/>
        </w:trPr>
        <w:tc>
          <w:tcPr>
            <w:tcW w:w="6600" w:type="dxa"/>
            <w:vAlign w:val="bottom"/>
            <w:gridSpan w:val="3"/>
          </w:tcPr>
          <w:p>
            <w:pPr>
              <w:spacing w:after="0"/>
              <w:rPr>
                <w:sz w:val="20"/>
                <w:szCs w:val="20"/>
                <w:color w:val="auto"/>
              </w:rPr>
            </w:pPr>
            <w:r>
              <w:rPr>
                <w:rFonts w:ascii="Arial" w:cs="Arial" w:eastAsia="Arial" w:hAnsi="Arial"/>
                <w:sz w:val="18"/>
                <w:szCs w:val="18"/>
                <w:color w:val="auto"/>
              </w:rPr>
              <w:t>San Jose, California 95131</w:t>
            </w:r>
          </w:p>
        </w:tc>
        <w:tc>
          <w:tcPr>
            <w:tcW w:w="2620" w:type="dxa"/>
            <w:vAlign w:val="bottom"/>
          </w:tcPr>
          <w:p>
            <w:pPr>
              <w:ind w:left="1260"/>
              <w:spacing w:after="0"/>
              <w:rPr>
                <w:sz w:val="20"/>
                <w:szCs w:val="20"/>
                <w:color w:val="auto"/>
              </w:rPr>
            </w:pPr>
            <w:r>
              <w:rPr>
                <w:rFonts w:ascii="Arial" w:cs="Arial" w:eastAsia="Arial" w:hAnsi="Arial"/>
                <w:sz w:val="18"/>
                <w:szCs w:val="18"/>
                <w:color w:val="auto"/>
              </w:rPr>
              <w:t>Milan</w:t>
            </w:r>
          </w:p>
        </w:tc>
        <w:tc>
          <w:tcPr>
            <w:tcW w:w="2200" w:type="dxa"/>
            <w:vAlign w:val="bottom"/>
          </w:tcPr>
          <w:p>
            <w:pPr>
              <w:ind w:left="200"/>
              <w:spacing w:after="0"/>
              <w:rPr>
                <w:sz w:val="20"/>
                <w:szCs w:val="20"/>
                <w:color w:val="auto"/>
              </w:rPr>
            </w:pPr>
            <w:r>
              <w:rPr>
                <w:rFonts w:ascii="Arial" w:cs="Arial" w:eastAsia="Arial" w:hAnsi="Arial"/>
                <w:sz w:val="18"/>
                <w:szCs w:val="18"/>
                <w:color w:val="auto"/>
              </w:rPr>
              <w:t>Washington, D.C.</w:t>
            </w:r>
          </w:p>
        </w:tc>
        <w:tc>
          <w:tcPr>
            <w:tcW w:w="0" w:type="dxa"/>
            <w:vAlign w:val="bottom"/>
          </w:tcPr>
          <w:p>
            <w:pPr>
              <w:spacing w:after="0"/>
              <w:rPr>
                <w:sz w:val="1"/>
                <w:szCs w:val="1"/>
                <w:color w:val="auto"/>
              </w:rPr>
            </w:pPr>
          </w:p>
        </w:tc>
      </w:tr>
      <w:tr>
        <w:trPr>
          <w:trHeight w:val="458"/>
        </w:trPr>
        <w:tc>
          <w:tcPr>
            <w:tcW w:w="1820" w:type="dxa"/>
            <w:vAlign w:val="bottom"/>
          </w:tcPr>
          <w:p>
            <w:pPr>
              <w:ind w:left="1140"/>
              <w:spacing w:after="0"/>
              <w:rPr>
                <w:sz w:val="20"/>
                <w:szCs w:val="20"/>
                <w:color w:val="auto"/>
              </w:rPr>
            </w:pPr>
            <w:r>
              <w:rPr>
                <w:rFonts w:ascii="Arial" w:cs="Arial" w:eastAsia="Arial" w:hAnsi="Arial"/>
                <w:sz w:val="18"/>
                <w:szCs w:val="18"/>
                <w:color w:val="auto"/>
              </w:rPr>
              <w:t>Re:</w:t>
            </w:r>
          </w:p>
        </w:tc>
        <w:tc>
          <w:tcPr>
            <w:tcW w:w="4780" w:type="dxa"/>
            <w:vAlign w:val="bottom"/>
            <w:gridSpan w:val="2"/>
          </w:tcPr>
          <w:p>
            <w:pPr>
              <w:spacing w:after="0"/>
              <w:rPr>
                <w:sz w:val="20"/>
                <w:szCs w:val="20"/>
                <w:color w:val="auto"/>
              </w:rPr>
            </w:pPr>
            <w:r>
              <w:rPr>
                <w:rFonts w:ascii="Arial" w:cs="Arial" w:eastAsia="Arial" w:hAnsi="Arial"/>
                <w:sz w:val="18"/>
                <w:szCs w:val="18"/>
                <w:color w:val="auto"/>
              </w:rPr>
              <w:t>Broadcom Inc. Post-Effective Amendment No. 1</w:t>
            </w:r>
          </w:p>
        </w:tc>
        <w:tc>
          <w:tcPr>
            <w:tcW w:w="26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820" w:type="dxa"/>
            <w:vAlign w:val="bottom"/>
          </w:tcPr>
          <w:p>
            <w:pPr>
              <w:spacing w:after="0"/>
              <w:rPr>
                <w:sz w:val="16"/>
                <w:szCs w:val="16"/>
                <w:color w:val="auto"/>
              </w:rPr>
            </w:pPr>
          </w:p>
        </w:tc>
        <w:tc>
          <w:tcPr>
            <w:tcW w:w="28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to Registration Statements on Form S-8</w:t>
            </w:r>
          </w:p>
        </w:tc>
        <w:tc>
          <w:tcPr>
            <w:tcW w:w="19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-2658110</wp:posOffset>
            </wp:positionV>
            <wp:extent cx="207518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2075180" cy="18034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have acted as special counsel to Broadcom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in connection with its filing on the date hereof with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of Post-Effective Amendment No. 1 (the “</w:t>
      </w:r>
      <w:r>
        <w:rPr>
          <w:rFonts w:ascii="Arial" w:cs="Arial" w:eastAsia="Arial" w:hAnsi="Arial"/>
          <w:sz w:val="18"/>
          <w:szCs w:val="18"/>
          <w:u w:val="single" w:color="auto"/>
          <w:color w:val="auto"/>
        </w:rPr>
        <w:t>Amendment</w:t>
      </w:r>
      <w:r>
        <w:rPr>
          <w:rFonts w:ascii="Arial" w:cs="Arial" w:eastAsia="Arial" w:hAnsi="Arial"/>
          <w:sz w:val="18"/>
          <w:szCs w:val="18"/>
          <w:color w:val="auto"/>
        </w:rPr>
        <w:t>”) to three registration statements on Form S-8 (Registration Nos. 333-221654; 333-215291; and 333-209331) previously filed by Broadcom Limited, a public company limited by shares incorporated under the laws of the Republic of Singapore and the Company’s predecessor (“</w:t>
      </w:r>
      <w:r>
        <w:rPr>
          <w:rFonts w:ascii="Arial" w:cs="Arial" w:eastAsia="Arial" w:hAnsi="Arial"/>
          <w:sz w:val="18"/>
          <w:szCs w:val="18"/>
          <w:u w:val="single" w:color="auto"/>
          <w:color w:val="auto"/>
        </w:rPr>
        <w:t>Broadcom-Singapore</w:t>
      </w:r>
      <w:r>
        <w:rPr>
          <w:rFonts w:ascii="Arial" w:cs="Arial" w:eastAsia="Arial" w:hAnsi="Arial"/>
          <w:sz w:val="18"/>
          <w:szCs w:val="18"/>
          <w:color w:val="auto"/>
        </w:rPr>
        <w:t>”), with respect to the adoption of such registration statements by the Company pursuant to Rule 414 under the Securities Act of 1933, as amended (the “</w:t>
      </w:r>
      <w:r>
        <w:rPr>
          <w:rFonts w:ascii="Arial" w:cs="Arial" w:eastAsia="Arial" w:hAnsi="Arial"/>
          <w:sz w:val="18"/>
          <w:szCs w:val="18"/>
          <w:u w:val="single" w:color="auto"/>
          <w:color w:val="auto"/>
        </w:rPr>
        <w:t>Act</w:t>
      </w:r>
      <w:r>
        <w:rPr>
          <w:rFonts w:ascii="Arial" w:cs="Arial" w:eastAsia="Arial" w:hAnsi="Arial"/>
          <w:sz w:val="18"/>
          <w:szCs w:val="18"/>
          <w:color w:val="auto"/>
        </w:rPr>
        <w:t>”). Such registration statements on Form S-8, as amended by the Amendment, are referred to herein as the “</w:t>
      </w:r>
      <w:r>
        <w:rPr>
          <w:rFonts w:ascii="Arial" w:cs="Arial" w:eastAsia="Arial" w:hAnsi="Arial"/>
          <w:sz w:val="18"/>
          <w:szCs w:val="18"/>
          <w:u w:val="single" w:color="auto"/>
          <w:color w:val="auto"/>
        </w:rPr>
        <w:t>Registration Statements</w:t>
      </w:r>
      <w:r>
        <w:rPr>
          <w:rFonts w:ascii="Arial" w:cs="Arial" w:eastAsia="Arial" w:hAnsi="Arial"/>
          <w:sz w:val="18"/>
          <w:szCs w:val="18"/>
          <w:color w:val="auto"/>
        </w:rPr>
        <w:t>.” In connection with such representation, the Company has advised us that it has assumed the employee plans (the “</w:t>
      </w:r>
      <w:r>
        <w:rPr>
          <w:rFonts w:ascii="Arial" w:cs="Arial" w:eastAsia="Arial" w:hAnsi="Arial"/>
          <w:sz w:val="18"/>
          <w:szCs w:val="18"/>
          <w:u w:val="single" w:color="auto"/>
          <w:color w:val="auto"/>
        </w:rPr>
        <w:t>Plans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hereto and that, in accordance with the terms of the Plans, shares (“</w:t>
      </w:r>
      <w:r>
        <w:rPr>
          <w:rFonts w:ascii="Arial" w:cs="Arial" w:eastAsia="Arial" w:hAnsi="Arial"/>
          <w:sz w:val="18"/>
          <w:szCs w:val="18"/>
          <w:u w:val="single" w:color="auto"/>
          <w:color w:val="auto"/>
        </w:rPr>
        <w:t>Shares</w:t>
      </w:r>
      <w:r>
        <w:rPr>
          <w:rFonts w:ascii="Arial" w:cs="Arial" w:eastAsia="Arial" w:hAnsi="Arial"/>
          <w:sz w:val="18"/>
          <w:szCs w:val="18"/>
          <w:color w:val="auto"/>
        </w:rPr>
        <w:t>”) of common stock, par value $0.001 per share of the Company (“</w:t>
      </w:r>
      <w:r>
        <w:rPr>
          <w:rFonts w:ascii="Arial" w:cs="Arial" w:eastAsia="Arial" w:hAnsi="Arial"/>
          <w:sz w:val="18"/>
          <w:szCs w:val="18"/>
          <w:u w:val="single" w:color="auto"/>
          <w:color w:val="auto"/>
        </w:rPr>
        <w:t>Common Stock</w:t>
      </w:r>
      <w:r>
        <w:rPr>
          <w:rFonts w:ascii="Arial" w:cs="Arial" w:eastAsia="Arial" w:hAnsi="Arial"/>
          <w:sz w:val="18"/>
          <w:szCs w:val="18"/>
          <w:color w:val="auto"/>
        </w:rPr>
        <w:t>”), may be issuable or become issuable pursuant to grants or awards under the Plans.</w:t>
      </w:r>
    </w:p>
    <w:p>
      <w:pPr>
        <w:spacing w:after="0" w:line="197"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This opinion is being furnished in connection with the requirements of Item 601(b)(5) of Regulation S-K under the Act, and no opinion is expressed herein as to any matter pertaining to the contents of the Registration Statements, other than as expressly stated herein with respect to the issue of the Shares.</w:t>
      </w:r>
    </w:p>
    <w:p>
      <w:pPr>
        <w:spacing w:after="0" w:line="12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ectPr>
          <w:pgSz w:w="11900" w:h="16838" w:orient="portrait"/>
          <w:cols w:equalWidth="0" w:num="1">
            <w:col w:w="11420"/>
          </w:cols>
          <w:pgMar w:left="240" w:top="12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4,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44081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1440815" cy="13716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(not less than par value) in the circumstances contemplated by the Plans, assuming in each case that the individual issuances, grants or awards under the Plans are duly authorized by all necessary corporate action and duly issued, granted or awarded and exercised in accordance with the requirements of law and the Plans (and the agreements and awards duly adopted thereunder and in accordance therewith), the issuance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79"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This opinion is for your benefit in connection with the Amendment and may be relied upon by you and by persons entitled to rely upon it pursuant to the applicable provisions of the Act. We consent to your filing this opinion as an exhibit to the Amendment. In giving such consent, we do not thereby admit that we are in the category of persons whose consent is required under Section 7 of the Act or the rules and regulations of the Commission thereunder.</w:t>
      </w:r>
    </w:p>
    <w:p>
      <w:pPr>
        <w:spacing w:after="0" w:line="14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1300"/>
          </w:cols>
          <w:pgMar w:left="240" w:top="274"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April 4,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144081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144081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Brocade Communications Systems, Inc. 2009 Stock Plan</w:t>
      </w:r>
    </w:p>
    <w:p>
      <w:pPr>
        <w:spacing w:after="0" w:line="117" w:lineRule="exact"/>
        <w:rPr>
          <w:sz w:val="20"/>
          <w:szCs w:val="20"/>
          <w:color w:val="auto"/>
        </w:rPr>
      </w:pPr>
    </w:p>
    <w:p>
      <w:pPr>
        <w:ind w:right="3839"/>
        <w:spacing w:after="0" w:line="375" w:lineRule="auto"/>
        <w:rPr>
          <w:sz w:val="20"/>
          <w:szCs w:val="20"/>
          <w:color w:val="auto"/>
        </w:rPr>
      </w:pPr>
      <w:r>
        <w:rPr>
          <w:rFonts w:ascii="Arial" w:cs="Arial" w:eastAsia="Arial" w:hAnsi="Arial"/>
          <w:sz w:val="18"/>
          <w:szCs w:val="18"/>
          <w:color w:val="auto"/>
        </w:rPr>
        <w:t>Brocade Communications Systems, Inc. Amended and Restated Inducement Award Plan Avago Technologies Limited 2009 Equity Incentive Award Plan Broadcom Corporation 2012 Stock Incentive Plan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LSI Corporation 2003 Equity Incentive Plan</w:t>
      </w:r>
    </w:p>
    <w:p>
      <w:pPr>
        <w:spacing w:after="0" w:line="117" w:lineRule="exact"/>
        <w:rPr>
          <w:sz w:val="20"/>
          <w:szCs w:val="20"/>
          <w:color w:val="auto"/>
        </w:rPr>
      </w:pPr>
    </w:p>
    <w:p>
      <w:pPr>
        <w:ind w:right="4839"/>
        <w:spacing w:after="0" w:line="375" w:lineRule="auto"/>
        <w:rPr>
          <w:sz w:val="20"/>
          <w:szCs w:val="20"/>
          <w:color w:val="auto"/>
        </w:rPr>
      </w:pPr>
      <w:r>
        <w:rPr>
          <w:rFonts w:ascii="Arial" w:cs="Arial" w:eastAsia="Arial" w:hAnsi="Arial"/>
          <w:sz w:val="18"/>
          <w:szCs w:val="18"/>
          <w:color w:val="auto"/>
        </w:rPr>
        <w:t>Amended and Restated Broadcom Limited Employee Share Purchase Plan Emulex Corporation 2005 Equity Incentive Plan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Option to Purchase Syntax Stock Agreement with Joseph M. Marvin</w:t>
      </w:r>
    </w:p>
    <w:p>
      <w:pPr>
        <w:spacing w:after="0" w:line="117" w:lineRule="exact"/>
        <w:rPr>
          <w:sz w:val="20"/>
          <w:szCs w:val="20"/>
          <w:color w:val="auto"/>
        </w:rPr>
      </w:pPr>
    </w:p>
    <w:p>
      <w:pPr>
        <w:ind w:right="779"/>
        <w:spacing w:after="0" w:line="483" w:lineRule="auto"/>
        <w:rPr>
          <w:sz w:val="20"/>
          <w:szCs w:val="20"/>
          <w:color w:val="auto"/>
        </w:rPr>
      </w:pPr>
      <w:r>
        <w:rPr>
          <w:rFonts w:ascii="Arial" w:cs="Arial" w:eastAsia="Arial" w:hAnsi="Arial"/>
          <w:sz w:val="16"/>
          <w:szCs w:val="16"/>
          <w:color w:val="auto"/>
        </w:rPr>
        <w:t>Amended and Restated Equity Incentive Plan for Executive Employees of Avago Technologies Limited and Subsidiaries Amended and Restated Equity Incentive Plan for Senior Management Employees of Avago Technologies Limited and Subsidiaries</w:t>
      </w:r>
    </w:p>
    <w:p>
      <w:pPr>
        <w:sectPr>
          <w:pgSz w:w="11900" w:h="16838" w:orient="portrait"/>
          <w:cols w:equalWidth="0" w:num="1">
            <w:col w:w="10219"/>
          </w:cols>
          <w:pgMar w:left="240" w:top="274" w:right="1440" w:bottom="1440" w:gutter="0" w:footer="0" w:header="0"/>
        </w:sectPr>
      </w:pPr>
    </w:p>
    <w:bookmarkStart w:id="12" w:name="page13"/>
    <w:bookmarkEnd w:id="12"/>
    <w:p>
      <w:pPr>
        <w:ind w:left="10480"/>
        <w:spacing w:after="0"/>
        <w:rPr>
          <w:sz w:val="20"/>
          <w:szCs w:val="20"/>
          <w:color w:val="auto"/>
        </w:rPr>
      </w:pPr>
      <w:r>
        <w:rPr>
          <w:rFonts w:ascii="Arial" w:cs="Arial" w:eastAsia="Arial" w:hAnsi="Arial"/>
          <w:sz w:val="16"/>
          <w:szCs w:val="16"/>
          <w:b w:val="1"/>
          <w:bCs w:val="1"/>
          <w:color w:val="auto"/>
        </w:rPr>
        <w:t>Exhibit 23.2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hereby consent to the incorporation by reference in this Post-Effective Amendment No. 1 to the Registration Statements on Form S-8 (Registration Nos. 333-221654, 333-215291 and 333-209331) of our report dated December 21, 2017 relating to the financial statements, financial statement schedule and the effectiveness of internal control over financial reporting, which appears in Broadcom Limited’s Annual Report on Form 10-K for the year ended October 29,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4,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Roman"/>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jpeg"/><Relationship Id="rId45" Type="http://schemas.openxmlformats.org/officeDocument/2006/relationships/image" Target="media/image21.png"/><Relationship Id="rId46" Type="http://schemas.openxmlformats.org/officeDocument/2006/relationships/image" Target="media/image22.jpeg"/><Relationship Id="rId47" Type="http://schemas.openxmlformats.org/officeDocument/2006/relationships/image" Target="media/image23.png"/><Relationship Id="rId48" Type="http://schemas.openxmlformats.org/officeDocument/2006/relationships/image" Target="media/image24.jpeg"/><Relationship Id="rId23" Type="http://schemas.openxmlformats.org/officeDocument/2006/relationships/hyperlink" Target="http://www.sec.gov/Archives/edgar/data/1730168/000119312518107559/d562806dex31.htm" TargetMode="External"/><Relationship Id="rId24" Type="http://schemas.openxmlformats.org/officeDocument/2006/relationships/hyperlink" Target="http://www.sec.gov/Archives/edgar/data/1730168/000119312518107559/d562806dex32.htm" TargetMode="External"/><Relationship Id="rId25" Type="http://schemas.openxmlformats.org/officeDocument/2006/relationships/hyperlink" Target="http://www.sec.gov/Archives/edgar/data/1441634/000119312509155434/dex1018.htm" TargetMode="External"/><Relationship Id="rId26" Type="http://schemas.openxmlformats.org/officeDocument/2006/relationships/hyperlink" Target="http://www.sec.gov/Archives/edgar/data/1054374/000105437415000012/a20141231-10k_ex1020.htm" TargetMode="External"/><Relationship Id="rId27" Type="http://schemas.openxmlformats.org/officeDocument/2006/relationships/hyperlink" Target="http://www.sec.gov/Archives/edgar/data/1649338/000164933816000151/ex1049amendmentto2012plan.htm" TargetMode="External"/><Relationship Id="rId28" Type="http://schemas.openxmlformats.org/officeDocument/2006/relationships/hyperlink" Target="http://www.sec.gov/Archives/edgar/data/1441634/000119312514185066/d722921dex41.htm" TargetMode="External"/><Relationship Id="rId29" Type="http://schemas.openxmlformats.org/officeDocument/2006/relationships/hyperlink" Target="http://www.sec.gov/Archives/edgar/data/1649338/000164933816000151/ex1045amendenttolsiplan.htm" TargetMode="External"/><Relationship Id="rId30" Type="http://schemas.openxmlformats.org/officeDocument/2006/relationships/hyperlink" Target="http://www.sec.gov/Archives/edgar/data/1441634/000119312515170373/d918393dex41.htm" TargetMode="External"/><Relationship Id="rId31" Type="http://schemas.openxmlformats.org/officeDocument/2006/relationships/hyperlink" Target="http://www.sec.gov/Archives/edgar/data/1649338/000164933816000151/ex1047amendmenttoemulexplan.htm" TargetMode="External"/><Relationship Id="rId32" Type="http://schemas.openxmlformats.org/officeDocument/2006/relationships/hyperlink" Target="http://www.sec.gov/Archives/edgar/data/1009626/000100962617000033/form8-kx2017x04x12ex102.htm" TargetMode="External"/><Relationship Id="rId33" Type="http://schemas.openxmlformats.org/officeDocument/2006/relationships/hyperlink" Target="http://www.sec.gov/Archives/edgar/data/1649338/000119312517347063/d483153dex42.htm" TargetMode="External"/><Relationship Id="rId34" Type="http://schemas.openxmlformats.org/officeDocument/2006/relationships/hyperlink" Target="http://www.sec.gov/Archives/edgar/data/1009626/000119312516612650/d193800dex101.htm" TargetMode="External"/><Relationship Id="rId35" Type="http://schemas.openxmlformats.org/officeDocument/2006/relationships/hyperlink" Target="http://www.sec.gov/Archives/edgar/data/1649338/000119312517347063/d483153dex44.htm" TargetMode="External"/><Relationship Id="rId36" Type="http://schemas.openxmlformats.org/officeDocument/2006/relationships/hyperlink" Target="http://www.sec.gov/Archives/edgar/data/1649338/000119312516446869/d114924dex102.htm" TargetMode="External"/><Relationship Id="rId37" Type="http://schemas.openxmlformats.org/officeDocument/2006/relationships/hyperlink" Target="http://www.sec.gov/Archives/edgar/data/1441634/000119312514220799/d738159dex43.htm" TargetMode="External"/><Relationship Id="rId38" Type="http://schemas.openxmlformats.org/officeDocument/2006/relationships/hyperlink" Target="http://www.sec.gov/Archives/edgar/data/1376403/000089161808000127/f37234a1exv4w18.htm" TargetMode="External"/><Relationship Id="rId39" Type="http://schemas.openxmlformats.org/officeDocument/2006/relationships/hyperlink" Target="http://www.sec.gov/Archives/edgar/data/1376403/000089161808000127/f37234a1exv4w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2019-12-08T14:03:31Z</dcterms:created>
  <dcterms:modified xsi:type="dcterms:W3CDTF">2019-12-08T14:03:31Z</dcterms:modified>
</cp:coreProperties>
</file>