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You Harry L.</w:t>
              </w:r>
            </w:hyperlink>
          </w:p>
        </w:tc>
        <w:tc>
          <w:tcPr>
            <w:tcW w:w="1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Broadcom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AVGO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04/20/2026</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BROADCOM INC.</w:t>
            </w:r>
          </w:p>
        </w:tc>
        <w:tc>
          <w:tcPr>
            <w:tcW w:w="144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3421 HILLVIEW AVENUE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864</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37,466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("RSU") award fully vests on the earlier of (i) April 19, 2027 or (ii) the date of the Issuer's 2027 annual meeting of stockholders, subject to the Reporting Person's continued service on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864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Noelle Matteson, Attorney- </w:t>
      </w:r>
      <w:r>
        <w:rPr>
          <w:rFonts w:ascii="Times New Roman" w:cs="Times New Roman" w:eastAsia="Times New Roman" w:hAnsi="Times New Roman"/>
          <w:sz w:val="34"/>
          <w:szCs w:val="34"/>
          <w:color w:val="0000FF"/>
          <w:vertAlign w:val="subscript"/>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Harry L.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9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9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2602" TargetMode="External"/><Relationship Id="rId14" Type="http://schemas.openxmlformats.org/officeDocument/2006/relationships/hyperlink" Target="http://www.sec.gov/cgi-bin/browse-edgar?action=getcompany&amp;CIK=0001730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2026-04-22T16:00:47Z</dcterms:created>
  <dcterms:modified xsi:type="dcterms:W3CDTF">2026-04-22T16:00:47Z</dcterms:modified>
</cp:coreProperties>
</file>