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June 9, 2026</w:t>
      </w:r>
    </w:p>
    <w:p>
      <w:pPr>
        <w:spacing w:after="0" w:line="46" w:lineRule="exact"/>
        <w:rPr>
          <w:sz w:val="24"/>
          <w:szCs w:val="24"/>
          <w:color w:val="auto"/>
        </w:rPr>
      </w:pPr>
    </w:p>
    <w:p>
      <w:pPr>
        <w:ind w:left="8340"/>
        <w:spacing w:after="0"/>
        <w:rPr>
          <w:sz w:val="20"/>
          <w:szCs w:val="20"/>
          <w:color w:val="auto"/>
        </w:rPr>
      </w:pPr>
      <w:r>
        <w:rPr>
          <w:rFonts w:ascii="Times New Roman" w:cs="Times New Roman" w:eastAsia="Times New Roman" w:hAnsi="Times New Roman"/>
          <w:sz w:val="12"/>
          <w:szCs w:val="12"/>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941070</wp:posOffset>
            </wp:positionH>
            <wp:positionV relativeFrom="paragraph">
              <wp:posOffset>63500</wp:posOffset>
            </wp:positionV>
            <wp:extent cx="529145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9145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95885</wp:posOffset>
            </wp:positionV>
            <wp:extent cx="529145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91455" cy="6350"/>
                    </a:xfrm>
                    <a:prstGeom prst="rect">
                      <a:avLst/>
                    </a:prstGeom>
                    <a:noFill/>
                  </pic:spPr>
                </pic:pic>
              </a:graphicData>
            </a:graphic>
          </wp:anchor>
        </w:drawing>
      </w:r>
    </w:p>
    <w:p>
      <w:pPr>
        <w:spacing w:after="0" w:line="17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111125</wp:posOffset>
            </wp:positionV>
            <wp:extent cx="11087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1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FORM S-4</w:t>
      </w:r>
    </w:p>
    <w:p>
      <w:pPr>
        <w:spacing w:after="0" w:line="3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112395</wp:posOffset>
            </wp:positionV>
            <wp:extent cx="11087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30"/>
          <w:szCs w:val="30"/>
          <w:b w:val="1"/>
          <w:bCs w:val="1"/>
          <w:color w:val="auto"/>
        </w:rPr>
        <w:t>BROADCOM INC.</w:t>
      </w:r>
    </w:p>
    <w:p>
      <w:pPr>
        <w:spacing w:after="0" w:line="37"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124460</wp:posOffset>
            </wp:positionV>
            <wp:extent cx="11087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86" w:lineRule="exact"/>
        <w:rPr>
          <w:sz w:val="24"/>
          <w:szCs w:val="24"/>
          <w:color w:val="auto"/>
        </w:rPr>
      </w:pPr>
    </w:p>
    <w:tbl>
      <w:tblPr>
        <w:tblLayout w:type="fixed"/>
        <w:tblInd w:w="2160" w:type="dxa"/>
        <w:tblCellMar>
          <w:top w:w="0" w:type="dxa"/>
          <w:left w:w="0" w:type="dxa"/>
          <w:bottom w:w="0" w:type="dxa"/>
          <w:right w:w="0" w:type="dxa"/>
        </w:tblCellMar>
      </w:tblPr>
      <w:tr>
        <w:trPr>
          <w:trHeight w:val="147"/>
        </w:trPr>
        <w:tc>
          <w:tcPr>
            <w:tcW w:w="2180" w:type="dxa"/>
            <w:vAlign w:val="bottom"/>
          </w:tcPr>
          <w:p>
            <w:pPr>
              <w:jc w:val="center"/>
              <w:ind w:right="663"/>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2840" w:type="dxa"/>
            <w:vAlign w:val="bottom"/>
          </w:tcPr>
          <w:p>
            <w:pPr>
              <w:jc w:val="center"/>
              <w:ind w:right="3"/>
              <w:spacing w:after="0"/>
              <w:rPr>
                <w:sz w:val="20"/>
                <w:szCs w:val="20"/>
                <w:color w:val="auto"/>
              </w:rPr>
            </w:pPr>
            <w:r>
              <w:rPr>
                <w:rFonts w:ascii="Times New Roman" w:cs="Times New Roman" w:eastAsia="Times New Roman" w:hAnsi="Times New Roman"/>
                <w:sz w:val="12"/>
                <w:szCs w:val="12"/>
                <w:b w:val="1"/>
                <w:bCs w:val="1"/>
                <w:color w:val="auto"/>
              </w:rPr>
              <w:t>3674</w:t>
            </w:r>
          </w:p>
        </w:tc>
        <w:tc>
          <w:tcPr>
            <w:tcW w:w="1840" w:type="dxa"/>
            <w:vAlign w:val="bottom"/>
          </w:tcPr>
          <w:p>
            <w:pPr>
              <w:jc w:val="center"/>
              <w:ind w:left="703"/>
              <w:spacing w:after="0"/>
              <w:rPr>
                <w:sz w:val="20"/>
                <w:szCs w:val="20"/>
                <w:color w:val="auto"/>
              </w:rPr>
            </w:pPr>
            <w:r>
              <w:rPr>
                <w:rFonts w:ascii="Times New Roman" w:cs="Times New Roman" w:eastAsia="Times New Roman" w:hAnsi="Times New Roman"/>
                <w:sz w:val="12"/>
                <w:szCs w:val="12"/>
                <w:b w:val="1"/>
                <w:bCs w:val="1"/>
                <w:color w:val="auto"/>
              </w:rPr>
              <w:t>35-2617337</w:t>
            </w:r>
          </w:p>
        </w:tc>
      </w:tr>
      <w:tr>
        <w:trPr>
          <w:trHeight w:val="112"/>
        </w:trPr>
        <w:tc>
          <w:tcPr>
            <w:tcW w:w="2180" w:type="dxa"/>
            <w:vAlign w:val="bottom"/>
          </w:tcPr>
          <w:p>
            <w:pPr>
              <w:jc w:val="center"/>
              <w:ind w:right="663"/>
              <w:spacing w:after="0" w:line="113" w:lineRule="exact"/>
              <w:rPr>
                <w:sz w:val="20"/>
                <w:szCs w:val="20"/>
                <w:color w:val="auto"/>
              </w:rPr>
            </w:pPr>
            <w:r>
              <w:rPr>
                <w:rFonts w:ascii="Times New Roman" w:cs="Times New Roman" w:eastAsia="Times New Roman" w:hAnsi="Times New Roman"/>
                <w:sz w:val="11"/>
                <w:szCs w:val="11"/>
                <w:b w:val="1"/>
                <w:bCs w:val="1"/>
                <w:color w:val="auto"/>
                <w:w w:val="99"/>
              </w:rPr>
              <w:t>(State or Other Jurisdiction of</w:t>
            </w:r>
          </w:p>
        </w:tc>
        <w:tc>
          <w:tcPr>
            <w:tcW w:w="2840" w:type="dxa"/>
            <w:vAlign w:val="bottom"/>
          </w:tcPr>
          <w:p>
            <w:pPr>
              <w:jc w:val="center"/>
              <w:ind w:right="3"/>
              <w:spacing w:after="0" w:line="113" w:lineRule="exact"/>
              <w:rPr>
                <w:sz w:val="20"/>
                <w:szCs w:val="20"/>
                <w:color w:val="auto"/>
              </w:rPr>
            </w:pPr>
            <w:r>
              <w:rPr>
                <w:rFonts w:ascii="Times New Roman" w:cs="Times New Roman" w:eastAsia="Times New Roman" w:hAnsi="Times New Roman"/>
                <w:sz w:val="11"/>
                <w:szCs w:val="11"/>
                <w:b w:val="1"/>
                <w:bCs w:val="1"/>
                <w:color w:val="auto"/>
                <w:w w:val="98"/>
              </w:rPr>
              <w:t>(Primary Standard Industrial</w:t>
            </w:r>
          </w:p>
        </w:tc>
        <w:tc>
          <w:tcPr>
            <w:tcW w:w="1840" w:type="dxa"/>
            <w:vAlign w:val="bottom"/>
          </w:tcPr>
          <w:p>
            <w:pPr>
              <w:jc w:val="center"/>
              <w:ind w:left="703"/>
              <w:spacing w:after="0" w:line="113"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3"/>
        </w:trPr>
        <w:tc>
          <w:tcPr>
            <w:tcW w:w="2180" w:type="dxa"/>
            <w:vAlign w:val="bottom"/>
          </w:tcPr>
          <w:p>
            <w:pPr>
              <w:jc w:val="center"/>
              <w:ind w:right="663"/>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284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w w:val="98"/>
              </w:rPr>
              <w:t>Classification Code Number)</w:t>
            </w:r>
          </w:p>
        </w:tc>
        <w:tc>
          <w:tcPr>
            <w:tcW w:w="1840" w:type="dxa"/>
            <w:vAlign w:val="bottom"/>
          </w:tcPr>
          <w:p>
            <w:pPr>
              <w:jc w:val="center"/>
              <w:ind w:left="703"/>
              <w:spacing w:after="0"/>
              <w:rPr>
                <w:sz w:val="20"/>
                <w:szCs w:val="20"/>
                <w:color w:val="auto"/>
              </w:rPr>
            </w:pPr>
            <w:r>
              <w:rPr>
                <w:rFonts w:ascii="Times New Roman" w:cs="Times New Roman" w:eastAsia="Times New Roman" w:hAnsi="Times New Roman"/>
                <w:sz w:val="11"/>
                <w:szCs w:val="11"/>
                <w:b w:val="1"/>
                <w:bCs w:val="1"/>
                <w:color w:val="auto"/>
                <w:w w:val="98"/>
              </w:rPr>
              <w:t>Identification Number)</w:t>
            </w:r>
          </w:p>
        </w:tc>
      </w:tr>
    </w:tbl>
    <w:p>
      <w:pPr>
        <w:spacing w:after="0" w:line="6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3421 Hillview Avenue</w:t>
      </w:r>
    </w:p>
    <w:p>
      <w:pPr>
        <w:jc w:val="center"/>
        <w:ind w:right="-1140"/>
        <w:spacing w:after="0" w:line="213" w:lineRule="auto"/>
        <w:rPr>
          <w:sz w:val="20"/>
          <w:szCs w:val="20"/>
          <w:color w:val="auto"/>
        </w:rPr>
      </w:pPr>
      <w:r>
        <w:rPr>
          <w:rFonts w:ascii="Times New Roman" w:cs="Times New Roman" w:eastAsia="Times New Roman" w:hAnsi="Times New Roman"/>
          <w:sz w:val="11"/>
          <w:szCs w:val="11"/>
          <w:b w:val="1"/>
          <w:bCs w:val="1"/>
          <w:color w:val="auto"/>
        </w:rPr>
        <w:t>Palo Alto, California 94304</w:t>
      </w:r>
    </w:p>
    <w:p>
      <w:pPr>
        <w:jc w:val="center"/>
        <w:ind w:right="-1140"/>
        <w:spacing w:after="0" w:line="213" w:lineRule="auto"/>
        <w:rPr>
          <w:sz w:val="20"/>
          <w:szCs w:val="20"/>
          <w:color w:val="auto"/>
        </w:rPr>
      </w:pPr>
      <w:r>
        <w:rPr>
          <w:rFonts w:ascii="Times New Roman" w:cs="Times New Roman" w:eastAsia="Times New Roman" w:hAnsi="Times New Roman"/>
          <w:sz w:val="11"/>
          <w:szCs w:val="11"/>
          <w:b w:val="1"/>
          <w:bCs w:val="1"/>
          <w:color w:val="auto"/>
        </w:rPr>
        <w:t>(650) 427-6000</w:t>
      </w: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169545</wp:posOffset>
            </wp:positionV>
            <wp:extent cx="110871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Mark Brazeal</w:t>
      </w:r>
    </w:p>
    <w:p>
      <w:pPr>
        <w:jc w:val="center"/>
        <w:ind w:right="-1140"/>
        <w:spacing w:after="0" w:line="213" w:lineRule="auto"/>
        <w:rPr>
          <w:sz w:val="20"/>
          <w:szCs w:val="20"/>
          <w:color w:val="auto"/>
        </w:rPr>
      </w:pPr>
      <w:r>
        <w:rPr>
          <w:rFonts w:ascii="Times New Roman" w:cs="Times New Roman" w:eastAsia="Times New Roman" w:hAnsi="Times New Roman"/>
          <w:sz w:val="11"/>
          <w:szCs w:val="11"/>
          <w:b w:val="1"/>
          <w:bCs w:val="1"/>
          <w:color w:val="auto"/>
        </w:rPr>
        <w:t>Chief Legal and Corporate Affairs Officer</w:t>
      </w:r>
    </w:p>
    <w:p>
      <w:pPr>
        <w:jc w:val="center"/>
        <w:ind w:right="-1140"/>
        <w:spacing w:after="0" w:line="213" w:lineRule="auto"/>
        <w:rPr>
          <w:sz w:val="20"/>
          <w:szCs w:val="20"/>
          <w:color w:val="auto"/>
        </w:rPr>
      </w:pPr>
      <w:r>
        <w:rPr>
          <w:rFonts w:ascii="Times New Roman" w:cs="Times New Roman" w:eastAsia="Times New Roman" w:hAnsi="Times New Roman"/>
          <w:sz w:val="11"/>
          <w:szCs w:val="11"/>
          <w:b w:val="1"/>
          <w:bCs w:val="1"/>
          <w:color w:val="auto"/>
        </w:rPr>
        <w:t>Broadcom Inc.</w:t>
      </w:r>
    </w:p>
    <w:p>
      <w:pPr>
        <w:jc w:val="center"/>
        <w:ind w:right="-1140"/>
        <w:spacing w:after="0" w:line="213" w:lineRule="auto"/>
        <w:rPr>
          <w:sz w:val="20"/>
          <w:szCs w:val="20"/>
          <w:color w:val="auto"/>
        </w:rPr>
      </w:pPr>
      <w:r>
        <w:rPr>
          <w:rFonts w:ascii="Times New Roman" w:cs="Times New Roman" w:eastAsia="Times New Roman" w:hAnsi="Times New Roman"/>
          <w:sz w:val="11"/>
          <w:szCs w:val="11"/>
          <w:b w:val="1"/>
          <w:bCs w:val="1"/>
          <w:color w:val="auto"/>
        </w:rPr>
        <w:t>3421 Hillview Avenue</w:t>
      </w:r>
    </w:p>
    <w:p>
      <w:pPr>
        <w:jc w:val="center"/>
        <w:ind w:right="-1140"/>
        <w:spacing w:after="0" w:line="213" w:lineRule="auto"/>
        <w:rPr>
          <w:sz w:val="20"/>
          <w:szCs w:val="20"/>
          <w:color w:val="auto"/>
        </w:rPr>
      </w:pPr>
      <w:r>
        <w:rPr>
          <w:rFonts w:ascii="Times New Roman" w:cs="Times New Roman" w:eastAsia="Times New Roman" w:hAnsi="Times New Roman"/>
          <w:sz w:val="11"/>
          <w:szCs w:val="11"/>
          <w:b w:val="1"/>
          <w:bCs w:val="1"/>
          <w:color w:val="auto"/>
        </w:rPr>
        <w:t>Palo Alto, California 94304</w:t>
      </w:r>
    </w:p>
    <w:p>
      <w:pPr>
        <w:jc w:val="center"/>
        <w:ind w:right="-1140"/>
        <w:spacing w:after="0" w:line="213" w:lineRule="auto"/>
        <w:rPr>
          <w:sz w:val="20"/>
          <w:szCs w:val="20"/>
          <w:color w:val="auto"/>
        </w:rPr>
      </w:pPr>
      <w:r>
        <w:rPr>
          <w:rFonts w:ascii="Times New Roman" w:cs="Times New Roman" w:eastAsia="Times New Roman" w:hAnsi="Times New Roman"/>
          <w:sz w:val="11"/>
          <w:szCs w:val="11"/>
          <w:b w:val="1"/>
          <w:bCs w:val="1"/>
          <w:color w:val="auto"/>
        </w:rPr>
        <w:t>(650) 427-6000</w:t>
      </w: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104775</wp:posOffset>
            </wp:positionV>
            <wp:extent cx="11087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24" w:lineRule="exact"/>
        <w:rPr>
          <w:sz w:val="24"/>
          <w:szCs w:val="24"/>
          <w:color w:val="auto"/>
        </w:rPr>
      </w:pPr>
    </w:p>
    <w:tbl>
      <w:tblPr>
        <w:tblLayout w:type="fixed"/>
        <w:tblInd w:w="296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3740" w:type="dxa"/>
            <w:vAlign w:val="bottom"/>
          </w:tcPr>
          <w:p>
            <w:pPr>
              <w:ind w:left="600"/>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tc>
      </w:tr>
      <w:tr>
        <w:trPr>
          <w:trHeight w:val="190"/>
        </w:trPr>
        <w:tc>
          <w:tcPr>
            <w:tcW w:w="1840" w:type="dxa"/>
            <w:vAlign w:val="bottom"/>
          </w:tcPr>
          <w:p>
            <w:pPr>
              <w:jc w:val="center"/>
              <w:ind w:right="546"/>
              <w:spacing w:after="0"/>
              <w:rPr>
                <w:sz w:val="20"/>
                <w:szCs w:val="20"/>
                <w:color w:val="auto"/>
              </w:rPr>
            </w:pPr>
            <w:r>
              <w:rPr>
                <w:rFonts w:ascii="Times New Roman" w:cs="Times New Roman" w:eastAsia="Times New Roman" w:hAnsi="Times New Roman"/>
                <w:sz w:val="11"/>
                <w:szCs w:val="11"/>
                <w:b w:val="1"/>
                <w:bCs w:val="1"/>
                <w:color w:val="auto"/>
                <w:w w:val="99"/>
              </w:rPr>
              <w:t>Noelle Matteson</w:t>
            </w:r>
          </w:p>
        </w:tc>
        <w:tc>
          <w:tcPr>
            <w:tcW w:w="3740" w:type="dxa"/>
            <w:vAlign w:val="bottom"/>
          </w:tcPr>
          <w:p>
            <w:pPr>
              <w:jc w:val="center"/>
              <w:ind w:left="2185"/>
              <w:spacing w:after="0"/>
              <w:rPr>
                <w:sz w:val="20"/>
                <w:szCs w:val="20"/>
                <w:color w:val="auto"/>
              </w:rPr>
            </w:pPr>
            <w:r>
              <w:rPr>
                <w:rFonts w:ascii="Times New Roman" w:cs="Times New Roman" w:eastAsia="Times New Roman" w:hAnsi="Times New Roman"/>
                <w:sz w:val="11"/>
                <w:szCs w:val="11"/>
                <w:b w:val="1"/>
                <w:bCs w:val="1"/>
                <w:color w:val="auto"/>
              </w:rPr>
              <w:t>David C. Karp</w:t>
            </w:r>
          </w:p>
        </w:tc>
      </w:tr>
      <w:tr>
        <w:trPr>
          <w:trHeight w:val="112"/>
        </w:trPr>
        <w:tc>
          <w:tcPr>
            <w:tcW w:w="1840" w:type="dxa"/>
            <w:vAlign w:val="bottom"/>
          </w:tcPr>
          <w:p>
            <w:pPr>
              <w:jc w:val="center"/>
              <w:ind w:right="546"/>
              <w:spacing w:after="0" w:line="113" w:lineRule="exact"/>
              <w:rPr>
                <w:sz w:val="20"/>
                <w:szCs w:val="20"/>
                <w:color w:val="auto"/>
              </w:rPr>
            </w:pPr>
            <w:r>
              <w:rPr>
                <w:rFonts w:ascii="Times New Roman" w:cs="Times New Roman" w:eastAsia="Times New Roman" w:hAnsi="Times New Roman"/>
                <w:sz w:val="11"/>
                <w:szCs w:val="11"/>
                <w:b w:val="1"/>
                <w:bCs w:val="1"/>
                <w:color w:val="auto"/>
                <w:w w:val="97"/>
              </w:rPr>
              <w:t>Emily Sacks-Wilner</w:t>
            </w:r>
          </w:p>
        </w:tc>
        <w:tc>
          <w:tcPr>
            <w:tcW w:w="3740" w:type="dxa"/>
            <w:vAlign w:val="bottom"/>
          </w:tcPr>
          <w:p>
            <w:pPr>
              <w:jc w:val="center"/>
              <w:ind w:left="2185"/>
              <w:spacing w:after="0" w:line="113" w:lineRule="exact"/>
              <w:rPr>
                <w:sz w:val="20"/>
                <w:szCs w:val="20"/>
                <w:color w:val="auto"/>
              </w:rPr>
            </w:pPr>
            <w:r>
              <w:rPr>
                <w:rFonts w:ascii="Times New Roman" w:cs="Times New Roman" w:eastAsia="Times New Roman" w:hAnsi="Times New Roman"/>
                <w:sz w:val="11"/>
                <w:szCs w:val="11"/>
                <w:b w:val="1"/>
                <w:bCs w:val="1"/>
                <w:color w:val="auto"/>
                <w:w w:val="97"/>
              </w:rPr>
              <w:t>Ronald C. Chen</w:t>
            </w:r>
          </w:p>
        </w:tc>
      </w:tr>
      <w:tr>
        <w:trPr>
          <w:trHeight w:val="112"/>
        </w:trPr>
        <w:tc>
          <w:tcPr>
            <w:tcW w:w="1840" w:type="dxa"/>
            <w:vAlign w:val="bottom"/>
          </w:tcPr>
          <w:p>
            <w:pPr>
              <w:jc w:val="center"/>
              <w:ind w:right="546"/>
              <w:spacing w:after="0" w:line="113" w:lineRule="exact"/>
              <w:rPr>
                <w:sz w:val="20"/>
                <w:szCs w:val="20"/>
                <w:color w:val="auto"/>
              </w:rPr>
            </w:pPr>
            <w:r>
              <w:rPr>
                <w:rFonts w:ascii="Times New Roman" w:cs="Times New Roman" w:eastAsia="Times New Roman" w:hAnsi="Times New Roman"/>
                <w:sz w:val="11"/>
                <w:szCs w:val="11"/>
                <w:b w:val="1"/>
                <w:bCs w:val="1"/>
                <w:color w:val="auto"/>
                <w:w w:val="97"/>
              </w:rPr>
              <w:t>Michelle Zhang</w:t>
            </w:r>
          </w:p>
        </w:tc>
        <w:tc>
          <w:tcPr>
            <w:tcW w:w="3740" w:type="dxa"/>
            <w:vAlign w:val="bottom"/>
          </w:tcPr>
          <w:p>
            <w:pPr>
              <w:jc w:val="center"/>
              <w:ind w:left="2185"/>
              <w:spacing w:after="0" w:line="113" w:lineRule="exact"/>
              <w:rPr>
                <w:sz w:val="20"/>
                <w:szCs w:val="20"/>
                <w:color w:val="auto"/>
              </w:rPr>
            </w:pPr>
            <w:r>
              <w:rPr>
                <w:rFonts w:ascii="Times New Roman" w:cs="Times New Roman" w:eastAsia="Times New Roman" w:hAnsi="Times New Roman"/>
                <w:sz w:val="11"/>
                <w:szCs w:val="11"/>
                <w:b w:val="1"/>
                <w:bCs w:val="1"/>
                <w:color w:val="auto"/>
                <w:w w:val="97"/>
              </w:rPr>
              <w:t>Kyle M. Diamond</w:t>
            </w:r>
          </w:p>
        </w:tc>
      </w:tr>
      <w:tr>
        <w:trPr>
          <w:trHeight w:val="112"/>
        </w:trPr>
        <w:tc>
          <w:tcPr>
            <w:tcW w:w="1840" w:type="dxa"/>
            <w:vAlign w:val="bottom"/>
          </w:tcPr>
          <w:p>
            <w:pPr>
              <w:jc w:val="center"/>
              <w:ind w:right="546"/>
              <w:spacing w:after="0" w:line="113" w:lineRule="exact"/>
              <w:rPr>
                <w:sz w:val="20"/>
                <w:szCs w:val="20"/>
                <w:color w:val="auto"/>
              </w:rPr>
            </w:pPr>
            <w:r>
              <w:rPr>
                <w:rFonts w:ascii="Times New Roman" w:cs="Times New Roman" w:eastAsia="Times New Roman" w:hAnsi="Times New Roman"/>
                <w:sz w:val="11"/>
                <w:szCs w:val="11"/>
                <w:b w:val="1"/>
                <w:bCs w:val="1"/>
                <w:color w:val="auto"/>
                <w:w w:val="97"/>
              </w:rPr>
              <w:t>Broadcom Inc.</w:t>
            </w:r>
          </w:p>
        </w:tc>
        <w:tc>
          <w:tcPr>
            <w:tcW w:w="3740" w:type="dxa"/>
            <w:vAlign w:val="bottom"/>
          </w:tcPr>
          <w:p>
            <w:pPr>
              <w:jc w:val="center"/>
              <w:ind w:left="2185"/>
              <w:spacing w:after="0" w:line="113" w:lineRule="exact"/>
              <w:rPr>
                <w:sz w:val="20"/>
                <w:szCs w:val="20"/>
                <w:color w:val="auto"/>
              </w:rPr>
            </w:pPr>
            <w:r>
              <w:rPr>
                <w:rFonts w:ascii="Times New Roman" w:cs="Times New Roman" w:eastAsia="Times New Roman" w:hAnsi="Times New Roman"/>
                <w:sz w:val="11"/>
                <w:szCs w:val="11"/>
                <w:b w:val="1"/>
                <w:bCs w:val="1"/>
                <w:color w:val="auto"/>
                <w:w w:val="99"/>
              </w:rPr>
              <w:t>Wachtell, Lipton, Rosen &amp; Katz</w:t>
            </w:r>
          </w:p>
        </w:tc>
      </w:tr>
      <w:tr>
        <w:trPr>
          <w:trHeight w:val="112"/>
        </w:trPr>
        <w:tc>
          <w:tcPr>
            <w:tcW w:w="1840" w:type="dxa"/>
            <w:vAlign w:val="bottom"/>
          </w:tcPr>
          <w:p>
            <w:pPr>
              <w:jc w:val="center"/>
              <w:ind w:right="546"/>
              <w:spacing w:after="0" w:line="113" w:lineRule="exact"/>
              <w:rPr>
                <w:sz w:val="20"/>
                <w:szCs w:val="20"/>
                <w:color w:val="auto"/>
              </w:rPr>
            </w:pPr>
            <w:r>
              <w:rPr>
                <w:rFonts w:ascii="Times New Roman" w:cs="Times New Roman" w:eastAsia="Times New Roman" w:hAnsi="Times New Roman"/>
                <w:sz w:val="11"/>
                <w:szCs w:val="11"/>
                <w:b w:val="1"/>
                <w:bCs w:val="1"/>
                <w:color w:val="auto"/>
                <w:w w:val="97"/>
              </w:rPr>
              <w:t>3421 Hillview Avenue</w:t>
            </w:r>
          </w:p>
        </w:tc>
        <w:tc>
          <w:tcPr>
            <w:tcW w:w="3740" w:type="dxa"/>
            <w:vAlign w:val="bottom"/>
          </w:tcPr>
          <w:p>
            <w:pPr>
              <w:jc w:val="center"/>
              <w:ind w:left="2185"/>
              <w:spacing w:after="0" w:line="113" w:lineRule="exact"/>
              <w:rPr>
                <w:sz w:val="20"/>
                <w:szCs w:val="20"/>
                <w:color w:val="auto"/>
              </w:rPr>
            </w:pPr>
            <w:r>
              <w:rPr>
                <w:rFonts w:ascii="Times New Roman" w:cs="Times New Roman" w:eastAsia="Times New Roman" w:hAnsi="Times New Roman"/>
                <w:sz w:val="11"/>
                <w:szCs w:val="11"/>
                <w:b w:val="1"/>
                <w:bCs w:val="1"/>
                <w:color w:val="auto"/>
                <w:w w:val="99"/>
              </w:rPr>
              <w:t>51 West 52nd Street</w:t>
            </w:r>
          </w:p>
        </w:tc>
      </w:tr>
      <w:tr>
        <w:trPr>
          <w:trHeight w:val="112"/>
        </w:trPr>
        <w:tc>
          <w:tcPr>
            <w:tcW w:w="1840" w:type="dxa"/>
            <w:vAlign w:val="bottom"/>
          </w:tcPr>
          <w:p>
            <w:pPr>
              <w:jc w:val="center"/>
              <w:ind w:right="526"/>
              <w:spacing w:after="0" w:line="113" w:lineRule="exact"/>
              <w:rPr>
                <w:sz w:val="20"/>
                <w:szCs w:val="20"/>
                <w:color w:val="auto"/>
              </w:rPr>
            </w:pPr>
            <w:r>
              <w:rPr>
                <w:rFonts w:ascii="Times New Roman" w:cs="Times New Roman" w:eastAsia="Times New Roman" w:hAnsi="Times New Roman"/>
                <w:sz w:val="11"/>
                <w:szCs w:val="11"/>
                <w:b w:val="1"/>
                <w:bCs w:val="1"/>
                <w:color w:val="auto"/>
                <w:w w:val="98"/>
              </w:rPr>
              <w:t>Palo Alto, California 94304</w:t>
            </w:r>
          </w:p>
        </w:tc>
        <w:tc>
          <w:tcPr>
            <w:tcW w:w="3740" w:type="dxa"/>
            <w:vAlign w:val="bottom"/>
          </w:tcPr>
          <w:p>
            <w:pPr>
              <w:jc w:val="center"/>
              <w:ind w:left="2185"/>
              <w:spacing w:after="0" w:line="113" w:lineRule="exact"/>
              <w:rPr>
                <w:sz w:val="20"/>
                <w:szCs w:val="20"/>
                <w:color w:val="auto"/>
              </w:rPr>
            </w:pPr>
            <w:r>
              <w:rPr>
                <w:rFonts w:ascii="Times New Roman" w:cs="Times New Roman" w:eastAsia="Times New Roman" w:hAnsi="Times New Roman"/>
                <w:sz w:val="11"/>
                <w:szCs w:val="11"/>
                <w:b w:val="1"/>
                <w:bCs w:val="1"/>
                <w:color w:val="auto"/>
                <w:w w:val="95"/>
              </w:rPr>
              <w:t>New York, New York 10019</w:t>
            </w:r>
          </w:p>
        </w:tc>
      </w:tr>
      <w:tr>
        <w:trPr>
          <w:trHeight w:val="143"/>
        </w:trPr>
        <w:tc>
          <w:tcPr>
            <w:tcW w:w="1840" w:type="dxa"/>
            <w:vAlign w:val="bottom"/>
          </w:tcPr>
          <w:p>
            <w:pPr>
              <w:jc w:val="center"/>
              <w:ind w:right="546"/>
              <w:spacing w:after="0"/>
              <w:rPr>
                <w:sz w:val="20"/>
                <w:szCs w:val="20"/>
                <w:color w:val="auto"/>
              </w:rPr>
            </w:pPr>
            <w:r>
              <w:rPr>
                <w:rFonts w:ascii="Times New Roman" w:cs="Times New Roman" w:eastAsia="Times New Roman" w:hAnsi="Times New Roman"/>
                <w:sz w:val="11"/>
                <w:szCs w:val="11"/>
                <w:b w:val="1"/>
                <w:bCs w:val="1"/>
                <w:color w:val="auto"/>
                <w:w w:val="98"/>
              </w:rPr>
              <w:t>(650) 427-6000</w:t>
            </w:r>
          </w:p>
        </w:tc>
        <w:tc>
          <w:tcPr>
            <w:tcW w:w="3740" w:type="dxa"/>
            <w:vAlign w:val="bottom"/>
          </w:tcPr>
          <w:p>
            <w:pPr>
              <w:jc w:val="center"/>
              <w:ind w:left="2165"/>
              <w:spacing w:after="0"/>
              <w:rPr>
                <w:sz w:val="20"/>
                <w:szCs w:val="20"/>
                <w:color w:val="auto"/>
              </w:rPr>
            </w:pPr>
            <w:r>
              <w:rPr>
                <w:rFonts w:ascii="Times New Roman" w:cs="Times New Roman" w:eastAsia="Times New Roman" w:hAnsi="Times New Roman"/>
                <w:sz w:val="11"/>
                <w:szCs w:val="11"/>
                <w:b w:val="1"/>
                <w:bCs w:val="1"/>
                <w:color w:val="auto"/>
                <w:w w:val="98"/>
              </w:rPr>
              <w:t>(212) 403-1000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167640</wp:posOffset>
            </wp:positionV>
            <wp:extent cx="110871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399"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sale to the public: </w:t>
      </w:r>
      <w:r>
        <w:rPr>
          <w:rFonts w:ascii="Times New Roman" w:cs="Times New Roman" w:eastAsia="Times New Roman" w:hAnsi="Times New Roman"/>
          <w:sz w:val="11"/>
          <w:szCs w:val="11"/>
          <w:color w:val="auto"/>
        </w:rPr>
        <w:t>As soon as practicable after this Registration Statement is declared effective.</w:t>
      </w:r>
    </w:p>
    <w:p>
      <w:pPr>
        <w:spacing w:after="0" w:line="151" w:lineRule="exact"/>
        <w:rPr>
          <w:sz w:val="24"/>
          <w:szCs w:val="24"/>
          <w:color w:val="auto"/>
        </w:rPr>
      </w:pPr>
    </w:p>
    <w:p>
      <w:pPr>
        <w:ind w:left="1480" w:right="439" w:firstLine="333"/>
        <w:spacing w:after="0" w:line="141" w:lineRule="exact"/>
        <w:rPr>
          <w:sz w:val="20"/>
          <w:szCs w:val="20"/>
          <w:color w:val="auto"/>
        </w:rPr>
      </w:pPr>
      <w:r>
        <w:rPr>
          <w:rFonts w:ascii="Times New Roman" w:cs="Times New Roman" w:eastAsia="Times New Roman" w:hAnsi="Times New Roman"/>
          <w:sz w:val="11"/>
          <w:szCs w:val="11"/>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1"/>
          <w:szCs w:val="11"/>
          <w:color w:val="auto"/>
        </w:rPr>
        <w:t>☐</w:t>
      </w:r>
    </w:p>
    <w:p>
      <w:pPr>
        <w:spacing w:after="0" w:line="127" w:lineRule="exact"/>
        <w:rPr>
          <w:sz w:val="24"/>
          <w:szCs w:val="24"/>
          <w:color w:val="auto"/>
        </w:rPr>
      </w:pPr>
    </w:p>
    <w:p>
      <w:pPr>
        <w:ind w:left="1480" w:right="559" w:firstLine="333"/>
        <w:spacing w:after="0" w:line="141"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27" w:lineRule="exact"/>
        <w:rPr>
          <w:sz w:val="24"/>
          <w:szCs w:val="24"/>
          <w:color w:val="auto"/>
        </w:rPr>
      </w:pPr>
    </w:p>
    <w:p>
      <w:pPr>
        <w:ind w:left="1480" w:right="439" w:firstLine="333"/>
        <w:spacing w:after="0" w:line="141"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27" w:lineRule="exact"/>
        <w:rPr>
          <w:sz w:val="24"/>
          <w:szCs w:val="24"/>
          <w:color w:val="auto"/>
        </w:rPr>
      </w:pPr>
    </w:p>
    <w:p>
      <w:pPr>
        <w:ind w:left="1480" w:right="379" w:firstLine="333"/>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42" w:lineRule="exact"/>
        <w:rPr>
          <w:sz w:val="24"/>
          <w:szCs w:val="24"/>
          <w:color w:val="auto"/>
        </w:rPr>
      </w:pPr>
    </w:p>
    <w:tbl>
      <w:tblPr>
        <w:tblLayout w:type="fixed"/>
        <w:tblInd w:w="2060" w:type="dxa"/>
        <w:tblCellMar>
          <w:top w:w="0" w:type="dxa"/>
          <w:left w:w="0" w:type="dxa"/>
          <w:bottom w:w="0" w:type="dxa"/>
          <w:right w:w="0" w:type="dxa"/>
        </w:tblCellMar>
      </w:tblPr>
      <w:tr>
        <w:trPr>
          <w:trHeight w:val="153"/>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280" w:type="dxa"/>
            <w:vAlign w:val="bottom"/>
          </w:tcPr>
          <w:p>
            <w:pPr>
              <w:ind w:left="160"/>
              <w:spacing w:after="0" w:line="111" w:lineRule="exact"/>
              <w:rPr>
                <w:sz w:val="20"/>
                <w:szCs w:val="20"/>
                <w:color w:val="auto"/>
              </w:rPr>
            </w:pPr>
            <w:r>
              <w:rPr>
                <w:rFonts w:ascii="MS PGothic" w:cs="MS PGothic" w:eastAsia="MS PGothic" w:hAnsi="MS PGothic"/>
                <w:sz w:val="11"/>
                <w:szCs w:val="11"/>
                <w:color w:val="auto"/>
              </w:rPr>
              <w:t>☒</w:t>
            </w:r>
          </w:p>
        </w:tc>
        <w:tc>
          <w:tcPr>
            <w:tcW w:w="3400" w:type="dxa"/>
            <w:vAlign w:val="bottom"/>
          </w:tcPr>
          <w:p>
            <w:pPr>
              <w:ind w:left="2020"/>
              <w:spacing w:after="0"/>
              <w:rPr>
                <w:sz w:val="20"/>
                <w:szCs w:val="20"/>
                <w:color w:val="auto"/>
              </w:rPr>
            </w:pPr>
            <w:r>
              <w:rPr>
                <w:rFonts w:ascii="Times New Roman" w:cs="Times New Roman" w:eastAsia="Times New Roman" w:hAnsi="Times New Roman"/>
                <w:sz w:val="11"/>
                <w:szCs w:val="11"/>
                <w:color w:val="auto"/>
              </w:rPr>
              <w:t>Accelerated filer</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3"/>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280" w:type="dxa"/>
            <w:vAlign w:val="bottom"/>
          </w:tcPr>
          <w:p>
            <w:pPr>
              <w:ind w:left="160"/>
              <w:spacing w:after="0" w:line="111" w:lineRule="exact"/>
              <w:rPr>
                <w:sz w:val="20"/>
                <w:szCs w:val="20"/>
                <w:color w:val="auto"/>
              </w:rPr>
            </w:pPr>
            <w:r>
              <w:rPr>
                <w:rFonts w:ascii="MS PGothic" w:cs="MS PGothic" w:eastAsia="MS PGothic" w:hAnsi="MS PGothic"/>
                <w:sz w:val="11"/>
                <w:szCs w:val="11"/>
                <w:color w:val="auto"/>
              </w:rPr>
              <w:t>☐</w:t>
            </w:r>
          </w:p>
        </w:tc>
        <w:tc>
          <w:tcPr>
            <w:tcW w:w="3400" w:type="dxa"/>
            <w:vAlign w:val="bottom"/>
          </w:tcPr>
          <w:p>
            <w:pPr>
              <w:ind w:left="20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3"/>
        </w:trPr>
        <w:tc>
          <w:tcPr>
            <w:tcW w:w="11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00" w:type="dxa"/>
            <w:vAlign w:val="bottom"/>
          </w:tcPr>
          <w:p>
            <w:pPr>
              <w:ind w:left="2020"/>
              <w:spacing w:after="0"/>
              <w:rPr>
                <w:sz w:val="20"/>
                <w:szCs w:val="20"/>
                <w:color w:val="auto"/>
              </w:rPr>
            </w:pPr>
            <w:r>
              <w:rPr>
                <w:rFonts w:ascii="Times New Roman" w:cs="Times New Roman" w:eastAsia="Times New Roman" w:hAnsi="Times New Roman"/>
                <w:sz w:val="11"/>
                <w:szCs w:val="11"/>
                <w:color w:val="auto"/>
              </w:rPr>
              <w:t>Emerging growth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27" w:lineRule="exact"/>
        <w:rPr>
          <w:sz w:val="24"/>
          <w:szCs w:val="24"/>
          <w:color w:val="auto"/>
        </w:rPr>
      </w:pPr>
    </w:p>
    <w:p>
      <w:pPr>
        <w:ind w:left="1480" w:right="779" w:firstLine="333"/>
        <w:spacing w:after="0" w:line="141"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127"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1"/>
          <w:szCs w:val="11"/>
          <w:color w:val="auto"/>
        </w:rPr>
        <w:t>If applicable, place an X in the box to designate the appropriate rule provision relied upon in conducting this transaction:</w:t>
      </w:r>
    </w:p>
    <w:p>
      <w:pPr>
        <w:sectPr>
          <w:pgSz w:w="11900" w:h="16838" w:orient="portrait"/>
          <w:cols w:equalWidth="0" w:num="1">
            <w:col w:w="10159"/>
          </w:cols>
          <w:pgMar w:left="300" w:top="204" w:right="1440" w:bottom="1440" w:gutter="0" w:footer="0" w:header="0"/>
        </w:sectPr>
      </w:pPr>
    </w:p>
    <w:p>
      <w:pPr>
        <w:spacing w:after="0" w:line="170"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1"/>
          <w:szCs w:val="11"/>
          <w:color w:val="auto"/>
        </w:rPr>
        <w:t>Exchange Act Rule 13e-4(i) (Cross-Border Issuer Tender Offer)</w:t>
      </w:r>
    </w:p>
    <w:p>
      <w:pPr>
        <w:spacing w:after="0" w:line="15"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0"/>
          <w:szCs w:val="10"/>
          <w:color w:val="auto"/>
        </w:rPr>
        <w:t>Exchange Act 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191770</wp:posOffset>
            </wp:positionV>
            <wp:extent cx="110871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65"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5" w:lineRule="exact"/>
        <w:rPr>
          <w:sz w:val="24"/>
          <w:szCs w:val="24"/>
          <w:color w:val="auto"/>
        </w:rPr>
      </w:pPr>
    </w:p>
    <w:p>
      <w:pPr>
        <w:sectPr>
          <w:pgSz w:w="11900" w:h="16838" w:orient="portrait"/>
          <w:cols w:equalWidth="0" w:num="2">
            <w:col w:w="7960" w:space="720"/>
            <w:col w:w="1479"/>
          </w:cols>
          <w:pgMar w:left="300" w:top="204" w:right="1440" w:bottom="1440" w:gutter="0" w:footer="0" w:header="0"/>
          <w:type w:val="continuous"/>
        </w:sectPr>
      </w:pPr>
    </w:p>
    <w:p>
      <w:pPr>
        <w:spacing w:after="0" w:line="257" w:lineRule="exact"/>
        <w:rPr>
          <w:sz w:val="24"/>
          <w:szCs w:val="24"/>
          <w:color w:val="auto"/>
        </w:rPr>
      </w:pPr>
    </w:p>
    <w:p>
      <w:pPr>
        <w:ind w:left="1480" w:right="759" w:firstLine="333"/>
        <w:spacing w:after="0" w:line="232"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941070</wp:posOffset>
            </wp:positionH>
            <wp:positionV relativeFrom="paragraph">
              <wp:posOffset>57785</wp:posOffset>
            </wp:positionV>
            <wp:extent cx="529145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9145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90170</wp:posOffset>
            </wp:positionV>
            <wp:extent cx="529145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91455" cy="6350"/>
                    </a:xfrm>
                    <a:prstGeom prst="rect">
                      <a:avLst/>
                    </a:prstGeom>
                    <a:noFill/>
                  </pic:spPr>
                </pic:pic>
              </a:graphicData>
            </a:graphic>
          </wp:anchor>
        </w:drawing>
      </w:r>
    </w:p>
    <w:p>
      <w:pPr>
        <w:sectPr>
          <w:pgSz w:w="11900" w:h="16838" w:orient="portrait"/>
          <w:cols w:equalWidth="0" w:num="1">
            <w:col w:w="10159"/>
          </w:cols>
          <w:pgMar w:left="300" w:top="204"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9" w:lineRule="exact"/>
        <w:rPr>
          <w:sz w:val="20"/>
          <w:szCs w:val="20"/>
          <w:color w:val="auto"/>
        </w:rPr>
      </w:pPr>
    </w:p>
    <w:tbl>
      <w:tblPr>
        <w:tblLayout w:type="fixed"/>
        <w:tblInd w:w="1480" w:type="dxa"/>
        <w:tblCellMar>
          <w:top w:w="0" w:type="dxa"/>
          <w:left w:w="0" w:type="dxa"/>
          <w:bottom w:w="0" w:type="dxa"/>
          <w:right w:w="0" w:type="dxa"/>
        </w:tblCellMar>
      </w:tblPr>
      <w:tr>
        <w:trPr>
          <w:trHeight w:val="1564"/>
        </w:trPr>
        <w:tc>
          <w:tcPr>
            <w:tcW w:w="140" w:type="dxa"/>
            <w:vAlign w:val="bottom"/>
            <w:textDirection w:val="btLr"/>
          </w:tcPr>
          <w:p>
            <w:pPr>
              <w:ind w:left="2"/>
              <w:spacing w:after="0"/>
              <w:rPr>
                <w:sz w:val="20"/>
                <w:szCs w:val="20"/>
                <w:color w:val="auto"/>
              </w:rPr>
            </w:pPr>
            <w:r>
              <w:rPr>
                <w:rFonts w:ascii="Times New Roman" w:cs="Times New Roman" w:eastAsia="Times New Roman" w:hAnsi="Times New Roman"/>
                <w:sz w:val="12"/>
                <w:szCs w:val="12"/>
                <w:b w:val="1"/>
                <w:bCs w:val="1"/>
                <w:color w:val="FF4338"/>
              </w:rPr>
              <w:t>statement filed with the</w:t>
            </w:r>
          </w:p>
        </w:tc>
        <w:tc>
          <w:tcPr>
            <w:tcW w:w="280" w:type="dxa"/>
            <w:vAlign w:val="bottom"/>
            <w:textDirection w:val="btLr"/>
          </w:tcPr>
          <w:p>
            <w:pPr>
              <w:ind w:left="26"/>
              <w:spacing w:after="0"/>
              <w:rPr>
                <w:sz w:val="20"/>
                <w:szCs w:val="20"/>
                <w:color w:val="auto"/>
              </w:rPr>
            </w:pPr>
            <w:r>
              <w:rPr>
                <w:rFonts w:ascii="Times New Roman" w:cs="Times New Roman" w:eastAsia="Times New Roman" w:hAnsi="Times New Roman"/>
                <w:sz w:val="12"/>
                <w:szCs w:val="12"/>
                <w:b w:val="1"/>
                <w:bCs w:val="1"/>
                <w:color w:val="FF4338"/>
              </w:rPr>
              <w:t>offer to buy these securities in</w:t>
            </w:r>
          </w:p>
        </w:tc>
      </w:tr>
      <w:tr>
        <w:trPr>
          <w:trHeight w:val="2795"/>
        </w:trPr>
        <w:tc>
          <w:tcPr>
            <w:tcW w:w="140" w:type="dxa"/>
            <w:vAlign w:val="bottom"/>
            <w:textDirection w:val="btLr"/>
          </w:tcPr>
          <w:p>
            <w:pPr>
              <w:ind w:left="2"/>
              <w:spacing w:after="0"/>
              <w:rPr>
                <w:sz w:val="20"/>
                <w:szCs w:val="20"/>
                <w:color w:val="auto"/>
              </w:rPr>
            </w:pPr>
            <w:r>
              <w:rPr>
                <w:rFonts w:ascii="Times New Roman" w:cs="Times New Roman" w:eastAsia="Times New Roman" w:hAnsi="Times New Roman"/>
                <w:sz w:val="12"/>
                <w:szCs w:val="12"/>
                <w:b w:val="1"/>
                <w:bCs w:val="1"/>
                <w:color w:val="FF4338"/>
              </w:rPr>
              <w:t>We may not sell these securities until the registration</w:t>
            </w:r>
          </w:p>
        </w:tc>
        <w:tc>
          <w:tcPr>
            <w:tcW w:w="280" w:type="dxa"/>
            <w:vAlign w:val="bottom"/>
            <w:textDirection w:val="btLr"/>
          </w:tcPr>
          <w:p>
            <w:pPr>
              <w:ind w:left="26"/>
              <w:spacing w:after="0"/>
              <w:rPr>
                <w:sz w:val="20"/>
                <w:szCs w:val="20"/>
                <w:color w:val="auto"/>
              </w:rPr>
            </w:pPr>
            <w:r>
              <w:rPr>
                <w:rFonts w:ascii="Times New Roman" w:cs="Times New Roman" w:eastAsia="Times New Roman" w:hAnsi="Times New Roman"/>
                <w:sz w:val="12"/>
                <w:szCs w:val="12"/>
                <w:b w:val="1"/>
                <w:bCs w:val="1"/>
                <w:color w:val="FF4338"/>
              </w:rPr>
              <w:t>an offer to sell these securities and is not soliciting an</w:t>
            </w:r>
          </w:p>
        </w:tc>
      </w:tr>
      <w:tr>
        <w:trPr>
          <w:trHeight w:val="907"/>
        </w:trPr>
        <w:tc>
          <w:tcPr>
            <w:tcW w:w="140" w:type="dxa"/>
            <w:vAlign w:val="bottom"/>
            <w:textDirection w:val="btLr"/>
          </w:tcPr>
          <w:p>
            <w:pPr>
              <w:ind w:left="2"/>
              <w:spacing w:after="0"/>
              <w:rPr>
                <w:sz w:val="20"/>
                <w:szCs w:val="20"/>
                <w:color w:val="auto"/>
              </w:rPr>
            </w:pPr>
            <w:r>
              <w:rPr>
                <w:rFonts w:ascii="Times New Roman" w:cs="Times New Roman" w:eastAsia="Times New Roman" w:hAnsi="Times New Roman"/>
                <w:sz w:val="12"/>
                <w:szCs w:val="12"/>
                <w:b w:val="1"/>
                <w:bCs w:val="1"/>
                <w:color w:val="FF4338"/>
              </w:rPr>
              <w:t>may be changed.</w:t>
            </w:r>
          </w:p>
        </w:tc>
        <w:tc>
          <w:tcPr>
            <w:tcW w:w="280" w:type="dxa"/>
            <w:vAlign w:val="bottom"/>
            <w:textDirection w:val="btLr"/>
          </w:tcPr>
          <w:p>
            <w:pPr>
              <w:ind w:left="26"/>
              <w:spacing w:after="0"/>
              <w:rPr>
                <w:sz w:val="20"/>
                <w:szCs w:val="20"/>
                <w:color w:val="auto"/>
              </w:rPr>
            </w:pPr>
            <w:r>
              <w:rPr>
                <w:rFonts w:ascii="Times New Roman" w:cs="Times New Roman" w:eastAsia="Times New Roman" w:hAnsi="Times New Roman"/>
                <w:sz w:val="12"/>
                <w:szCs w:val="12"/>
                <w:b w:val="1"/>
                <w:bCs w:val="1"/>
                <w:color w:val="FF4338"/>
              </w:rPr>
              <w:t>prospectus is not</w:t>
            </w:r>
          </w:p>
        </w:tc>
      </w:tr>
      <w:tr>
        <w:trPr>
          <w:trHeight w:val="3514"/>
        </w:trPr>
        <w:tc>
          <w:tcPr>
            <w:tcW w:w="140" w:type="dxa"/>
            <w:vAlign w:val="bottom"/>
            <w:textDirection w:val="btLr"/>
          </w:tcPr>
          <w:p>
            <w:pPr>
              <w:ind w:left="2"/>
              <w:spacing w:after="0"/>
              <w:rPr>
                <w:sz w:val="20"/>
                <w:szCs w:val="20"/>
                <w:color w:val="auto"/>
              </w:rPr>
            </w:pPr>
            <w:r>
              <w:rPr>
                <w:rFonts w:ascii="Times New Roman" w:cs="Times New Roman" w:eastAsia="Times New Roman" w:hAnsi="Times New Roman"/>
                <w:sz w:val="12"/>
                <w:szCs w:val="12"/>
                <w:b w:val="1"/>
                <w:bCs w:val="1"/>
                <w:color w:val="FF4338"/>
              </w:rPr>
              <w:t>The information in this preliminary prospectus is not complete and</w:t>
            </w:r>
          </w:p>
        </w:tc>
        <w:tc>
          <w:tcPr>
            <w:tcW w:w="280" w:type="dxa"/>
            <w:vAlign w:val="bottom"/>
            <w:textDirection w:val="btLr"/>
          </w:tcPr>
          <w:p>
            <w:pPr>
              <w:ind w:left="177"/>
              <w:spacing w:after="0"/>
              <w:rPr>
                <w:sz w:val="20"/>
                <w:szCs w:val="20"/>
                <w:color w:val="auto"/>
              </w:rPr>
            </w:pPr>
            <w:r>
              <w:rPr>
                <w:rFonts w:ascii="Times New Roman" w:cs="Times New Roman" w:eastAsia="Times New Roman" w:hAnsi="Times New Roman"/>
                <w:sz w:val="9"/>
                <w:szCs w:val="9"/>
                <w:b w:val="1"/>
                <w:bCs w:val="1"/>
                <w:color w:val="FF4338"/>
                <w:w w:val="77"/>
              </w:rPr>
              <w:t>Securities and Exchange Commission is effective. This preliminaryanyjurisdictionwheretheofferorsaleisnotpermitted.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2"/>
          <w:szCs w:val="12"/>
          <w:b w:val="1"/>
          <w:bCs w:val="1"/>
          <w:color w:val="FF4338"/>
        </w:rPr>
        <w:t>SUBJECT TO COMPLETION, DATED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-1369695</wp:posOffset>
            </wp:positionH>
            <wp:positionV relativeFrom="paragraph">
              <wp:posOffset>-565150</wp:posOffset>
            </wp:positionV>
            <wp:extent cx="720407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3238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76200</wp:posOffset>
            </wp:positionV>
            <wp:extent cx="1588770" cy="213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8770" cy="21399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30"/>
          <w:szCs w:val="30"/>
          <w:b w:val="1"/>
          <w:bCs w:val="1"/>
          <w:color w:val="auto"/>
        </w:rPr>
        <w:t>Broadcom Inc.</w:t>
      </w:r>
    </w:p>
    <w:p>
      <w:pPr>
        <w:spacing w:after="0" w:line="9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b w:val="1"/>
          <w:bCs w:val="1"/>
          <w:color w:val="auto"/>
        </w:rPr>
        <w:t>Exchange Offer for</w:t>
      </w:r>
    </w:p>
    <w:p>
      <w:pPr>
        <w:spacing w:after="0" w:line="8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b w:val="1"/>
          <w:bCs w:val="1"/>
          <w:color w:val="auto"/>
        </w:rPr>
        <w:t>Up to $3,249,984,000 3.137% Senior Notes due 2035</w:t>
      </w:r>
    </w:p>
    <w:p>
      <w:pPr>
        <w:spacing w:after="0" w:line="2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b w:val="1"/>
          <w:bCs w:val="1"/>
          <w:color w:val="auto"/>
        </w:rPr>
        <w:t>Up to $2,750,000,000 3.187% Senior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1755140</wp:posOffset>
            </wp:positionH>
            <wp:positionV relativeFrom="paragraph">
              <wp:posOffset>111760</wp:posOffset>
            </wp:positionV>
            <wp:extent cx="94043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0435" cy="6350"/>
                    </a:xfrm>
                    <a:prstGeom prst="rect">
                      <a:avLst/>
                    </a:prstGeom>
                    <a:noFill/>
                  </pic:spPr>
                </pic:pic>
              </a:graphicData>
            </a:graphic>
          </wp:anchor>
        </w:drawing>
      </w:r>
    </w:p>
    <w:p>
      <w:pPr>
        <w:spacing w:after="0" w:line="237" w:lineRule="exact"/>
        <w:rPr>
          <w:sz w:val="20"/>
          <w:szCs w:val="20"/>
          <w:color w:val="auto"/>
        </w:rPr>
      </w:pPr>
    </w:p>
    <w:p>
      <w:pPr>
        <w:ind w:right="999" w:firstLine="281"/>
        <w:spacing w:after="0" w:line="272" w:lineRule="auto"/>
        <w:rPr>
          <w:sz w:val="20"/>
          <w:szCs w:val="20"/>
          <w:color w:val="auto"/>
        </w:rPr>
      </w:pPr>
      <w:r>
        <w:rPr>
          <w:rFonts w:ascii="Times New Roman" w:cs="Times New Roman" w:eastAsia="Times New Roman" w:hAnsi="Times New Roman"/>
          <w:sz w:val="12"/>
          <w:szCs w:val="12"/>
          <w:color w:val="auto"/>
        </w:rPr>
        <w:t>Broadcom Inc., a Delaware corporation (the “Issuer,” “Broadcom,” “we” or “us”), is offering (the “Exchange Offer”), upon the terms and subject to the conditions set forth in this prospectus, to exchange any and all of the notes that we issued on September 30, 2021, identified under “Title of the Outstanding Notes” in the table below (collectively, the “Outstanding Notes”), for a like principal amount of notes that have been registered under the Securities Act of 1933, as amended (the “Securities Act”), having substantially the same terms as the Outstanding Notes of such series and evidencing the same indebtedness as the Outstanding Notes of such series, as described under “Title of the Exchange Notes” in the table below (collectively, the “Exchange Notes” and, together with the Outstanding Notes, the “Notes”). The terms of the Exchange Offer are summarized below and are more fully described in this prospectus.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rPr>
              <w:t>Description of the Outstanding Notes</w:t>
            </w:r>
          </w:p>
        </w:tc>
        <w:tc>
          <w:tcPr>
            <w:tcW w:w="8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Description of the Exchange Notes</w:t>
            </w:r>
          </w:p>
        </w:tc>
        <w:tc>
          <w:tcPr>
            <w:tcW w:w="0" w:type="dxa"/>
            <w:vAlign w:val="bottom"/>
          </w:tcPr>
          <w:p>
            <w:pPr>
              <w:spacing w:after="0"/>
              <w:rPr>
                <w:sz w:val="1"/>
                <w:szCs w:val="1"/>
                <w:color w:val="auto"/>
              </w:rPr>
            </w:pPr>
          </w:p>
        </w:tc>
      </w:tr>
      <w:tr>
        <w:trPr>
          <w:trHeight w:val="83"/>
        </w:trPr>
        <w:tc>
          <w:tcPr>
            <w:tcW w:w="3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Title of the</w:t>
            </w:r>
          </w:p>
        </w:tc>
        <w:tc>
          <w:tcPr>
            <w:tcW w:w="86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Principal</w:t>
            </w:r>
          </w:p>
        </w:tc>
        <w:tc>
          <w:tcPr>
            <w:tcW w:w="60" w:type="dxa"/>
            <w:vAlign w:val="bottom"/>
          </w:tcPr>
          <w:p>
            <w:pPr>
              <w:spacing w:after="0"/>
              <w:rPr>
                <w:sz w:val="7"/>
                <w:szCs w:val="7"/>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CUSIP</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Title of the</w:t>
            </w:r>
          </w:p>
        </w:tc>
        <w:tc>
          <w:tcPr>
            <w:tcW w:w="0" w:type="dxa"/>
            <w:vAlign w:val="bottom"/>
          </w:tcPr>
          <w:p>
            <w:pPr>
              <w:spacing w:after="0"/>
              <w:rPr>
                <w:sz w:val="1"/>
                <w:szCs w:val="1"/>
                <w:color w:val="auto"/>
              </w:rPr>
            </w:pPr>
          </w:p>
        </w:tc>
      </w:tr>
      <w:tr>
        <w:trPr>
          <w:trHeight w:val="111"/>
        </w:trPr>
        <w:tc>
          <w:tcPr>
            <w:tcW w:w="380" w:type="dxa"/>
            <w:vAlign w:val="bottom"/>
          </w:tcPr>
          <w:p>
            <w:pPr>
              <w:spacing w:after="0"/>
              <w:rPr>
                <w:sz w:val="9"/>
                <w:szCs w:val="9"/>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CUSIP Number</w:t>
            </w: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920" w:type="dxa"/>
            <w:vAlign w:val="bottom"/>
            <w:gridSpan w:val="2"/>
          </w:tcPr>
          <w:p>
            <w:pPr>
              <w:jc w:val="center"/>
              <w:ind w:right="60"/>
              <w:spacing w:after="0" w:line="111"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820" w:type="dxa"/>
            <w:vAlign w:val="bottom"/>
            <w:gridSpan w:val="2"/>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Outstanding Notes</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1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Exchange Notes</w:t>
            </w:r>
          </w:p>
        </w:tc>
        <w:tc>
          <w:tcPr>
            <w:tcW w:w="0" w:type="dxa"/>
            <w:vAlign w:val="bottom"/>
          </w:tcPr>
          <w:p>
            <w:pPr>
              <w:spacing w:after="0"/>
              <w:rPr>
                <w:sz w:val="1"/>
                <w:szCs w:val="1"/>
                <w:color w:val="auto"/>
              </w:rPr>
            </w:pPr>
          </w:p>
        </w:tc>
      </w:tr>
      <w:tr>
        <w:trPr>
          <w:trHeight w:val="133"/>
        </w:trPr>
        <w:tc>
          <w:tcPr>
            <w:tcW w:w="3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8"/>
              </w:rPr>
              <w:t>11135F</w:t>
            </w:r>
          </w:p>
        </w:tc>
        <w:tc>
          <w:tcPr>
            <w:tcW w:w="1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BP5 (Rule 144A)</w:t>
            </w: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3.137% Senior Notes due 2035</w:t>
            </w:r>
          </w:p>
        </w:tc>
        <w:tc>
          <w:tcPr>
            <w:tcW w:w="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$3,249,984,000</w:t>
            </w: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11135F BM2</w:t>
            </w:r>
          </w:p>
        </w:tc>
        <w:tc>
          <w:tcPr>
            <w:tcW w:w="6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3.137% Senior Notes due</w:t>
            </w:r>
          </w:p>
        </w:tc>
        <w:tc>
          <w:tcPr>
            <w:tcW w:w="0" w:type="dxa"/>
            <w:vAlign w:val="bottom"/>
          </w:tcPr>
          <w:p>
            <w:pPr>
              <w:spacing w:after="0"/>
              <w:rPr>
                <w:sz w:val="1"/>
                <w:szCs w:val="1"/>
                <w:color w:val="auto"/>
              </w:rPr>
            </w:pPr>
          </w:p>
        </w:tc>
      </w:tr>
      <w:tr>
        <w:trPr>
          <w:trHeight w:val="174"/>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U1109M AW6 (Regulation S)</w:t>
            </w: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2035</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20"/>
                <w:szCs w:val="20"/>
                <w:color w:val="auto"/>
              </w:rPr>
            </w:pPr>
            <w:r>
              <w:rPr>
                <w:rFonts w:ascii="Times New Roman" w:cs="Times New Roman" w:eastAsia="Times New Roman" w:hAnsi="Times New Roman"/>
                <w:sz w:val="12"/>
                <w:szCs w:val="12"/>
                <w:color w:val="auto"/>
                <w:w w:val="98"/>
              </w:rPr>
              <w:t>11135F</w:t>
            </w:r>
          </w:p>
        </w:tc>
        <w:tc>
          <w:tcPr>
            <w:tcW w:w="1100" w:type="dxa"/>
            <w:vAlign w:val="bottom"/>
          </w:tcPr>
          <w:p>
            <w:pPr>
              <w:spacing w:after="0"/>
              <w:rPr>
                <w:sz w:val="20"/>
                <w:szCs w:val="20"/>
                <w:color w:val="auto"/>
              </w:rPr>
            </w:pPr>
            <w:r>
              <w:rPr>
                <w:rFonts w:ascii="Times New Roman" w:cs="Times New Roman" w:eastAsia="Times New Roman" w:hAnsi="Times New Roman"/>
                <w:sz w:val="12"/>
                <w:szCs w:val="12"/>
                <w:color w:val="auto"/>
              </w:rPr>
              <w:t>BQ3 (Rule 144A)</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3.187% Senior Notes due 2036</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$2,750,000,000</w:t>
            </w:r>
          </w:p>
        </w:tc>
        <w:tc>
          <w:tcPr>
            <w:tcW w:w="60" w:type="dxa"/>
            <w:vAlign w:val="bottom"/>
          </w:tcPr>
          <w:p>
            <w:pPr>
              <w:spacing w:after="0"/>
              <w:rPr>
                <w:sz w:val="12"/>
                <w:szCs w:val="12"/>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11135F BN0</w:t>
            </w: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3.187% Senior Notes due</w:t>
            </w:r>
          </w:p>
        </w:tc>
        <w:tc>
          <w:tcPr>
            <w:tcW w:w="0" w:type="dxa"/>
            <w:vAlign w:val="bottom"/>
          </w:tcPr>
          <w:p>
            <w:pPr>
              <w:spacing w:after="0"/>
              <w:rPr>
                <w:sz w:val="1"/>
                <w:szCs w:val="1"/>
                <w:color w:val="auto"/>
              </w:rPr>
            </w:pPr>
          </w:p>
        </w:tc>
      </w:tr>
      <w:tr>
        <w:trPr>
          <w:trHeight w:val="159"/>
        </w:trPr>
        <w:tc>
          <w:tcPr>
            <w:tcW w:w="1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U1109M AX4 (Regulation S)</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2036</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1039" w:firstLine="281"/>
        <w:spacing w:after="0" w:line="275" w:lineRule="auto"/>
        <w:rPr>
          <w:sz w:val="20"/>
          <w:szCs w:val="20"/>
          <w:color w:val="auto"/>
        </w:rPr>
      </w:pPr>
      <w:r>
        <w:rPr>
          <w:rFonts w:ascii="Times New Roman" w:cs="Times New Roman" w:eastAsia="Times New Roman" w:hAnsi="Times New Roman"/>
          <w:sz w:val="12"/>
          <w:szCs w:val="12"/>
          <w:color w:val="auto"/>
        </w:rPr>
        <w:t>We are offering to exchange the Outstanding Notes for the Exchange Notes to satisfy our obligations in the registration rights agreement that we entered into when the Outstanding Notes were issued pursuant to Rule 144A and Regulation S under the Securities Act. By means of a separate prospectus and not by means of this prospectus, we are separately offering to exchange any and all of the notes that we issued on April 14, 2022. The offers are not conditioned on each other. This prospectus is not an offer to sell or a solicitation of an offer to buy any securities being offered in the other exchange offer.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Exchange Offer</w:t>
      </w:r>
    </w:p>
    <w:p>
      <w:pPr>
        <w:spacing w:after="0" w:line="109" w:lineRule="exact"/>
        <w:rPr>
          <w:sz w:val="20"/>
          <w:szCs w:val="20"/>
          <w:color w:val="auto"/>
        </w:rPr>
      </w:pPr>
    </w:p>
    <w:p>
      <w:pPr>
        <w:ind w:left="540" w:right="1019" w:hanging="202"/>
        <w:spacing w:after="0" w:line="284" w:lineRule="auto"/>
        <w:tabs>
          <w:tab w:leader="none" w:pos="5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exchange all Outstanding Notes that are validly tendered and not validly withdrawn prior to the Expiration Date (as defined below) for an equal principal amount of the respective series of Exchange Notes that are freely tradable, except in limited circumstances as described below.</w:t>
      </w:r>
    </w:p>
    <w:p>
      <w:pPr>
        <w:spacing w:after="0" w:line="61" w:lineRule="exact"/>
        <w:rPr>
          <w:rFonts w:ascii="Times New Roman" w:cs="Times New Roman" w:eastAsia="Times New Roman" w:hAnsi="Times New Roman"/>
          <w:sz w:val="12"/>
          <w:szCs w:val="12"/>
          <w:color w:val="auto"/>
        </w:rPr>
      </w:pPr>
    </w:p>
    <w:p>
      <w:pPr>
        <w:ind w:left="540" w:right="1059" w:hanging="202"/>
        <w:spacing w:after="0" w:line="303" w:lineRule="auto"/>
        <w:tabs>
          <w:tab w:leader="none" w:pos="5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Exchange Offer expires at 5:00 p.m., New York City time, on        , 2026, unless extended (the “Expiration Date”). We do not currently intend to extend the Expiration Date.</w:t>
      </w:r>
    </w:p>
    <w:p>
      <w:pPr>
        <w:spacing w:after="0" w:line="49" w:lineRule="exact"/>
        <w:rPr>
          <w:rFonts w:ascii="Times New Roman" w:cs="Times New Roman" w:eastAsia="Times New Roman" w:hAnsi="Times New Roman"/>
          <w:sz w:val="12"/>
          <w:szCs w:val="12"/>
          <w:color w:val="auto"/>
        </w:rPr>
      </w:pPr>
    </w:p>
    <w:p>
      <w:pPr>
        <w:ind w:left="540" w:right="1279" w:hanging="202"/>
        <w:spacing w:after="0" w:line="303" w:lineRule="auto"/>
        <w:tabs>
          <w:tab w:leader="none" w:pos="5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exchange your Outstanding Notes for Exchange Notes, you are required to make the representations described herein to us, including those set forth on pages </w:t>
      </w:r>
      <w:r>
        <w:rPr>
          <w:rFonts w:ascii="Times New Roman" w:cs="Times New Roman" w:eastAsia="Times New Roman" w:hAnsi="Times New Roman"/>
          <w:sz w:val="12"/>
          <w:szCs w:val="12"/>
          <w:u w:val="single" w:color="auto"/>
          <w:color w:val="0000EE"/>
        </w:rPr>
        <w:t>23</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0000EE"/>
        </w:rPr>
        <w:t>25</w:t>
      </w:r>
      <w:r>
        <w:rPr>
          <w:rFonts w:ascii="Times New Roman" w:cs="Times New Roman" w:eastAsia="Times New Roman" w:hAnsi="Times New Roman"/>
          <w:sz w:val="12"/>
          <w:szCs w:val="12"/>
          <w:color w:val="auto"/>
        </w:rPr>
        <w:t xml:space="preserve"> in the section entitled “The Exchange Offer.”</w:t>
      </w:r>
    </w:p>
    <w:p>
      <w:pPr>
        <w:spacing w:after="0" w:line="49" w:lineRule="exact"/>
        <w:rPr>
          <w:rFonts w:ascii="Times New Roman" w:cs="Times New Roman" w:eastAsia="Times New Roman" w:hAnsi="Times New Roman"/>
          <w:sz w:val="12"/>
          <w:szCs w:val="12"/>
          <w:color w:val="auto"/>
        </w:rPr>
      </w:pPr>
    </w:p>
    <w:p>
      <w:pPr>
        <w:ind w:left="540" w:hanging="202"/>
        <w:spacing w:after="0"/>
        <w:tabs>
          <w:tab w:leader="none" w:pos="5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may withdraw tenders of your Outstanding Notes at any time prior to the Expiration Date of the Exchange Offer.</w:t>
      </w:r>
    </w:p>
    <w:p>
      <w:pPr>
        <w:spacing w:after="0" w:line="107" w:lineRule="exact"/>
        <w:rPr>
          <w:rFonts w:ascii="Times New Roman" w:cs="Times New Roman" w:eastAsia="Times New Roman" w:hAnsi="Times New Roman"/>
          <w:sz w:val="12"/>
          <w:szCs w:val="12"/>
          <w:color w:val="auto"/>
        </w:rPr>
      </w:pPr>
    </w:p>
    <w:p>
      <w:pPr>
        <w:ind w:left="540" w:right="1319" w:hanging="202"/>
        <w:spacing w:after="0" w:line="303" w:lineRule="auto"/>
        <w:tabs>
          <w:tab w:leader="none" w:pos="5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exchange of the Outstanding Notes for Exchange Notes in the Exchange Offer will not constitute a taxable event for U.S. federal income tax purposes.</w:t>
      </w:r>
    </w:p>
    <w:p>
      <w:pPr>
        <w:spacing w:after="0" w:line="49" w:lineRule="exact"/>
        <w:rPr>
          <w:rFonts w:ascii="Times New Roman" w:cs="Times New Roman" w:eastAsia="Times New Roman" w:hAnsi="Times New Roman"/>
          <w:sz w:val="12"/>
          <w:szCs w:val="12"/>
          <w:color w:val="auto"/>
        </w:rPr>
      </w:pPr>
    </w:p>
    <w:p>
      <w:pPr>
        <w:ind w:left="540" w:right="1179" w:hanging="202"/>
        <w:spacing w:after="0" w:line="284" w:lineRule="auto"/>
        <w:tabs>
          <w:tab w:leader="none" w:pos="5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not receive any proceeds from the Exchange Offer. The Outstanding Notes surrendered and exchanged for the Exchange Notes will be retired and cancelled. Accordingly, the issuance of the Exchange Notes will not result in any increase in our outstanding indebtedness.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Exchange Notes</w:t>
      </w:r>
    </w:p>
    <w:p>
      <w:pPr>
        <w:spacing w:after="0" w:line="109" w:lineRule="exact"/>
        <w:rPr>
          <w:sz w:val="20"/>
          <w:szCs w:val="20"/>
          <w:color w:val="auto"/>
        </w:rPr>
      </w:pPr>
    </w:p>
    <w:p>
      <w:pPr>
        <w:ind w:left="540" w:right="1159" w:hanging="202"/>
        <w:spacing w:after="0" w:line="278" w:lineRule="auto"/>
        <w:tabs>
          <w:tab w:leader="none" w:pos="5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of the Exchange Notes to be issued in the Exchange Offer are identical in all material respects to the terms of the respective series of Outstanding Notes, except that the transfer restrictions, registration rights and additional payments upon a failure to fulfill certain obligations under the registration rights agreement do not apply to the Exchange Notes, and the Exchange Notes will have a different CUSIP number.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Resales of the Exchange Notes</w:t>
      </w:r>
    </w:p>
    <w:p>
      <w:pPr>
        <w:spacing w:after="0" w:line="109" w:lineRule="exact"/>
        <w:rPr>
          <w:sz w:val="20"/>
          <w:szCs w:val="20"/>
          <w:color w:val="auto"/>
        </w:rPr>
      </w:pPr>
    </w:p>
    <w:p>
      <w:pPr>
        <w:ind w:left="540" w:right="1259" w:hanging="202"/>
        <w:spacing w:after="0" w:line="303" w:lineRule="auto"/>
        <w:tabs>
          <w:tab w:leader="none" w:pos="5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Exchange Notes may be resold in the over-the-counter market, in negotiated transactions or through a combination of such methods. We do not plan to list the Exchange Notes on any securities exchange or market.</w:t>
      </w:r>
    </w:p>
    <w:p>
      <w:pPr>
        <w:sectPr>
          <w:pgSz w:w="11900" w:h="16838" w:orient="portrait"/>
          <w:cols w:equalWidth="0" w:num="2">
            <w:col w:w="1900" w:space="240"/>
            <w:col w:w="8019"/>
          </w:cols>
          <w:pgMar w:left="300" w:top="37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3" w:lineRule="exact"/>
        <w:rPr>
          <w:sz w:val="20"/>
          <w:szCs w:val="20"/>
          <w:color w:val="auto"/>
        </w:rPr>
      </w:pPr>
    </w:p>
    <w:p>
      <w:pPr>
        <w:ind w:left="1480" w:right="459" w:firstLine="333"/>
        <w:spacing w:after="0" w:line="278" w:lineRule="auto"/>
        <w:rPr>
          <w:sz w:val="20"/>
          <w:szCs w:val="20"/>
          <w:color w:val="auto"/>
        </w:rPr>
      </w:pPr>
      <w:r>
        <w:rPr>
          <w:rFonts w:ascii="Times New Roman" w:cs="Times New Roman" w:eastAsia="Times New Roman" w:hAnsi="Times New Roman"/>
          <w:sz w:val="12"/>
          <w:szCs w:val="12"/>
          <w:color w:val="auto"/>
        </w:rPr>
        <w:t>All untendered Outstanding Notes will continue to be subject to the transfer restrictions set forth in the Outstanding Notes and in the Indenture (as defined below in “Description of Exchange Notes”). In general, the Outstanding Notes may not be offered or sold, except in transactions that are registered under the Securities Act or pursuant to an exemption from, or in a transaction not subject to, the Securities Act and applicable state securities laws. Other than in connection with the Exchange Offer, we do not intend to register the Outstanding Notes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158750</wp:posOffset>
            </wp:positionV>
            <wp:extent cx="110871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387" w:lineRule="exact"/>
        <w:rPr>
          <w:sz w:val="20"/>
          <w:szCs w:val="20"/>
          <w:color w:val="auto"/>
        </w:rPr>
      </w:pPr>
    </w:p>
    <w:p>
      <w:pPr>
        <w:ind w:left="1480" w:right="599" w:firstLine="333"/>
        <w:spacing w:after="0" w:line="270" w:lineRule="auto"/>
        <w:rPr>
          <w:sz w:val="20"/>
          <w:szCs w:val="20"/>
          <w:color w:val="auto"/>
        </w:rPr>
      </w:pPr>
      <w:r>
        <w:rPr>
          <w:rFonts w:ascii="Times New Roman" w:cs="Times New Roman" w:eastAsia="Times New Roman" w:hAnsi="Times New Roman"/>
          <w:sz w:val="14"/>
          <w:szCs w:val="14"/>
          <w:b w:val="1"/>
          <w:bCs w:val="1"/>
          <w:color w:val="auto"/>
        </w:rPr>
        <w:t>See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9 for a discussion of certain risks that you should consider before participating in the Exchange Offer.</w:t>
      </w:r>
    </w:p>
    <w:p>
      <w:pPr>
        <w:spacing w:after="0" w:line="52" w:lineRule="exact"/>
        <w:rPr>
          <w:sz w:val="20"/>
          <w:szCs w:val="20"/>
          <w:color w:val="auto"/>
        </w:rPr>
      </w:pPr>
    </w:p>
    <w:p>
      <w:pPr>
        <w:ind w:left="1480" w:right="379" w:firstLine="333"/>
        <w:spacing w:after="0" w:line="272" w:lineRule="auto"/>
        <w:rPr>
          <w:sz w:val="20"/>
          <w:szCs w:val="20"/>
          <w:color w:val="auto"/>
        </w:rPr>
      </w:pPr>
      <w:r>
        <w:rPr>
          <w:rFonts w:ascii="Times New Roman" w:cs="Times New Roman" w:eastAsia="Times New Roman" w:hAnsi="Times New Roman"/>
          <w:sz w:val="12"/>
          <w:szCs w:val="12"/>
          <w:color w:val="auto"/>
        </w:rPr>
        <w:t>Each broker-dealer that receives Exchange Notes for its own account pursuant to the Exchange Offer must acknowledge that it will deliver a prospectus in connection with any resale of such Exchange Notes.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Outstanding Notes where such Outstanding Notes were acquired by such broker-dealer as a result of market-making activities or other trading activities. In addition, all dealers effecting transactions in the Exchange Notes may be required to deliver a prospectus. We have agreed that, for a period of 180 days after the date of this prospectus (or such shorter period if a broker-dealer is no longer required to deliver the prospectus), we will make this prospectus available to any broker-dealer for use in connection with such resales. See “Plan of Distribution.”</w:t>
      </w:r>
    </w:p>
    <w:p>
      <w:pPr>
        <w:spacing w:after="0" w:line="57" w:lineRule="exact"/>
        <w:rPr>
          <w:sz w:val="20"/>
          <w:szCs w:val="20"/>
          <w:color w:val="auto"/>
        </w:rPr>
      </w:pPr>
    </w:p>
    <w:p>
      <w:pPr>
        <w:ind w:left="1480" w:right="579" w:firstLine="333"/>
        <w:spacing w:after="0" w:line="306"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89535</wp:posOffset>
            </wp:positionV>
            <wp:extent cx="110871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b w:val="1"/>
          <w:bCs w:val="1"/>
          <w:color w:val="auto"/>
        </w:rPr>
        <w:t>The date of this prospectus is            , 2026.</w:t>
      </w:r>
    </w:p>
    <w:p>
      <w:pPr>
        <w:sectPr>
          <w:pgSz w:w="11900" w:h="16838" w:orient="portrait"/>
          <w:cols w:equalWidth="0" w:num="1">
            <w:col w:w="10159"/>
          </w:cols>
          <w:pgMar w:left="300" w:top="37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tbl>
      <w:tblPr>
        <w:tblLayout w:type="fixed"/>
        <w:tblInd w:w="1480" w:type="dxa"/>
        <w:tblCellMar>
          <w:top w:w="0" w:type="dxa"/>
          <w:left w:w="0" w:type="dxa"/>
          <w:bottom w:w="0" w:type="dxa"/>
          <w:right w:w="0" w:type="dxa"/>
        </w:tblCellMar>
      </w:tblPr>
      <w:tr>
        <w:trPr>
          <w:trHeight w:val="179"/>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7"/>
        </w:trPr>
        <w:tc>
          <w:tcPr>
            <w:tcW w:w="652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WHERE YOU CAN FIND MORE INFORMATION</w:t>
            </w:r>
          </w:p>
        </w:tc>
        <w:tc>
          <w:tcPr>
            <w:tcW w:w="170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w w:val="76"/>
              </w:rPr>
              <w:t>ii</w:t>
            </w:r>
          </w:p>
        </w:tc>
      </w:tr>
      <w:tr>
        <w:trPr>
          <w:trHeight w:val="20"/>
        </w:trPr>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6520" w:type="dxa"/>
            <w:vAlign w:val="bottom"/>
            <w:gridSpan w:val="12"/>
          </w:tcPr>
          <w:p>
            <w:pPr>
              <w:spacing w:after="0" w:line="143" w:lineRule="exact"/>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170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0000EE"/>
                <w:w w:val="71"/>
              </w:rPr>
              <w:t>iii</w:t>
            </w:r>
          </w:p>
        </w:tc>
      </w:tr>
      <w:tr>
        <w:trPr>
          <w:trHeight w:val="20"/>
        </w:trPr>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70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1540" w:type="dxa"/>
            <w:vAlign w:val="bottom"/>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2"/>
              </w:rPr>
              <w:t>PROSPECTUS SUMMARY</w:t>
            </w:r>
          </w:p>
        </w:tc>
        <w:tc>
          <w:tcPr>
            <w:tcW w:w="2280" w:type="dxa"/>
            <w:vAlign w:val="bottom"/>
            <w:gridSpan w:val="5"/>
          </w:tcPr>
          <w:p>
            <w:pPr>
              <w:spacing w:after="0"/>
              <w:rPr>
                <w:sz w:val="12"/>
                <w:szCs w:val="12"/>
                <w:color w:val="auto"/>
              </w:rPr>
            </w:pPr>
          </w:p>
        </w:tc>
        <w:tc>
          <w:tcPr>
            <w:tcW w:w="2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0000EE"/>
                <w:w w:val="71"/>
              </w:rPr>
              <w:t>1</w:t>
            </w:r>
          </w:p>
        </w:tc>
      </w:tr>
      <w:tr>
        <w:trPr>
          <w:trHeight w:val="20"/>
        </w:trPr>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1540" w:type="dxa"/>
            <w:vAlign w:val="bottom"/>
            <w:gridSpan w:val="6"/>
          </w:tcPr>
          <w:p>
            <w:pPr>
              <w:spacing w:after="0" w:line="143" w:lineRule="exact"/>
              <w:rPr>
                <w:sz w:val="20"/>
                <w:szCs w:val="20"/>
                <w:color w:val="auto"/>
              </w:rPr>
            </w:pPr>
            <w:r>
              <w:rPr>
                <w:rFonts w:ascii="Times New Roman" w:cs="Times New Roman" w:eastAsia="Times New Roman" w:hAnsi="Times New Roman"/>
                <w:sz w:val="14"/>
                <w:szCs w:val="14"/>
                <w:color w:val="0000EE"/>
              </w:rPr>
              <w:t>RISK FACTORS</w:t>
            </w:r>
          </w:p>
        </w:tc>
        <w:tc>
          <w:tcPr>
            <w:tcW w:w="4980" w:type="dxa"/>
            <w:vAlign w:val="bottom"/>
            <w:gridSpan w:val="6"/>
          </w:tcPr>
          <w:p>
            <w:pPr>
              <w:spacing w:after="0"/>
              <w:rPr>
                <w:sz w:val="12"/>
                <w:szCs w:val="12"/>
                <w:color w:val="auto"/>
              </w:rPr>
            </w:pPr>
          </w:p>
        </w:tc>
        <w:tc>
          <w:tcPr>
            <w:tcW w:w="178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0000EE"/>
              </w:rPr>
              <w:t>9</w:t>
            </w:r>
          </w:p>
        </w:tc>
      </w:tr>
      <w:tr>
        <w:trPr>
          <w:trHeight w:val="20"/>
        </w:trPr>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220" w:type="dxa"/>
            <w:vAlign w:val="bottom"/>
            <w:gridSpan w:val="7"/>
          </w:tcPr>
          <w:p>
            <w:pPr>
              <w:spacing w:after="0" w:line="143" w:lineRule="exact"/>
              <w:rPr>
                <w:sz w:val="20"/>
                <w:szCs w:val="20"/>
                <w:color w:val="auto"/>
              </w:rPr>
            </w:pPr>
            <w:r>
              <w:rPr>
                <w:rFonts w:ascii="Times New Roman" w:cs="Times New Roman" w:eastAsia="Times New Roman" w:hAnsi="Times New Roman"/>
                <w:sz w:val="14"/>
                <w:szCs w:val="14"/>
                <w:color w:val="0000EE"/>
                <w:w w:val="94"/>
              </w:rPr>
              <w:t>FORWARD-LOOKING STATEMENTS</w:t>
            </w:r>
          </w:p>
        </w:tc>
        <w:tc>
          <w:tcPr>
            <w:tcW w:w="4300" w:type="dxa"/>
            <w:vAlign w:val="bottom"/>
            <w:gridSpan w:val="5"/>
          </w:tcPr>
          <w:p>
            <w:pPr>
              <w:spacing w:after="0"/>
              <w:rPr>
                <w:sz w:val="12"/>
                <w:szCs w:val="12"/>
                <w:color w:val="auto"/>
              </w:rPr>
            </w:pPr>
          </w:p>
        </w:tc>
        <w:tc>
          <w:tcPr>
            <w:tcW w:w="178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0000EE"/>
              </w:rPr>
              <w:t>16</w:t>
            </w:r>
          </w:p>
        </w:tc>
      </w:tr>
      <w:tr>
        <w:trPr>
          <w:trHeight w:val="20"/>
        </w:trPr>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70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1200" w:type="dxa"/>
            <w:vAlign w:val="bottom"/>
            <w:gridSpan w:val="4"/>
          </w:tcPr>
          <w:p>
            <w:pPr>
              <w:spacing w:after="0" w:line="143" w:lineRule="exact"/>
              <w:rPr>
                <w:sz w:val="20"/>
                <w:szCs w:val="20"/>
                <w:color w:val="auto"/>
              </w:rPr>
            </w:pPr>
            <w:r>
              <w:rPr>
                <w:rFonts w:ascii="Times New Roman" w:cs="Times New Roman" w:eastAsia="Times New Roman" w:hAnsi="Times New Roman"/>
                <w:sz w:val="14"/>
                <w:szCs w:val="14"/>
                <w:color w:val="0000EE"/>
                <w:w w:val="95"/>
              </w:rPr>
              <w:t>USE OF PROCEEDS</w:t>
            </w:r>
          </w:p>
        </w:tc>
        <w:tc>
          <w:tcPr>
            <w:tcW w:w="1020" w:type="dxa"/>
            <w:vAlign w:val="bottom"/>
            <w:gridSpan w:val="3"/>
          </w:tcPr>
          <w:p>
            <w:pPr>
              <w:spacing w:after="0"/>
              <w:rPr>
                <w:sz w:val="12"/>
                <w:szCs w:val="12"/>
                <w:color w:val="auto"/>
              </w:rPr>
            </w:pPr>
          </w:p>
        </w:tc>
        <w:tc>
          <w:tcPr>
            <w:tcW w:w="4300" w:type="dxa"/>
            <w:vAlign w:val="bottom"/>
            <w:gridSpan w:val="5"/>
          </w:tcPr>
          <w:p>
            <w:pPr>
              <w:spacing w:after="0"/>
              <w:rPr>
                <w:sz w:val="12"/>
                <w:szCs w:val="12"/>
                <w:color w:val="auto"/>
              </w:rPr>
            </w:pPr>
          </w:p>
        </w:tc>
        <w:tc>
          <w:tcPr>
            <w:tcW w:w="178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0000EE"/>
              </w:rPr>
              <w:t>18</w:t>
            </w:r>
          </w:p>
        </w:tc>
      </w:tr>
      <w:tr>
        <w:trPr>
          <w:trHeight w:val="20"/>
        </w:trPr>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70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6520" w:type="dxa"/>
            <w:vAlign w:val="bottom"/>
            <w:gridSpan w:val="12"/>
          </w:tcPr>
          <w:p>
            <w:pPr>
              <w:spacing w:after="0" w:line="143" w:lineRule="exact"/>
              <w:rPr>
                <w:sz w:val="20"/>
                <w:szCs w:val="20"/>
                <w:color w:val="auto"/>
              </w:rPr>
            </w:pPr>
            <w:r>
              <w:rPr>
                <w:rFonts w:ascii="Times New Roman" w:cs="Times New Roman" w:eastAsia="Times New Roman" w:hAnsi="Times New Roman"/>
                <w:sz w:val="14"/>
                <w:szCs w:val="14"/>
                <w:color w:val="0000EE"/>
              </w:rPr>
              <w:t>THE EXCHANGE OFFER</w:t>
            </w:r>
          </w:p>
        </w:tc>
        <w:tc>
          <w:tcPr>
            <w:tcW w:w="178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0000EE"/>
              </w:rPr>
              <w:t>19</w:t>
            </w:r>
          </w:p>
        </w:tc>
      </w:tr>
      <w:tr>
        <w:trPr>
          <w:trHeight w:val="20"/>
        </w:trPr>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70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6520" w:type="dxa"/>
            <w:vAlign w:val="bottom"/>
            <w:gridSpan w:val="12"/>
          </w:tcPr>
          <w:p>
            <w:pPr>
              <w:spacing w:after="0" w:line="143" w:lineRule="exact"/>
              <w:rPr>
                <w:sz w:val="20"/>
                <w:szCs w:val="20"/>
                <w:color w:val="auto"/>
              </w:rPr>
            </w:pPr>
            <w:r>
              <w:rPr>
                <w:rFonts w:ascii="Times New Roman" w:cs="Times New Roman" w:eastAsia="Times New Roman" w:hAnsi="Times New Roman"/>
                <w:sz w:val="14"/>
                <w:szCs w:val="14"/>
                <w:color w:val="0000EE"/>
              </w:rPr>
              <w:t>DESCRIPTION OF EXCHANGE NOTES</w:t>
            </w:r>
          </w:p>
        </w:tc>
        <w:tc>
          <w:tcPr>
            <w:tcW w:w="178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0000EE"/>
              </w:rPr>
              <w:t>30</w:t>
            </w:r>
          </w:p>
        </w:tc>
      </w:tr>
      <w:tr>
        <w:trPr>
          <w:trHeight w:val="20"/>
        </w:trPr>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70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6520" w:type="dxa"/>
            <w:vAlign w:val="bottom"/>
            <w:gridSpan w:val="12"/>
          </w:tcPr>
          <w:p>
            <w:pPr>
              <w:spacing w:after="0" w:line="143" w:lineRule="exact"/>
              <w:rPr>
                <w:sz w:val="20"/>
                <w:szCs w:val="20"/>
                <w:color w:val="auto"/>
              </w:rPr>
            </w:pPr>
            <w:r>
              <w:rPr>
                <w:rFonts w:ascii="Times New Roman" w:cs="Times New Roman" w:eastAsia="Times New Roman" w:hAnsi="Times New Roman"/>
                <w:sz w:val="14"/>
                <w:szCs w:val="14"/>
                <w:color w:val="0000EE"/>
              </w:rPr>
              <w:t>CERTAIN U.S. FEDERAL INCOME TAX CONSIDERATIONS</w:t>
            </w:r>
          </w:p>
        </w:tc>
        <w:tc>
          <w:tcPr>
            <w:tcW w:w="178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0000EE"/>
              </w:rPr>
              <w:t>51</w:t>
            </w:r>
          </w:p>
        </w:tc>
      </w:tr>
      <w:tr>
        <w:trPr>
          <w:trHeight w:val="20"/>
        </w:trPr>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20" w:type="dxa"/>
            <w:vAlign w:val="bottom"/>
            <w:tcBorders>
              <w:left w:val="single" w:sz="8" w:color="0000EE"/>
            </w:tcBorders>
            <w:gridSpan w:val="4"/>
            <w:shd w:val="clear" w:color="auto" w:fill="0000EE"/>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70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3560" w:type="dxa"/>
            <w:vAlign w:val="bottom"/>
            <w:gridSpan w:val="10"/>
          </w:tcPr>
          <w:p>
            <w:pPr>
              <w:spacing w:after="0" w:line="143" w:lineRule="exact"/>
              <w:rPr>
                <w:sz w:val="20"/>
                <w:szCs w:val="20"/>
                <w:color w:val="auto"/>
              </w:rPr>
            </w:pPr>
            <w:r>
              <w:rPr>
                <w:rFonts w:ascii="Times New Roman" w:cs="Times New Roman" w:eastAsia="Times New Roman" w:hAnsi="Times New Roman"/>
                <w:sz w:val="14"/>
                <w:szCs w:val="14"/>
                <w:color w:val="0000EE"/>
              </w:rPr>
              <w:t>PLAN OF DISTRIBUTION</w:t>
            </w:r>
          </w:p>
        </w:tc>
        <w:tc>
          <w:tcPr>
            <w:tcW w:w="2960" w:type="dxa"/>
            <w:vAlign w:val="bottom"/>
            <w:gridSpan w:val="2"/>
          </w:tcPr>
          <w:p>
            <w:pPr>
              <w:spacing w:after="0"/>
              <w:rPr>
                <w:sz w:val="12"/>
                <w:szCs w:val="12"/>
                <w:color w:val="auto"/>
              </w:rPr>
            </w:pPr>
          </w:p>
        </w:tc>
        <w:tc>
          <w:tcPr>
            <w:tcW w:w="178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0000EE"/>
              </w:rPr>
              <w:t>53</w:t>
            </w:r>
          </w:p>
        </w:tc>
      </w:tr>
      <w:tr>
        <w:trPr>
          <w:trHeight w:val="20"/>
        </w:trPr>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170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1100" w:type="dxa"/>
            <w:vAlign w:val="bottom"/>
            <w:gridSpan w:val="3"/>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440" w:type="dxa"/>
            <w:vAlign w:val="bottom"/>
            <w:gridSpan w:val="3"/>
          </w:tcPr>
          <w:p>
            <w:pPr>
              <w:spacing w:after="0"/>
              <w:rPr>
                <w:sz w:val="12"/>
                <w:szCs w:val="12"/>
                <w:color w:val="auto"/>
              </w:rPr>
            </w:pPr>
          </w:p>
        </w:tc>
        <w:tc>
          <w:tcPr>
            <w:tcW w:w="4980" w:type="dxa"/>
            <w:vAlign w:val="bottom"/>
            <w:gridSpan w:val="6"/>
          </w:tcPr>
          <w:p>
            <w:pPr>
              <w:spacing w:after="0"/>
              <w:rPr>
                <w:sz w:val="12"/>
                <w:szCs w:val="12"/>
                <w:color w:val="auto"/>
              </w:rPr>
            </w:pPr>
          </w:p>
        </w:tc>
        <w:tc>
          <w:tcPr>
            <w:tcW w:w="178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0000EE"/>
              </w:rPr>
              <w:t>54</w:t>
            </w:r>
          </w:p>
        </w:tc>
      </w:tr>
      <w:tr>
        <w:trPr>
          <w:trHeight w:val="20"/>
        </w:trPr>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170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0000EE"/>
                <w:w w:val="92"/>
              </w:rPr>
              <w:t>EXPERTS</w:t>
            </w:r>
          </w:p>
        </w:tc>
        <w:tc>
          <w:tcPr>
            <w:tcW w:w="520" w:type="dxa"/>
            <w:vAlign w:val="bottom"/>
            <w:gridSpan w:val="2"/>
          </w:tcPr>
          <w:p>
            <w:pPr>
              <w:spacing w:after="0"/>
              <w:rPr>
                <w:sz w:val="12"/>
                <w:szCs w:val="12"/>
                <w:color w:val="auto"/>
              </w:rPr>
            </w:pPr>
          </w:p>
        </w:tc>
        <w:tc>
          <w:tcPr>
            <w:tcW w:w="5420" w:type="dxa"/>
            <w:vAlign w:val="bottom"/>
            <w:gridSpan w:val="9"/>
          </w:tcPr>
          <w:p>
            <w:pPr>
              <w:spacing w:after="0"/>
              <w:rPr>
                <w:sz w:val="12"/>
                <w:szCs w:val="12"/>
                <w:color w:val="auto"/>
              </w:rPr>
            </w:pPr>
          </w:p>
        </w:tc>
        <w:tc>
          <w:tcPr>
            <w:tcW w:w="178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0000EE"/>
              </w:rPr>
              <w:t>55</w:t>
            </w:r>
          </w:p>
        </w:tc>
      </w:tr>
      <w:tr>
        <w:trPr>
          <w:trHeight w:val="20"/>
        </w:trPr>
        <w:tc>
          <w:tcPr>
            <w:tcW w:w="5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70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or incorporated by reference in this prospectus or in any additional written communication prepared by or authorized by us. We have not authorized anyone to provide you with any information or represent anything about us, our financial results or the Exchange Offer that is not contained in or incorporated by reference into this prospectus or in any additional written communication prepared by or on behalf of us. If given or made, any such other information or representation should not be relied upon as having been authorized by us. We are not making an offer to exchange the Outstanding Notes in any jurisdiction where the offer or sale is not permitted. You should assume that the information in this prospectus or in any additional written communication prepared by or on behalf of us is accurate only as of the date on its cover page and that any information incorporated by reference herein is accurate only as of the date of the document containing such information incorporated by reference.</w:t>
      </w:r>
    </w:p>
    <w:p>
      <w:pPr>
        <w:spacing w:after="0" w:line="145" w:lineRule="exact"/>
        <w:rPr>
          <w:sz w:val="20"/>
          <w:szCs w:val="20"/>
          <w:color w:val="auto"/>
        </w:rPr>
      </w:pPr>
    </w:p>
    <w:p>
      <w:pPr>
        <w:ind w:left="1480" w:right="359" w:firstLine="333"/>
        <w:spacing w:after="0" w:line="252" w:lineRule="auto"/>
        <w:rPr>
          <w:sz w:val="20"/>
          <w:szCs w:val="20"/>
          <w:color w:val="auto"/>
        </w:rPr>
      </w:pPr>
      <w:r>
        <w:rPr>
          <w:rFonts w:ascii="Times New Roman" w:cs="Times New Roman" w:eastAsia="Times New Roman" w:hAnsi="Times New Roman"/>
          <w:sz w:val="14"/>
          <w:szCs w:val="14"/>
          <w:b w:val="1"/>
          <w:bCs w:val="1"/>
          <w:color w:val="auto"/>
        </w:rPr>
        <w:t>None of the Issuer, the Trustee (as defined below), the Exchange Agent (as defined below) or any of their respective affiliates makes any recommendation as to whether or not you should tender Outstanding Notes pursuant to the Exchange Offer, and no one has been authorized by any of them to make such recommendations. You should make your own decisions as to whether to tender Outstanding Notes, and, if so, the principal amount of Outstanding Notes to tender.</w:t>
      </w:r>
    </w:p>
    <w:p>
      <w:pPr>
        <w:spacing w:after="0" w:line="145" w:lineRule="exact"/>
        <w:rPr>
          <w:sz w:val="20"/>
          <w:szCs w:val="20"/>
          <w:color w:val="auto"/>
        </w:rPr>
      </w:pPr>
    </w:p>
    <w:p>
      <w:pPr>
        <w:ind w:left="1480" w:right="399" w:firstLine="333"/>
        <w:spacing w:after="0" w:line="297" w:lineRule="auto"/>
        <w:rPr>
          <w:sz w:val="20"/>
          <w:szCs w:val="20"/>
          <w:color w:val="auto"/>
        </w:rPr>
      </w:pPr>
      <w:r>
        <w:rPr>
          <w:rFonts w:ascii="Times New Roman" w:cs="Times New Roman" w:eastAsia="Times New Roman" w:hAnsi="Times New Roman"/>
          <w:sz w:val="12"/>
          <w:szCs w:val="12"/>
          <w:color w:val="auto"/>
        </w:rPr>
        <w:t xml:space="preserve">This registration statement incorporates important business and financial information about Broadcom that is not included or delivered with this document. The registration statement, including the exhibits and schedules, is available at the SEC’s website at www.sec.gov. You may also access the SEC filings and obtain other information about Broadcom Inc. through the Investor Center section of our website, which is located at www.broadcom.com. Information on, or accessible through, our website is expressly not incorporated by reference into, and does not constitute a part of, this prospectus, except for the SEC filings set forth below under “Incorporation of Certain Documents by Reference.” </w:t>
      </w:r>
      <w:r>
        <w:rPr>
          <w:rFonts w:ascii="Times New Roman" w:cs="Times New Roman" w:eastAsia="Times New Roman" w:hAnsi="Times New Roman"/>
          <w:sz w:val="12"/>
          <w:szCs w:val="12"/>
          <w:b w:val="1"/>
          <w:bCs w:val="1"/>
          <w:color w:val="auto"/>
        </w:rPr>
        <w:t>To ensure timely delivery,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you must make your request to us no later than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 2026, which is five business days prior to the Expiration Date of the Exchange Offer.</w:t>
      </w:r>
    </w:p>
    <w:p>
      <w:pPr>
        <w:spacing w:after="0" w:line="119" w:lineRule="exact"/>
        <w:rPr>
          <w:sz w:val="20"/>
          <w:szCs w:val="20"/>
          <w:color w:val="auto"/>
        </w:rPr>
      </w:pPr>
    </w:p>
    <w:p>
      <w:pPr>
        <w:ind w:left="1480" w:right="559" w:firstLine="333"/>
        <w:spacing w:after="0" w:line="349" w:lineRule="auto"/>
        <w:rPr>
          <w:sz w:val="20"/>
          <w:szCs w:val="20"/>
          <w:color w:val="auto"/>
        </w:rPr>
      </w:pPr>
      <w:r>
        <w:rPr>
          <w:rFonts w:ascii="Times New Roman" w:cs="Times New Roman" w:eastAsia="Times New Roman" w:hAnsi="Times New Roman"/>
          <w:sz w:val="12"/>
          <w:szCs w:val="12"/>
          <w:color w:val="auto"/>
        </w:rPr>
        <w:t>As used in this prospectus, unless otherwise indicated or required by the context, the terms “Broadcom,” “we,” “our,” “us” and the “Company” refer to Broadcom Inc. and its consolidated subsidiaries, and the term “Issuer” refers only to Broadcom Inc. and not to any of its subsidiaries.</w:t>
      </w:r>
    </w:p>
    <w:p>
      <w:pPr>
        <w:spacing w:after="0" w:line="89" w:lineRule="exact"/>
        <w:rPr>
          <w:sz w:val="20"/>
          <w:szCs w:val="20"/>
          <w:color w:val="auto"/>
        </w:rPr>
      </w:pPr>
    </w:p>
    <w:p>
      <w:pPr>
        <w:ind w:left="1480" w:right="479" w:firstLine="333"/>
        <w:spacing w:after="0" w:line="264" w:lineRule="auto"/>
        <w:rPr>
          <w:sz w:val="20"/>
          <w:szCs w:val="20"/>
          <w:color w:val="auto"/>
        </w:rPr>
      </w:pPr>
      <w:r>
        <w:rPr>
          <w:rFonts w:ascii="Times New Roman" w:cs="Times New Roman" w:eastAsia="Times New Roman" w:hAnsi="Times New Roman"/>
          <w:sz w:val="14"/>
          <w:szCs w:val="14"/>
          <w:color w:val="auto"/>
        </w:rPr>
        <w:t>We operate on a 52- or 53-week fiscal year ending on the Sunday closest to October 31. Our fiscal year ended November 2, 2025 was a 52-week fiscal year.</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7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0" w:lineRule="exact"/>
        <w:rPr>
          <w:sz w:val="20"/>
          <w:szCs w:val="20"/>
          <w:color w:val="auto"/>
        </w:rPr>
      </w:pPr>
    </w:p>
    <w:p>
      <w:pPr>
        <w:ind w:left="1480" w:right="539" w:firstLine="333"/>
        <w:spacing w:after="0" w:line="254" w:lineRule="auto"/>
        <w:rPr>
          <w:sz w:val="20"/>
          <w:szCs w:val="20"/>
          <w:color w:val="auto"/>
        </w:rPr>
      </w:pPr>
      <w:r>
        <w:rPr>
          <w:rFonts w:ascii="Times New Roman" w:cs="Times New Roman" w:eastAsia="Times New Roman" w:hAnsi="Times New Roman"/>
          <w:sz w:val="14"/>
          <w:szCs w:val="14"/>
          <w:color w:val="auto"/>
        </w:rPr>
        <w:t>We file periodic reports, proxy statements and other information with the SEC. Our SEC filings are available on the SEC’s website at www.sec.gov and through the Investor Center section of our website at www.broadcom.com. The reference to our website address does not constitute incorporation by reference of the information contained on or accessible through our website.</w:t>
      </w:r>
    </w:p>
    <w:p>
      <w:pPr>
        <w:spacing w:after="0" w:line="142" w:lineRule="exact"/>
        <w:rPr>
          <w:sz w:val="20"/>
          <w:szCs w:val="20"/>
          <w:color w:val="auto"/>
        </w:rPr>
      </w:pPr>
    </w:p>
    <w:p>
      <w:pPr>
        <w:ind w:left="1480" w:right="459" w:firstLine="333"/>
        <w:spacing w:after="0" w:line="247"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S-4 (File No. 333-        ) that we filed with the SEC with respect to the Exchange Offer and does not contain all of the information set forth in the registration statement. For further information with respect to us and the Exchange Notes, we refer you to the registration statement and the exhibits and schedules filed therewith. Statements contained in this prospectus or any related free writing prospectus as to the contents of any contract, agreement or any other document referred to are not necessarily complete. With respect to each of these contracts, agreements or other documents filed as an exhibit to the registration statement or the documents incorporated by reference therein, reference is made to the exhibits for a more complete description of the matter involved.</w:t>
      </w:r>
    </w:p>
    <w:p>
      <w:pPr>
        <w:spacing w:after="0" w:line="9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7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70" w:lineRule="exact"/>
        <w:rPr>
          <w:sz w:val="20"/>
          <w:szCs w:val="20"/>
          <w:color w:val="auto"/>
        </w:rPr>
      </w:pPr>
    </w:p>
    <w:p>
      <w:pPr>
        <w:ind w:left="1480" w:right="479" w:firstLine="333"/>
        <w:spacing w:after="0" w:line="248" w:lineRule="auto"/>
        <w:rPr>
          <w:sz w:val="20"/>
          <w:szCs w:val="20"/>
          <w:color w:val="auto"/>
        </w:rPr>
      </w:pPr>
      <w:r>
        <w:rPr>
          <w:rFonts w:ascii="Times New Roman" w:cs="Times New Roman" w:eastAsia="Times New Roman" w:hAnsi="Times New Roman"/>
          <w:sz w:val="14"/>
          <w:szCs w:val="14"/>
          <w:color w:val="auto"/>
        </w:rPr>
        <w:t>The SEC allows us to “incorporate by reference” in this prospectus the information in other documents that we file with it, which means that we can disclose important information to you by referring you to those publicly filed documents. The information incorporated by reference herein is considered to be a part of this prospectus, and information in documents that we file later with the SEC will automatically update and supersede information contained in documents filed earlier with the SEC or contained in this prospectus. This prospectus incorporates by reference the following documents Broadcom has filed with the SEC:</w:t>
      </w:r>
    </w:p>
    <w:p>
      <w:pPr>
        <w:spacing w:after="0" w:line="77" w:lineRule="exact"/>
        <w:rPr>
          <w:sz w:val="20"/>
          <w:szCs w:val="20"/>
          <w:color w:val="auto"/>
        </w:rPr>
      </w:pPr>
    </w:p>
    <w:p>
      <w:pPr>
        <w:ind w:left="2220" w:hanging="416"/>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Form 10-K for the fiscal year ended November 2, 2025, filed on </w:t>
      </w:r>
      <w:hyperlink r:id="rId28">
        <w:r>
          <w:rPr>
            <w:rFonts w:ascii="Times New Roman" w:cs="Times New Roman" w:eastAsia="Times New Roman" w:hAnsi="Times New Roman"/>
            <w:sz w:val="14"/>
            <w:szCs w:val="14"/>
            <w:u w:val="single" w:color="auto"/>
            <w:color w:val="0000EE"/>
          </w:rPr>
          <w:t>December 18, 2025</w:t>
        </w:r>
      </w:hyperlink>
      <w:r>
        <w:rPr>
          <w:rFonts w:ascii="Times New Roman" w:cs="Times New Roman" w:eastAsia="Times New Roman" w:hAnsi="Times New Roman"/>
          <w:sz w:val="14"/>
          <w:szCs w:val="14"/>
          <w:color w:val="auto"/>
        </w:rPr>
        <w:t>;</w:t>
      </w:r>
    </w:p>
    <w:p>
      <w:pPr>
        <w:spacing w:after="0" w:line="94" w:lineRule="exact"/>
        <w:rPr>
          <w:rFonts w:ascii="Times New Roman" w:cs="Times New Roman" w:eastAsia="Times New Roman" w:hAnsi="Times New Roman"/>
          <w:sz w:val="14"/>
          <w:szCs w:val="14"/>
          <w:color w:val="auto"/>
        </w:rPr>
      </w:pPr>
    </w:p>
    <w:p>
      <w:pPr>
        <w:ind w:left="2220" w:right="619" w:hanging="416"/>
        <w:spacing w:after="0" w:line="264" w:lineRule="auto"/>
        <w:tabs>
          <w:tab w:leader="none" w:pos="2220" w:val="left"/>
        </w:tabs>
        <w:numPr>
          <w:ilvl w:val="0"/>
          <w:numId w:val="4"/>
        </w:numPr>
        <w:rPr>
          <w:rFonts w:ascii="Times New Roman" w:cs="Times New Roman" w:eastAsia="Times New Roman" w:hAnsi="Times New Roman"/>
          <w:sz w:val="14"/>
          <w:szCs w:val="14"/>
          <w:color w:val="0000EE"/>
        </w:rPr>
      </w:pPr>
      <w:hyperlink r:id="rId29">
        <w:r>
          <w:rPr>
            <w:rFonts w:ascii="Times New Roman" w:cs="Times New Roman" w:eastAsia="Times New Roman" w:hAnsi="Times New Roman"/>
            <w:sz w:val="14"/>
            <w:szCs w:val="14"/>
            <w:color w:val="auto"/>
          </w:rPr>
          <w:t xml:space="preserve">Quarterly Reports on Form 10-Q for the fiscal quarters ended February 1, 2026 and May 3, 2026, filed on </w:t>
        </w:r>
        <w:r>
          <w:rPr>
            <w:rFonts w:ascii="Times New Roman" w:cs="Times New Roman" w:eastAsia="Times New Roman" w:hAnsi="Times New Roman"/>
            <w:sz w:val="14"/>
            <w:szCs w:val="14"/>
            <w:u w:val="single" w:color="auto"/>
            <w:color w:val="0000EE"/>
          </w:rPr>
          <w:t>March 11, 2026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EE"/>
          </w:rPr>
          <w:t>June 9,</w:t>
        </w:r>
      </w:hyperlink>
      <w:r>
        <w:rPr>
          <w:rFonts w:ascii="Times New Roman" w:cs="Times New Roman" w:eastAsia="Times New Roman" w:hAnsi="Times New Roman"/>
          <w:sz w:val="14"/>
          <w:szCs w:val="14"/>
          <w:color w:val="auto"/>
        </w:rPr>
        <w:t xml:space="preserve"> </w:t>
      </w:r>
      <w:hyperlink r:id="rId29">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 respectively;</w:t>
        </w:r>
      </w:hyperlink>
    </w:p>
    <w:p>
      <w:pPr>
        <w:spacing w:after="0" w:line="64" w:lineRule="exact"/>
        <w:rPr>
          <w:rFonts w:ascii="Times New Roman" w:cs="Times New Roman" w:eastAsia="Times New Roman" w:hAnsi="Times New Roman"/>
          <w:sz w:val="14"/>
          <w:szCs w:val="14"/>
          <w:color w:val="0000EE"/>
        </w:rPr>
      </w:pPr>
    </w:p>
    <w:p>
      <w:pPr>
        <w:ind w:left="2220" w:right="419" w:hanging="416"/>
        <w:spacing w:after="0" w:line="264"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on </w:t>
      </w:r>
      <w:hyperlink r:id="rId30">
        <w:r>
          <w:rPr>
            <w:rFonts w:ascii="Times New Roman" w:cs="Times New Roman" w:eastAsia="Times New Roman" w:hAnsi="Times New Roman"/>
            <w:sz w:val="14"/>
            <w:szCs w:val="14"/>
            <w:u w:val="single" w:color="auto"/>
            <w:color w:val="0000EE"/>
          </w:rPr>
          <w:t>December 11,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(Item 8.01 only), </w:t>
      </w:r>
      <w:hyperlink r:id="rId31">
        <w:r>
          <w:rPr>
            <w:rFonts w:ascii="Times New Roman" w:cs="Times New Roman" w:eastAsia="Times New Roman" w:hAnsi="Times New Roman"/>
            <w:sz w:val="14"/>
            <w:szCs w:val="14"/>
            <w:u w:val="single" w:color="auto"/>
            <w:color w:val="0000EE"/>
          </w:rPr>
          <w:t>January 13, 2026</w:t>
        </w:r>
      </w:hyperlink>
      <w:r>
        <w:rPr>
          <w:rFonts w:ascii="Times New Roman" w:cs="Times New Roman" w:eastAsia="Times New Roman" w:hAnsi="Times New Roman"/>
          <w:sz w:val="14"/>
          <w:szCs w:val="14"/>
          <w:color w:val="auto"/>
        </w:rPr>
        <w:t xml:space="preserve">, </w:t>
      </w:r>
      <w:hyperlink r:id="rId32">
        <w:r>
          <w:rPr>
            <w:rFonts w:ascii="Times New Roman" w:cs="Times New Roman" w:eastAsia="Times New Roman" w:hAnsi="Times New Roman"/>
            <w:sz w:val="14"/>
            <w:szCs w:val="14"/>
            <w:u w:val="single" w:color="auto"/>
            <w:color w:val="0000EE"/>
          </w:rPr>
          <w:t>March 2, 2026</w:t>
        </w:r>
      </w:hyperlink>
      <w:r>
        <w:rPr>
          <w:rFonts w:ascii="Times New Roman" w:cs="Times New Roman" w:eastAsia="Times New Roman" w:hAnsi="Times New Roman"/>
          <w:sz w:val="14"/>
          <w:szCs w:val="14"/>
          <w:color w:val="auto"/>
        </w:rPr>
        <w:t xml:space="preserve">, </w:t>
      </w:r>
      <w:hyperlink r:id="rId33">
        <w:r>
          <w:rPr>
            <w:rFonts w:ascii="Times New Roman" w:cs="Times New Roman" w:eastAsia="Times New Roman" w:hAnsi="Times New Roman"/>
            <w:sz w:val="14"/>
            <w:szCs w:val="14"/>
            <w:u w:val="single" w:color="auto"/>
            <w:color w:val="0000EE"/>
          </w:rPr>
          <w:t>March 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(Item 8.01 only), </w:t>
      </w:r>
      <w:hyperlink r:id="rId34">
        <w:r>
          <w:rPr>
            <w:rFonts w:ascii="Times New Roman" w:cs="Times New Roman" w:eastAsia="Times New Roman" w:hAnsi="Times New Roman"/>
            <w:sz w:val="14"/>
            <w:szCs w:val="14"/>
            <w:u w:val="single" w:color="auto"/>
            <w:color w:val="0000EE"/>
          </w:rPr>
          <w:t>April 2, 2026</w:t>
        </w:r>
      </w:hyperlink>
      <w:r>
        <w:rPr>
          <w:rFonts w:ascii="Times New Roman" w:cs="Times New Roman" w:eastAsia="Times New Roman" w:hAnsi="Times New Roman"/>
          <w:sz w:val="14"/>
          <w:szCs w:val="14"/>
          <w:color w:val="auto"/>
        </w:rPr>
        <w:t xml:space="preserve">, </w:t>
      </w:r>
      <w:hyperlink r:id="rId35">
        <w:r>
          <w:rPr>
            <w:rFonts w:ascii="Times New Roman" w:cs="Times New Roman" w:eastAsia="Times New Roman" w:hAnsi="Times New Roman"/>
            <w:sz w:val="14"/>
            <w:szCs w:val="14"/>
            <w:u w:val="single" w:color="auto"/>
            <w:color w:val="0000EE"/>
          </w:rPr>
          <w:t>April 6, 2026</w:t>
        </w:r>
      </w:hyperlink>
      <w:r>
        <w:rPr>
          <w:rFonts w:ascii="Times New Roman" w:cs="Times New Roman" w:eastAsia="Times New Roman" w:hAnsi="Times New Roman"/>
          <w:sz w:val="14"/>
          <w:szCs w:val="14"/>
          <w:color w:val="auto"/>
        </w:rPr>
        <w:t xml:space="preserve">, </w:t>
      </w:r>
      <w:hyperlink r:id="rId36">
        <w:r>
          <w:rPr>
            <w:rFonts w:ascii="Times New Roman" w:cs="Times New Roman" w:eastAsia="Times New Roman" w:hAnsi="Times New Roman"/>
            <w:sz w:val="14"/>
            <w:szCs w:val="14"/>
            <w:u w:val="single" w:color="auto"/>
            <w:color w:val="0000EE"/>
          </w:rPr>
          <w:t>April 21,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7">
        <w:r>
          <w:rPr>
            <w:rFonts w:ascii="Times New Roman" w:cs="Times New Roman" w:eastAsia="Times New Roman" w:hAnsi="Times New Roman"/>
            <w:sz w:val="14"/>
            <w:szCs w:val="14"/>
            <w:u w:val="single" w:color="auto"/>
            <w:color w:val="0000EE"/>
          </w:rPr>
          <w:t>June 3,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(Item 8.01 only); and</w:t>
      </w:r>
    </w:p>
    <w:p>
      <w:pPr>
        <w:spacing w:after="0" w:line="64" w:lineRule="exact"/>
        <w:rPr>
          <w:rFonts w:ascii="Times New Roman" w:cs="Times New Roman" w:eastAsia="Times New Roman" w:hAnsi="Times New Roman"/>
          <w:sz w:val="14"/>
          <w:szCs w:val="14"/>
          <w:color w:val="auto"/>
        </w:rPr>
      </w:pPr>
    </w:p>
    <w:p>
      <w:pPr>
        <w:ind w:left="2220" w:right="719" w:hanging="416"/>
        <w:spacing w:after="0" w:line="264"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Definitive Proxy Statement on Schedule 14A, filed on </w:t>
      </w:r>
      <w:hyperlink r:id="rId38">
        <w:r>
          <w:rPr>
            <w:rFonts w:ascii="Times New Roman" w:cs="Times New Roman" w:eastAsia="Times New Roman" w:hAnsi="Times New Roman"/>
            <w:sz w:val="14"/>
            <w:szCs w:val="14"/>
            <w:u w:val="single" w:color="auto"/>
            <w:color w:val="0000EE"/>
          </w:rPr>
          <w:t>March 2,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(solely to the extent specifically incorporated by reference into Broadcom’s Annual Report on Form 10-K for the fiscal year ended November 2, 2025, filed on December 18, 2025).</w:t>
      </w:r>
    </w:p>
    <w:p>
      <w:pPr>
        <w:spacing w:after="0" w:line="136" w:lineRule="exact"/>
        <w:rPr>
          <w:rFonts w:ascii="Times New Roman" w:cs="Times New Roman" w:eastAsia="Times New Roman" w:hAnsi="Times New Roman"/>
          <w:sz w:val="14"/>
          <w:szCs w:val="14"/>
          <w:color w:val="auto"/>
        </w:rPr>
      </w:pPr>
    </w:p>
    <w:p>
      <w:pPr>
        <w:ind w:left="1480" w:right="439" w:firstLine="333"/>
        <w:spacing w:after="0" w:line="250" w:lineRule="auto"/>
        <w:rPr>
          <w:sz w:val="20"/>
          <w:szCs w:val="20"/>
          <w:color w:val="auto"/>
        </w:rPr>
      </w:pPr>
      <w:r>
        <w:rPr>
          <w:rFonts w:ascii="Times New Roman" w:cs="Times New Roman" w:eastAsia="Times New Roman" w:hAnsi="Times New Roman"/>
          <w:sz w:val="14"/>
          <w:szCs w:val="14"/>
          <w:color w:val="auto"/>
        </w:rPr>
        <w:t>All documents that we subsequently file pursuant to Sections 13(a), 13(c), 14 or 15(d) of the Securities Exchange Act of 1934, as amended (the “Exchange Act”), after the date of this prospectus until the completion of the Exchange Offer shall be deemed incorporated by reference in this prospectus and to be part hereof from the date of the filing of such documents except as to any portion of any document, portions of documents, exhibit or other information that is deemed to be furnished and not filed under such provisions.</w:t>
      </w:r>
    </w:p>
    <w:p>
      <w:pPr>
        <w:spacing w:after="0" w:line="146" w:lineRule="exact"/>
        <w:rPr>
          <w:rFonts w:ascii="Times New Roman" w:cs="Times New Roman" w:eastAsia="Times New Roman" w:hAnsi="Times New Roman"/>
          <w:sz w:val="14"/>
          <w:szCs w:val="14"/>
          <w:color w:val="auto"/>
        </w:rPr>
      </w:pPr>
    </w:p>
    <w:p>
      <w:pPr>
        <w:ind w:left="1480" w:right="559" w:firstLine="333"/>
        <w:spacing w:after="0" w:line="250" w:lineRule="auto"/>
        <w:rPr>
          <w:sz w:val="20"/>
          <w:szCs w:val="20"/>
          <w:color w:val="auto"/>
        </w:rPr>
      </w:pPr>
      <w:r>
        <w:rPr>
          <w:rFonts w:ascii="Times New Roman" w:cs="Times New Roman" w:eastAsia="Times New Roman" w:hAnsi="Times New Roman"/>
          <w:sz w:val="14"/>
          <w:szCs w:val="14"/>
          <w:color w:val="auto"/>
        </w:rPr>
        <w:t>If requested, we will provide to each person, including any beneficial owners, to whom a prospectus is delivered a copy of the reports and documents that have been incorporated by reference into this prospectus. Exhibits to the filings will not be sent unless those exhibits have been specifically incorporated by reference into such documents. To obtain a copy of these filings at no cost, you may make a request through the Investor Center section of our website or by writing or telephoning us at the following address or phone number:</w:t>
      </w:r>
    </w:p>
    <w:p>
      <w:pPr>
        <w:spacing w:after="0" w:line="146"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Broadcom Inc.</w:t>
      </w:r>
    </w:p>
    <w:p>
      <w:pPr>
        <w:spacing w:after="0" w:line="14"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2"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3421 Hillview Avenue</w:t>
      </w:r>
    </w:p>
    <w:p>
      <w:pPr>
        <w:spacing w:after="0" w:line="2"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Palo Alto, California 94304</w:t>
      </w:r>
    </w:p>
    <w:p>
      <w:pPr>
        <w:spacing w:after="0" w:line="2"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Telephone: (650) 427-6000</w:t>
      </w:r>
    </w:p>
    <w:p>
      <w:pPr>
        <w:spacing w:after="0" w:line="150" w:lineRule="exact"/>
        <w:rPr>
          <w:rFonts w:ascii="Times New Roman" w:cs="Times New Roman" w:eastAsia="Times New Roman" w:hAnsi="Times New Roman"/>
          <w:sz w:val="14"/>
          <w:szCs w:val="14"/>
          <w:color w:val="auto"/>
        </w:rPr>
      </w:pPr>
    </w:p>
    <w:p>
      <w:pPr>
        <w:ind w:left="1480" w:right="579" w:firstLine="333"/>
        <w:spacing w:after="0" w:line="270" w:lineRule="auto"/>
        <w:rPr>
          <w:sz w:val="20"/>
          <w:szCs w:val="20"/>
          <w:color w:val="auto"/>
        </w:rPr>
      </w:pPr>
      <w:r>
        <w:rPr>
          <w:rFonts w:ascii="Times New Roman" w:cs="Times New Roman" w:eastAsia="Times New Roman" w:hAnsi="Times New Roman"/>
          <w:sz w:val="14"/>
          <w:szCs w:val="14"/>
          <w:b w:val="1"/>
          <w:bCs w:val="1"/>
          <w:color w:val="auto"/>
        </w:rPr>
        <w:t>IN ORDER TO OBTAIN TIMELY DELIVERY, YOU MUST REQUEST THE INFORMATION NO LATER THAN         , 2026, WHICH IS FIVE BUSINESS DAYS BEFORE THE EXPIRATION OF THE EXCHANGE OFFER.</w:t>
      </w:r>
    </w:p>
    <w:p>
      <w:pPr>
        <w:spacing w:after="0" w:line="81" w:lineRule="exact"/>
        <w:rPr>
          <w:rFonts w:ascii="Times New Roman" w:cs="Times New Roman" w:eastAsia="Times New Roman" w:hAnsi="Times New Roman"/>
          <w:sz w:val="14"/>
          <w:szCs w:val="14"/>
          <w:color w:val="auto"/>
        </w:rPr>
      </w:pPr>
    </w:p>
    <w:p>
      <w:pPr>
        <w:ind w:left="554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59"/>
          </w:cols>
          <w:pgMar w:left="300" w:top="37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158115</wp:posOffset>
            </wp:positionV>
            <wp:extent cx="5297805" cy="3397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5297805" cy="3397885"/>
                    </a:xfrm>
                    <a:prstGeom prst="rect">
                      <a:avLst/>
                    </a:prstGeom>
                    <a:noFill/>
                  </pic:spPr>
                </pic:pic>
              </a:graphicData>
            </a:graphic>
          </wp:anchor>
        </w:drawing>
      </w:r>
    </w:p>
    <w:p>
      <w:pPr>
        <w:spacing w:after="0" w:line="3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68" w:lineRule="exact"/>
        <w:rPr>
          <w:sz w:val="20"/>
          <w:szCs w:val="20"/>
          <w:color w:val="auto"/>
        </w:rPr>
      </w:pPr>
    </w:p>
    <w:p>
      <w:pPr>
        <w:ind w:left="1620" w:right="499" w:firstLine="322"/>
        <w:spacing w:after="0" w:line="255"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or incorporated by reference, in this prospectus and may not contain all of the information that may be important to you. You should carefully read this together with the entire prospectus, and the documents incorporated by reference, including the “Risk Factors” section, the historical financial statements and the notes to those financial statements.</w:t>
      </w:r>
    </w:p>
    <w:p>
      <w:pPr>
        <w:spacing w:after="0" w:line="30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170" w:lineRule="exact"/>
        <w:rPr>
          <w:sz w:val="20"/>
          <w:szCs w:val="20"/>
          <w:color w:val="auto"/>
        </w:rPr>
      </w:pPr>
    </w:p>
    <w:p>
      <w:pPr>
        <w:ind w:left="1620" w:right="539" w:firstLine="322"/>
        <w:spacing w:after="0" w:line="290" w:lineRule="auto"/>
        <w:rPr>
          <w:sz w:val="20"/>
          <w:szCs w:val="20"/>
          <w:color w:val="auto"/>
        </w:rPr>
      </w:pPr>
      <w:r>
        <w:rPr>
          <w:rFonts w:ascii="Times New Roman" w:cs="Times New Roman" w:eastAsia="Times New Roman" w:hAnsi="Times New Roman"/>
          <w:sz w:val="12"/>
          <w:szCs w:val="12"/>
          <w:color w:val="auto"/>
        </w:rPr>
        <w:t>Broadcom Inc., a Delaware corporation headquartered in Palo Alto, California, is a global technology leader that designs, develops and supplies a broad range of semiconductor and semiconductor-based solutions and infrastructure software solutions. Our semiconductor and semiconductor-based solutions include a broad portfolio of complex digital and mixed signal devices based on silicon wafers with complementary metal oxide semiconductor transistors, III-V based devices, network interface cards and other modules, switches, subsystems and, in some cases, racks. Our solutions are used in a wide array of environments, end products and applications, such as enterprise and artificial intelligence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infrastructure software solutions help enterprises simplify their information technology (“IT”)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fibre channel storage area networking (“FC SAN”) products and related software in the form of modules, switches and subsystems incorporating multiple semiconductor products.</w:t>
      </w:r>
    </w:p>
    <w:p>
      <w:pPr>
        <w:spacing w:after="0" w:line="200" w:lineRule="exact"/>
        <w:rPr>
          <w:sz w:val="20"/>
          <w:szCs w:val="20"/>
          <w:color w:val="auto"/>
        </w:rPr>
      </w:pP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0" w:lineRule="exact"/>
        <w:rPr>
          <w:sz w:val="20"/>
          <w:szCs w:val="20"/>
          <w:color w:val="auto"/>
        </w:rPr>
      </w:pPr>
    </w:p>
    <w:p>
      <w:pPr>
        <w:ind w:left="1620" w:right="519" w:firstLine="322"/>
        <w:spacing w:after="0" w:line="247" w:lineRule="auto"/>
        <w:rPr>
          <w:sz w:val="20"/>
          <w:szCs w:val="20"/>
          <w:color w:val="auto"/>
        </w:rPr>
      </w:pPr>
      <w:r>
        <w:rPr>
          <w:rFonts w:ascii="Times New Roman" w:cs="Times New Roman" w:eastAsia="Times New Roman" w:hAnsi="Times New Roman"/>
          <w:sz w:val="14"/>
          <w:szCs w:val="14"/>
          <w:color w:val="auto"/>
        </w:rPr>
        <w:t>Our principal executive office is located at 3421 Hillview Avenue, Palo Alto, California 94304, and our telephone number is (650) 427-6000. All of our operations are conducted through our various subsidiaries, which are organized and operated according to the laws of their country of incorporation, and consolidated by Broadcom. We maintain an Investor Center page on our website at www.broadcom.com where general information about Broadcom is available. The reference to our website address does not constitute incorporation by reference of the information contained on our website. For further information regarding Broadcom, including financial information, you should refer to our recent filings with the SEC. See “Where You Can Find More Information.”</w:t>
      </w:r>
    </w:p>
    <w:p>
      <w:pPr>
        <w:spacing w:after="0" w:line="24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7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158115</wp:posOffset>
            </wp:positionV>
            <wp:extent cx="5297805" cy="4383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5297805" cy="4383405"/>
                    </a:xfrm>
                    <a:prstGeom prst="rect">
                      <a:avLst/>
                    </a:prstGeom>
                    <a:noFill/>
                  </pic:spPr>
                </pic:pic>
              </a:graphicData>
            </a:graphic>
          </wp:anchor>
        </w:drawing>
      </w:r>
    </w:p>
    <w:p>
      <w:pPr>
        <w:spacing w:after="0" w:line="3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Exchange Offer</w:t>
      </w:r>
    </w:p>
    <w:p>
      <w:pPr>
        <w:spacing w:after="0" w:line="168" w:lineRule="exact"/>
        <w:rPr>
          <w:sz w:val="20"/>
          <w:szCs w:val="20"/>
          <w:color w:val="auto"/>
        </w:rPr>
      </w:pPr>
    </w:p>
    <w:p>
      <w:pPr>
        <w:ind w:left="1620" w:right="539" w:firstLine="322"/>
        <w:spacing w:after="0" w:line="251" w:lineRule="auto"/>
        <w:rPr>
          <w:sz w:val="20"/>
          <w:szCs w:val="20"/>
          <w:color w:val="auto"/>
        </w:rPr>
      </w:pPr>
      <w:r>
        <w:rPr>
          <w:rFonts w:ascii="Times New Roman" w:cs="Times New Roman" w:eastAsia="Times New Roman" w:hAnsi="Times New Roman"/>
          <w:sz w:val="14"/>
          <w:szCs w:val="14"/>
          <w:i w:val="1"/>
          <w:iCs w:val="1"/>
          <w:color w:val="auto"/>
        </w:rPr>
        <w:t>The summary below describes the principal terms of the Exchange Offer. You should read carefully this entire prospectus and all the information included or incorporated by reference herein, especially the risks discussed in the section entitled “Risk Factors” beginning on page 9 of this prospectus and in our periodic reports filed with the SEC. See also the section of this prospectus titled “The Exchange Offer,” which contains a more detailed description of the terms and conditions of the Exchange Offer.</w:t>
      </w:r>
    </w:p>
    <w:p>
      <w:pPr>
        <w:spacing w:after="0" w:line="70" w:lineRule="exact"/>
        <w:rPr>
          <w:sz w:val="20"/>
          <w:szCs w:val="20"/>
          <w:color w:val="auto"/>
        </w:rPr>
      </w:pPr>
    </w:p>
    <w:tbl>
      <w:tblPr>
        <w:tblLayout w:type="fixed"/>
        <w:tblInd w:w="1480" w:type="dxa"/>
        <w:tblCellMar>
          <w:top w:w="0" w:type="dxa"/>
          <w:left w:w="0" w:type="dxa"/>
          <w:bottom w:w="0" w:type="dxa"/>
          <w:right w:w="0" w:type="dxa"/>
        </w:tblCellMar>
      </w:tblPr>
      <w:tr>
        <w:trPr>
          <w:trHeight w:val="167"/>
        </w:trPr>
        <w:tc>
          <w:tcPr>
            <w:tcW w:w="2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In connection with the private exchange offer completed on September 30, 2021, we</w:t>
            </w:r>
          </w:p>
        </w:tc>
      </w:tr>
      <w:tr>
        <w:trPr>
          <w:trHeight w:val="163"/>
        </w:trPr>
        <w:tc>
          <w:tcPr>
            <w:tcW w:w="2260" w:type="dxa"/>
            <w:vAlign w:val="bottom"/>
          </w:tcPr>
          <w:p>
            <w:pPr>
              <w:spacing w:after="0"/>
              <w:rPr>
                <w:sz w:val="14"/>
                <w:szCs w:val="14"/>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entered into a registration rights agreement with the dealer managers with respect to the</w:t>
            </w:r>
          </w:p>
        </w:tc>
      </w:tr>
      <w:tr>
        <w:trPr>
          <w:trHeight w:val="163"/>
        </w:trPr>
        <w:tc>
          <w:tcPr>
            <w:tcW w:w="2260" w:type="dxa"/>
            <w:vAlign w:val="bottom"/>
          </w:tcPr>
          <w:p>
            <w:pPr>
              <w:spacing w:after="0"/>
              <w:rPr>
                <w:sz w:val="14"/>
                <w:szCs w:val="14"/>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Outstanding Notes (as defined below) in which we agreed, among other things, to use our</w:t>
            </w:r>
          </w:p>
        </w:tc>
      </w:tr>
      <w:tr>
        <w:trPr>
          <w:trHeight w:val="163"/>
        </w:trPr>
        <w:tc>
          <w:tcPr>
            <w:tcW w:w="2260" w:type="dxa"/>
            <w:vAlign w:val="bottom"/>
          </w:tcPr>
          <w:p>
            <w:pPr>
              <w:spacing w:after="0"/>
              <w:rPr>
                <w:sz w:val="14"/>
                <w:szCs w:val="14"/>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commercially reasonable efforts to cause the Exchange Offer described in this prospectus</w:t>
            </w:r>
          </w:p>
        </w:tc>
      </w:tr>
      <w:tr>
        <w:trPr>
          <w:trHeight w:val="163"/>
        </w:trPr>
        <w:tc>
          <w:tcPr>
            <w:tcW w:w="2260" w:type="dxa"/>
            <w:vAlign w:val="bottom"/>
          </w:tcPr>
          <w:p>
            <w:pPr>
              <w:spacing w:after="0"/>
              <w:rPr>
                <w:sz w:val="14"/>
                <w:szCs w:val="14"/>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to be consummated upon the terms and subject to the conditions set forth in such</w:t>
            </w:r>
          </w:p>
        </w:tc>
      </w:tr>
      <w:tr>
        <w:trPr>
          <w:trHeight w:val="163"/>
        </w:trPr>
        <w:tc>
          <w:tcPr>
            <w:tcW w:w="2260" w:type="dxa"/>
            <w:vAlign w:val="bottom"/>
          </w:tcPr>
          <w:p>
            <w:pPr>
              <w:spacing w:after="0"/>
              <w:rPr>
                <w:sz w:val="14"/>
                <w:szCs w:val="14"/>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registration rights agreement. You are entitled to exchange in the Exchange Offer your</w:t>
            </w:r>
          </w:p>
        </w:tc>
      </w:tr>
      <w:tr>
        <w:trPr>
          <w:trHeight w:val="163"/>
        </w:trPr>
        <w:tc>
          <w:tcPr>
            <w:tcW w:w="2260" w:type="dxa"/>
            <w:vAlign w:val="bottom"/>
          </w:tcPr>
          <w:p>
            <w:pPr>
              <w:spacing w:after="0"/>
              <w:rPr>
                <w:sz w:val="14"/>
                <w:szCs w:val="14"/>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Outstanding Notes for Exchange Notes (as defined below), which are identical in all</w:t>
            </w:r>
          </w:p>
        </w:tc>
      </w:tr>
      <w:tr>
        <w:trPr>
          <w:trHeight w:val="175"/>
        </w:trPr>
        <w:tc>
          <w:tcPr>
            <w:tcW w:w="2260" w:type="dxa"/>
            <w:vAlign w:val="bottom"/>
          </w:tcPr>
          <w:p>
            <w:pPr>
              <w:spacing w:after="0"/>
              <w:rPr>
                <w:sz w:val="15"/>
                <w:szCs w:val="15"/>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material respects to the Outstanding Notes except:</w:t>
            </w:r>
          </w:p>
        </w:tc>
      </w:tr>
      <w:tr>
        <w:trPr>
          <w:trHeight w:val="243"/>
        </w:trPr>
        <w:tc>
          <w:tcPr>
            <w:tcW w:w="2260" w:type="dxa"/>
            <w:vAlign w:val="bottom"/>
          </w:tcPr>
          <w:p>
            <w:pPr>
              <w:spacing w:after="0"/>
              <w:rPr>
                <w:sz w:val="21"/>
                <w:szCs w:val="21"/>
                <w:color w:val="auto"/>
              </w:rPr>
            </w:pPr>
          </w:p>
        </w:tc>
        <w:tc>
          <w:tcPr>
            <w:tcW w:w="608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   the offer and sale of the Exchange Notes will have been registered under the</w:t>
            </w:r>
          </w:p>
        </w:tc>
      </w:tr>
      <w:tr>
        <w:trPr>
          <w:trHeight w:val="175"/>
        </w:trPr>
        <w:tc>
          <w:tcPr>
            <w:tcW w:w="2260" w:type="dxa"/>
            <w:vAlign w:val="bottom"/>
          </w:tcPr>
          <w:p>
            <w:pPr>
              <w:spacing w:after="0"/>
              <w:rPr>
                <w:sz w:val="15"/>
                <w:szCs w:val="15"/>
                <w:color w:val="auto"/>
              </w:rPr>
            </w:pPr>
          </w:p>
        </w:tc>
        <w:tc>
          <w:tcPr>
            <w:tcW w:w="608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Securities Act;</w:t>
            </w:r>
          </w:p>
        </w:tc>
      </w:tr>
      <w:tr>
        <w:trPr>
          <w:trHeight w:val="243"/>
        </w:trPr>
        <w:tc>
          <w:tcPr>
            <w:tcW w:w="2260" w:type="dxa"/>
            <w:vAlign w:val="bottom"/>
          </w:tcPr>
          <w:p>
            <w:pPr>
              <w:spacing w:after="0"/>
              <w:rPr>
                <w:sz w:val="21"/>
                <w:szCs w:val="21"/>
                <w:color w:val="auto"/>
              </w:rPr>
            </w:pPr>
          </w:p>
        </w:tc>
        <w:tc>
          <w:tcPr>
            <w:tcW w:w="608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   the Exchange Notes are not entitled to any registration rights that are applicable to</w:t>
            </w:r>
          </w:p>
        </w:tc>
      </w:tr>
      <w:tr>
        <w:trPr>
          <w:trHeight w:val="175"/>
        </w:trPr>
        <w:tc>
          <w:tcPr>
            <w:tcW w:w="2260" w:type="dxa"/>
            <w:vAlign w:val="bottom"/>
          </w:tcPr>
          <w:p>
            <w:pPr>
              <w:spacing w:after="0"/>
              <w:rPr>
                <w:sz w:val="15"/>
                <w:szCs w:val="15"/>
                <w:color w:val="auto"/>
              </w:rPr>
            </w:pPr>
          </w:p>
        </w:tc>
        <w:tc>
          <w:tcPr>
            <w:tcW w:w="608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the Outstanding Notes under the registration rights agreement; and</w:t>
            </w:r>
          </w:p>
        </w:tc>
      </w:tr>
      <w:tr>
        <w:trPr>
          <w:trHeight w:val="243"/>
        </w:trPr>
        <w:tc>
          <w:tcPr>
            <w:tcW w:w="2260" w:type="dxa"/>
            <w:vAlign w:val="bottom"/>
          </w:tcPr>
          <w:p>
            <w:pPr>
              <w:spacing w:after="0"/>
              <w:rPr>
                <w:sz w:val="21"/>
                <w:szCs w:val="21"/>
                <w:color w:val="auto"/>
              </w:rPr>
            </w:pPr>
          </w:p>
        </w:tc>
        <w:tc>
          <w:tcPr>
            <w:tcW w:w="608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   the provisions of the registration rights agreement that provide for payment of</w:t>
            </w:r>
          </w:p>
        </w:tc>
      </w:tr>
      <w:tr>
        <w:trPr>
          <w:trHeight w:val="175"/>
        </w:trPr>
        <w:tc>
          <w:tcPr>
            <w:tcW w:w="2260" w:type="dxa"/>
            <w:vAlign w:val="bottom"/>
          </w:tcPr>
          <w:p>
            <w:pPr>
              <w:spacing w:after="0"/>
              <w:rPr>
                <w:sz w:val="15"/>
                <w:szCs w:val="15"/>
                <w:color w:val="auto"/>
              </w:rPr>
            </w:pPr>
          </w:p>
        </w:tc>
        <w:tc>
          <w:tcPr>
            <w:tcW w:w="608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additional amounts upon a registration default are no longer applicable.</w:t>
            </w:r>
          </w:p>
        </w:tc>
      </w:tr>
      <w:tr>
        <w:trPr>
          <w:trHeight w:val="243"/>
        </w:trPr>
        <w:tc>
          <w:tcPr>
            <w:tcW w:w="2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The Exchange Offer</w:t>
            </w: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We are offering to exchange up to $3,249,984,000 3.137% Senior Notes due 2035 (the</w:t>
            </w:r>
          </w:p>
        </w:tc>
      </w:tr>
      <w:tr>
        <w:trPr>
          <w:trHeight w:val="163"/>
        </w:trPr>
        <w:tc>
          <w:tcPr>
            <w:tcW w:w="2260" w:type="dxa"/>
            <w:vAlign w:val="bottom"/>
          </w:tcPr>
          <w:p>
            <w:pPr>
              <w:spacing w:after="0"/>
              <w:rPr>
                <w:sz w:val="14"/>
                <w:szCs w:val="14"/>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“2035 Notes”) and up to $2,750,000,000 3.187% Senior Notes due 2036 (the “2036 Notes”</w:t>
            </w:r>
          </w:p>
        </w:tc>
      </w:tr>
      <w:tr>
        <w:trPr>
          <w:trHeight w:val="163"/>
        </w:trPr>
        <w:tc>
          <w:tcPr>
            <w:tcW w:w="2260" w:type="dxa"/>
            <w:vAlign w:val="bottom"/>
          </w:tcPr>
          <w:p>
            <w:pPr>
              <w:spacing w:after="0"/>
              <w:rPr>
                <w:sz w:val="14"/>
                <w:szCs w:val="14"/>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and, together with the 2035 Notes, collectively, the “Exchange Notes”), in each case the</w:t>
            </w:r>
          </w:p>
        </w:tc>
      </w:tr>
      <w:tr>
        <w:trPr>
          <w:trHeight w:val="163"/>
        </w:trPr>
        <w:tc>
          <w:tcPr>
            <w:tcW w:w="2260" w:type="dxa"/>
            <w:vAlign w:val="bottom"/>
          </w:tcPr>
          <w:p>
            <w:pPr>
              <w:spacing w:after="0"/>
              <w:rPr>
                <w:sz w:val="14"/>
                <w:szCs w:val="14"/>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offer and sale of which have been registered under the Securities Act, for any and all of the</w:t>
            </w:r>
          </w:p>
        </w:tc>
      </w:tr>
      <w:tr>
        <w:trPr>
          <w:trHeight w:val="163"/>
        </w:trPr>
        <w:tc>
          <w:tcPr>
            <w:tcW w:w="2260" w:type="dxa"/>
            <w:vAlign w:val="bottom"/>
          </w:tcPr>
          <w:p>
            <w:pPr>
              <w:spacing w:after="0"/>
              <w:rPr>
                <w:sz w:val="14"/>
                <w:szCs w:val="14"/>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outstanding $3,249,984,000 3.137% Senior Notes due 2035 and $2,750,000,000 3.187%</w:t>
            </w:r>
          </w:p>
        </w:tc>
      </w:tr>
      <w:tr>
        <w:trPr>
          <w:trHeight w:val="163"/>
        </w:trPr>
        <w:tc>
          <w:tcPr>
            <w:tcW w:w="2260" w:type="dxa"/>
            <w:vAlign w:val="bottom"/>
          </w:tcPr>
          <w:p>
            <w:pPr>
              <w:spacing w:after="0"/>
              <w:rPr>
                <w:sz w:val="14"/>
                <w:szCs w:val="14"/>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Senior Notes due 2036 (collectively, the “Outstanding Notes” and, together with the</w:t>
            </w:r>
          </w:p>
        </w:tc>
      </w:tr>
      <w:tr>
        <w:trPr>
          <w:trHeight w:val="175"/>
        </w:trPr>
        <w:tc>
          <w:tcPr>
            <w:tcW w:w="2260" w:type="dxa"/>
            <w:vAlign w:val="bottom"/>
          </w:tcPr>
          <w:p>
            <w:pPr>
              <w:spacing w:after="0"/>
              <w:rPr>
                <w:sz w:val="15"/>
                <w:szCs w:val="15"/>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Exchange Notes, the “Notes”) that we issued on September 30, 2021.</w:t>
            </w:r>
          </w:p>
        </w:tc>
      </w:tr>
      <w:tr>
        <w:trPr>
          <w:trHeight w:val="243"/>
        </w:trPr>
        <w:tc>
          <w:tcPr>
            <w:tcW w:w="2260" w:type="dxa"/>
            <w:vAlign w:val="bottom"/>
          </w:tcPr>
          <w:p>
            <w:pPr>
              <w:spacing w:after="0"/>
              <w:rPr>
                <w:sz w:val="21"/>
                <w:szCs w:val="21"/>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Outstanding Notes may be exchanged only in minimum denominations of $2,000 and in</w:t>
            </w:r>
          </w:p>
        </w:tc>
      </w:tr>
      <w:tr>
        <w:trPr>
          <w:trHeight w:val="175"/>
        </w:trPr>
        <w:tc>
          <w:tcPr>
            <w:tcW w:w="2260" w:type="dxa"/>
            <w:vAlign w:val="bottom"/>
          </w:tcPr>
          <w:p>
            <w:pPr>
              <w:spacing w:after="0"/>
              <w:rPr>
                <w:sz w:val="15"/>
                <w:szCs w:val="15"/>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integral multiples of $1,000 in excess thereof.</w:t>
            </w:r>
          </w:p>
        </w:tc>
      </w:tr>
      <w:tr>
        <w:trPr>
          <w:trHeight w:val="243"/>
        </w:trPr>
        <w:tc>
          <w:tcPr>
            <w:tcW w:w="2260" w:type="dxa"/>
            <w:vAlign w:val="bottom"/>
          </w:tcPr>
          <w:p>
            <w:pPr>
              <w:spacing w:after="0"/>
              <w:rPr>
                <w:sz w:val="21"/>
                <w:szCs w:val="21"/>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Subject to the satisfaction or waiver of specified conditions, we will exchange the</w:t>
            </w:r>
          </w:p>
        </w:tc>
      </w:tr>
      <w:tr>
        <w:trPr>
          <w:trHeight w:val="163"/>
        </w:trPr>
        <w:tc>
          <w:tcPr>
            <w:tcW w:w="2260" w:type="dxa"/>
            <w:vAlign w:val="bottom"/>
          </w:tcPr>
          <w:p>
            <w:pPr>
              <w:spacing w:after="0"/>
              <w:rPr>
                <w:sz w:val="14"/>
                <w:szCs w:val="14"/>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Exchange Notes for all Outstanding Notes that are validly tendered and not validly</w:t>
            </w:r>
          </w:p>
        </w:tc>
      </w:tr>
      <w:tr>
        <w:trPr>
          <w:trHeight w:val="163"/>
        </w:trPr>
        <w:tc>
          <w:tcPr>
            <w:tcW w:w="2260" w:type="dxa"/>
            <w:vAlign w:val="bottom"/>
          </w:tcPr>
          <w:p>
            <w:pPr>
              <w:spacing w:after="0"/>
              <w:rPr>
                <w:sz w:val="14"/>
                <w:szCs w:val="14"/>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withdrawn prior to the expiration of the Exchange Offer. The exchange will be effected</w:t>
            </w:r>
          </w:p>
        </w:tc>
      </w:tr>
      <w:tr>
        <w:trPr>
          <w:trHeight w:val="175"/>
        </w:trPr>
        <w:tc>
          <w:tcPr>
            <w:tcW w:w="2260" w:type="dxa"/>
            <w:vAlign w:val="bottom"/>
          </w:tcPr>
          <w:p>
            <w:pPr>
              <w:spacing w:after="0"/>
              <w:rPr>
                <w:sz w:val="15"/>
                <w:szCs w:val="15"/>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promptly after the expiration of the Exchange Offer.</w:t>
            </w:r>
          </w:p>
        </w:tc>
      </w:tr>
      <w:tr>
        <w:trPr>
          <w:trHeight w:val="243"/>
        </w:trPr>
        <w:tc>
          <w:tcPr>
            <w:tcW w:w="2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Transfers</w:t>
            </w: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Based on interpretations by the staff of the SEC set forth in no-action letters issued to third</w:t>
            </w:r>
          </w:p>
        </w:tc>
      </w:tr>
      <w:tr>
        <w:trPr>
          <w:trHeight w:val="163"/>
        </w:trPr>
        <w:tc>
          <w:tcPr>
            <w:tcW w:w="2260" w:type="dxa"/>
            <w:vAlign w:val="bottom"/>
          </w:tcPr>
          <w:p>
            <w:pPr>
              <w:spacing w:after="0"/>
              <w:rPr>
                <w:sz w:val="14"/>
                <w:szCs w:val="14"/>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parties, we believe that the Exchange Notes issued pursuant to the Exchange Offer in</w:t>
            </w:r>
          </w:p>
        </w:tc>
      </w:tr>
      <w:tr>
        <w:trPr>
          <w:trHeight w:val="175"/>
        </w:trPr>
        <w:tc>
          <w:tcPr>
            <w:tcW w:w="2260" w:type="dxa"/>
            <w:vAlign w:val="bottom"/>
          </w:tcPr>
          <w:p>
            <w:pPr>
              <w:spacing w:after="0"/>
              <w:rPr>
                <w:sz w:val="15"/>
                <w:szCs w:val="15"/>
                <w:color w:val="auto"/>
              </w:rPr>
            </w:pPr>
          </w:p>
        </w:tc>
        <w:tc>
          <w:tcPr>
            <w:tcW w:w="60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exchange for Outstanding</w:t>
            </w:r>
          </w:p>
        </w:tc>
      </w:tr>
      <w:tr>
        <w:trPr>
          <w:trHeight w:val="129"/>
        </w:trPr>
        <w:tc>
          <w:tcPr>
            <w:tcW w:w="2260" w:type="dxa"/>
            <w:vAlign w:val="bottom"/>
            <w:tcBorders>
              <w:bottom w:val="single" w:sz="8" w:color="auto"/>
            </w:tcBorders>
          </w:tcPr>
          <w:p>
            <w:pPr>
              <w:spacing w:after="0"/>
              <w:rPr>
                <w:sz w:val="11"/>
                <w:szCs w:val="11"/>
                <w:color w:val="auto"/>
              </w:rPr>
            </w:pPr>
          </w:p>
        </w:tc>
        <w:tc>
          <w:tcPr>
            <w:tcW w:w="6080" w:type="dxa"/>
            <w:vAlign w:val="bottom"/>
            <w:tcBorders>
              <w:bottom w:val="single" w:sz="8" w:color="auto"/>
            </w:tcBorders>
          </w:tcPr>
          <w:p>
            <w:pPr>
              <w:spacing w:after="0"/>
              <w:rPr>
                <w:sz w:val="11"/>
                <w:szCs w:val="11"/>
                <w:color w:val="auto"/>
              </w:rPr>
            </w:pPr>
          </w:p>
        </w:tc>
      </w:tr>
      <w:tr>
        <w:trPr>
          <w:trHeight w:val="270"/>
        </w:trPr>
        <w:tc>
          <w:tcPr>
            <w:tcW w:w="2260" w:type="dxa"/>
            <w:vAlign w:val="bottom"/>
          </w:tcPr>
          <w:p>
            <w:pPr>
              <w:spacing w:after="0"/>
              <w:rPr>
                <w:sz w:val="23"/>
                <w:szCs w:val="23"/>
                <w:color w:val="auto"/>
              </w:rPr>
            </w:pPr>
          </w:p>
        </w:tc>
        <w:tc>
          <w:tcPr>
            <w:tcW w:w="608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-2-</w:t>
            </w:r>
          </w:p>
        </w:tc>
      </w:tr>
    </w:tbl>
    <w:p>
      <w:pPr>
        <w:sectPr>
          <w:pgSz w:w="11900" w:h="16838" w:orient="portrait"/>
          <w:cols w:equalWidth="0" w:num="1">
            <w:col w:w="10159"/>
          </w:cols>
          <w:pgMar w:left="300" w:top="37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158115</wp:posOffset>
            </wp:positionV>
            <wp:extent cx="5297805" cy="4344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5297805" cy="4344670"/>
                    </a:xfrm>
                    <a:prstGeom prst="rect">
                      <a:avLst/>
                    </a:prstGeom>
                    <a:noFill/>
                  </pic:spPr>
                </pic:pic>
              </a:graphicData>
            </a:graphic>
          </wp:anchor>
        </w:drawing>
      </w:r>
    </w:p>
    <w:p>
      <w:pPr>
        <w:spacing w:after="0" w:line="35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Notes may be offered for resale, resold and otherwise transferred by you (unless you are</w:t>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our “affiliate” within the meaning of Rule 405 under the Securities Act) without the</w:t>
      </w:r>
    </w:p>
    <w:p>
      <w:pPr>
        <w:spacing w:after="0" w:line="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requirement to comply with the registration and prospectus-delivery provisions of the</w:t>
      </w:r>
    </w:p>
    <w:p>
      <w:pPr>
        <w:spacing w:after="0" w:line="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Securities Act, provided that:</w:t>
      </w:r>
    </w:p>
    <w:p>
      <w:pPr>
        <w:spacing w:after="0" w:line="93" w:lineRule="exact"/>
        <w:rPr>
          <w:sz w:val="20"/>
          <w:szCs w:val="20"/>
          <w:color w:val="auto"/>
        </w:rPr>
      </w:pPr>
    </w:p>
    <w:tbl>
      <w:tblPr>
        <w:tblLayout w:type="fixed"/>
        <w:tblInd w:w="1480" w:type="dxa"/>
        <w:tblCellMar>
          <w:top w:w="0" w:type="dxa"/>
          <w:left w:w="0" w:type="dxa"/>
          <w:bottom w:w="0" w:type="dxa"/>
          <w:right w:w="0" w:type="dxa"/>
        </w:tblCellMar>
      </w:tblPr>
      <w:tr>
        <w:trPr>
          <w:trHeight w:val="175"/>
        </w:trPr>
        <w:tc>
          <w:tcPr>
            <w:tcW w:w="2800" w:type="dxa"/>
            <w:vAlign w:val="bottom"/>
          </w:tcPr>
          <w:p>
            <w:pPr>
              <w:spacing w:after="0"/>
              <w:rPr>
                <w:sz w:val="15"/>
                <w:szCs w:val="15"/>
                <w:color w:val="auto"/>
              </w:rPr>
            </w:pPr>
          </w:p>
        </w:tc>
        <w:tc>
          <w:tcPr>
            <w:tcW w:w="55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   you are acquiring the Exchange Notes in the ordinary course of your business; and</w:t>
            </w:r>
          </w:p>
        </w:tc>
      </w:tr>
      <w:tr>
        <w:trPr>
          <w:trHeight w:val="243"/>
        </w:trPr>
        <w:tc>
          <w:tcPr>
            <w:tcW w:w="2800" w:type="dxa"/>
            <w:vAlign w:val="bottom"/>
          </w:tcPr>
          <w:p>
            <w:pPr>
              <w:spacing w:after="0"/>
              <w:rPr>
                <w:sz w:val="21"/>
                <w:szCs w:val="21"/>
                <w:color w:val="auto"/>
              </w:rPr>
            </w:pPr>
          </w:p>
        </w:tc>
        <w:tc>
          <w:tcPr>
            <w:tcW w:w="55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   you have not engaged in, do not intend to engage in, and have no arrangement or</w:t>
            </w:r>
          </w:p>
        </w:tc>
      </w:tr>
      <w:tr>
        <w:trPr>
          <w:trHeight w:val="163"/>
        </w:trPr>
        <w:tc>
          <w:tcPr>
            <w:tcW w:w="2800" w:type="dxa"/>
            <w:vAlign w:val="bottom"/>
          </w:tcPr>
          <w:p>
            <w:pPr>
              <w:spacing w:after="0"/>
              <w:rPr>
                <w:sz w:val="14"/>
                <w:szCs w:val="14"/>
                <w:color w:val="auto"/>
              </w:rPr>
            </w:pPr>
          </w:p>
        </w:tc>
        <w:tc>
          <w:tcPr>
            <w:tcW w:w="55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understanding with any person to participate in, a distribution of the Exchange</w:t>
            </w:r>
          </w:p>
        </w:tc>
      </w:tr>
      <w:tr>
        <w:trPr>
          <w:trHeight w:val="175"/>
        </w:trPr>
        <w:tc>
          <w:tcPr>
            <w:tcW w:w="2800" w:type="dxa"/>
            <w:vAlign w:val="bottom"/>
          </w:tcPr>
          <w:p>
            <w:pPr>
              <w:spacing w:after="0"/>
              <w:rPr>
                <w:sz w:val="15"/>
                <w:szCs w:val="15"/>
                <w:color w:val="auto"/>
              </w:rPr>
            </w:pPr>
          </w:p>
        </w:tc>
        <w:tc>
          <w:tcPr>
            <w:tcW w:w="55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Notes.</w:t>
            </w:r>
          </w:p>
        </w:tc>
      </w:tr>
      <w:tr>
        <w:trPr>
          <w:trHeight w:val="243"/>
        </w:trPr>
        <w:tc>
          <w:tcPr>
            <w:tcW w:w="2800" w:type="dxa"/>
            <w:vAlign w:val="bottom"/>
          </w:tcPr>
          <w:p>
            <w:pPr>
              <w:spacing w:after="0"/>
              <w:rPr>
                <w:sz w:val="21"/>
                <w:szCs w:val="21"/>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If you are a broker-dealer and receive Exchange Notes for your own account in exchange</w:t>
            </w:r>
          </w:p>
        </w:tc>
      </w:tr>
      <w:tr>
        <w:trPr>
          <w:trHeight w:val="163"/>
        </w:trPr>
        <w:tc>
          <w:tcPr>
            <w:tcW w:w="2800" w:type="dxa"/>
            <w:vAlign w:val="bottom"/>
          </w:tcPr>
          <w:p>
            <w:pPr>
              <w:spacing w:after="0"/>
              <w:rPr>
                <w:sz w:val="14"/>
                <w:szCs w:val="14"/>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for Outstanding Notes that you acquired as a result of market-making activities or other</w:t>
            </w:r>
          </w:p>
        </w:tc>
      </w:tr>
      <w:tr>
        <w:trPr>
          <w:trHeight w:val="163"/>
        </w:trPr>
        <w:tc>
          <w:tcPr>
            <w:tcW w:w="2800" w:type="dxa"/>
            <w:vAlign w:val="bottom"/>
          </w:tcPr>
          <w:p>
            <w:pPr>
              <w:spacing w:after="0"/>
              <w:rPr>
                <w:sz w:val="14"/>
                <w:szCs w:val="14"/>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trading activities, you must acknowledge that you will deliver this prospectus in connection</w:t>
            </w:r>
          </w:p>
        </w:tc>
      </w:tr>
      <w:tr>
        <w:trPr>
          <w:trHeight w:val="175"/>
        </w:trPr>
        <w:tc>
          <w:tcPr>
            <w:tcW w:w="2800" w:type="dxa"/>
            <w:vAlign w:val="bottom"/>
          </w:tcPr>
          <w:p>
            <w:pPr>
              <w:spacing w:after="0"/>
              <w:rPr>
                <w:sz w:val="15"/>
                <w:szCs w:val="15"/>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with any resale of the Exchange Notes. See “Plan of Distribution.”</w:t>
            </w:r>
          </w:p>
        </w:tc>
      </w:tr>
      <w:tr>
        <w:trPr>
          <w:trHeight w:val="243"/>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Exchange Offer expires at 5:00 p.m., New York City time, on             , 2026, unless</w:t>
            </w:r>
          </w:p>
        </w:tc>
      </w:tr>
      <w:tr>
        <w:trPr>
          <w:trHeight w:val="175"/>
        </w:trPr>
        <w:tc>
          <w:tcPr>
            <w:tcW w:w="2800" w:type="dxa"/>
            <w:vAlign w:val="bottom"/>
          </w:tcPr>
          <w:p>
            <w:pPr>
              <w:spacing w:after="0"/>
              <w:rPr>
                <w:sz w:val="15"/>
                <w:szCs w:val="15"/>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extended by us. We do not currently intend to extend the Expiration Date.</w:t>
            </w:r>
          </w:p>
        </w:tc>
      </w:tr>
      <w:tr>
        <w:trPr>
          <w:trHeight w:val="243"/>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Withdrawal</w:t>
            </w: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You may withdraw any tender of your Outstanding Notes at any time prior to the expiration</w:t>
            </w:r>
          </w:p>
        </w:tc>
      </w:tr>
      <w:tr>
        <w:trPr>
          <w:trHeight w:val="163"/>
        </w:trPr>
        <w:tc>
          <w:tcPr>
            <w:tcW w:w="2800" w:type="dxa"/>
            <w:vAlign w:val="bottom"/>
          </w:tcPr>
          <w:p>
            <w:pPr>
              <w:spacing w:after="0"/>
              <w:rPr>
                <w:sz w:val="14"/>
                <w:szCs w:val="14"/>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of the Exchange Offer. We will return to you any of your Outstanding Notes that are not</w:t>
            </w:r>
          </w:p>
        </w:tc>
      </w:tr>
      <w:tr>
        <w:trPr>
          <w:trHeight w:val="163"/>
        </w:trPr>
        <w:tc>
          <w:tcPr>
            <w:tcW w:w="2800" w:type="dxa"/>
            <w:vAlign w:val="bottom"/>
          </w:tcPr>
          <w:p>
            <w:pPr>
              <w:spacing w:after="0"/>
              <w:rPr>
                <w:sz w:val="14"/>
                <w:szCs w:val="14"/>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accepted for any reason for exchange, without expense to you, promptly after the</w:t>
            </w:r>
          </w:p>
        </w:tc>
      </w:tr>
      <w:tr>
        <w:trPr>
          <w:trHeight w:val="175"/>
        </w:trPr>
        <w:tc>
          <w:tcPr>
            <w:tcW w:w="2800" w:type="dxa"/>
            <w:vAlign w:val="bottom"/>
          </w:tcPr>
          <w:p>
            <w:pPr>
              <w:spacing w:after="0"/>
              <w:rPr>
                <w:sz w:val="15"/>
                <w:szCs w:val="15"/>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expiration or termination of the Exchange Offer.</w:t>
            </w:r>
          </w:p>
        </w:tc>
      </w:tr>
      <w:tr>
        <w:trPr>
          <w:trHeight w:val="239"/>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 on the Exchange Notes and the</w:t>
            </w: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Exchange Notes bear interest at the following rates: 3.137% per annum for the 2035</w:t>
            </w:r>
          </w:p>
        </w:tc>
      </w:tr>
      <w:tr>
        <w:trPr>
          <w:trHeight w:val="167"/>
        </w:trPr>
        <w:tc>
          <w:tcPr>
            <w:tcW w:w="2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Outstanding Notes</w:t>
            </w: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Notes and 3.187% per annum for the 2036 Notes. In each case, the Exchange Notes bear</w:t>
            </w:r>
          </w:p>
        </w:tc>
      </w:tr>
      <w:tr>
        <w:trPr>
          <w:trHeight w:val="175"/>
        </w:trPr>
        <w:tc>
          <w:tcPr>
            <w:tcW w:w="2800" w:type="dxa"/>
            <w:vAlign w:val="bottom"/>
          </w:tcPr>
          <w:p>
            <w:pPr>
              <w:spacing w:after="0"/>
              <w:rPr>
                <w:sz w:val="15"/>
                <w:szCs w:val="15"/>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from May 15, 2026.</w:t>
            </w:r>
          </w:p>
        </w:tc>
      </w:tr>
      <w:tr>
        <w:trPr>
          <w:trHeight w:val="243"/>
        </w:trPr>
        <w:tc>
          <w:tcPr>
            <w:tcW w:w="2800" w:type="dxa"/>
            <w:vAlign w:val="bottom"/>
          </w:tcPr>
          <w:p>
            <w:pPr>
              <w:spacing w:after="0"/>
              <w:rPr>
                <w:sz w:val="21"/>
                <w:szCs w:val="21"/>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If your Outstanding Notes are accepted for exchange, you will receive interest on the</w:t>
            </w:r>
          </w:p>
        </w:tc>
      </w:tr>
      <w:tr>
        <w:trPr>
          <w:trHeight w:val="163"/>
        </w:trPr>
        <w:tc>
          <w:tcPr>
            <w:tcW w:w="2800" w:type="dxa"/>
            <w:vAlign w:val="bottom"/>
          </w:tcPr>
          <w:p>
            <w:pPr>
              <w:spacing w:after="0"/>
              <w:rPr>
                <w:sz w:val="14"/>
                <w:szCs w:val="14"/>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corresponding Exchange Notes and not on such Outstanding Notes. Any Outstanding</w:t>
            </w:r>
          </w:p>
        </w:tc>
      </w:tr>
      <w:tr>
        <w:trPr>
          <w:trHeight w:val="163"/>
        </w:trPr>
        <w:tc>
          <w:tcPr>
            <w:tcW w:w="2800" w:type="dxa"/>
            <w:vAlign w:val="bottom"/>
          </w:tcPr>
          <w:p>
            <w:pPr>
              <w:spacing w:after="0"/>
              <w:rPr>
                <w:sz w:val="14"/>
                <w:szCs w:val="14"/>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Notes not accepted for exchange will remain outstanding and continue to accrue interest</w:t>
            </w:r>
          </w:p>
        </w:tc>
      </w:tr>
      <w:tr>
        <w:trPr>
          <w:trHeight w:val="175"/>
        </w:trPr>
        <w:tc>
          <w:tcPr>
            <w:tcW w:w="2800" w:type="dxa"/>
            <w:vAlign w:val="bottom"/>
          </w:tcPr>
          <w:p>
            <w:pPr>
              <w:spacing w:after="0"/>
              <w:rPr>
                <w:sz w:val="15"/>
                <w:szCs w:val="15"/>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according to their terms.</w:t>
            </w:r>
          </w:p>
        </w:tc>
      </w:tr>
      <w:tr>
        <w:trPr>
          <w:trHeight w:val="243"/>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Conditions to the Exchange Offer</w:t>
            </w: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Exchange Offer is not conditioned upon any minimum aggregate principal amount of</w:t>
            </w:r>
          </w:p>
        </w:tc>
      </w:tr>
      <w:tr>
        <w:trPr>
          <w:trHeight w:val="163"/>
        </w:trPr>
        <w:tc>
          <w:tcPr>
            <w:tcW w:w="2800" w:type="dxa"/>
            <w:vAlign w:val="bottom"/>
          </w:tcPr>
          <w:p>
            <w:pPr>
              <w:spacing w:after="0"/>
              <w:rPr>
                <w:sz w:val="14"/>
                <w:szCs w:val="14"/>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any series of the Outstanding Notes being tendered or accepted for exchange. Our</w:t>
            </w:r>
          </w:p>
        </w:tc>
      </w:tr>
      <w:tr>
        <w:trPr>
          <w:trHeight w:val="163"/>
        </w:trPr>
        <w:tc>
          <w:tcPr>
            <w:tcW w:w="2800" w:type="dxa"/>
            <w:vAlign w:val="bottom"/>
          </w:tcPr>
          <w:p>
            <w:pPr>
              <w:spacing w:after="0"/>
              <w:rPr>
                <w:sz w:val="14"/>
                <w:szCs w:val="14"/>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obligation to accept Outstanding Notes tendered in the Exchange Offer is subject to the</w:t>
            </w:r>
          </w:p>
        </w:tc>
      </w:tr>
      <w:tr>
        <w:trPr>
          <w:trHeight w:val="163"/>
        </w:trPr>
        <w:tc>
          <w:tcPr>
            <w:tcW w:w="2800" w:type="dxa"/>
            <w:vAlign w:val="bottom"/>
          </w:tcPr>
          <w:p>
            <w:pPr>
              <w:spacing w:after="0"/>
              <w:rPr>
                <w:sz w:val="14"/>
                <w:szCs w:val="14"/>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satisfaction or waiver of certain customary conditions. We currently expect that each of the</w:t>
            </w:r>
          </w:p>
        </w:tc>
      </w:tr>
      <w:tr>
        <w:trPr>
          <w:trHeight w:val="163"/>
        </w:trPr>
        <w:tc>
          <w:tcPr>
            <w:tcW w:w="2800" w:type="dxa"/>
            <w:vAlign w:val="bottom"/>
          </w:tcPr>
          <w:p>
            <w:pPr>
              <w:spacing w:after="0"/>
              <w:rPr>
                <w:sz w:val="14"/>
                <w:szCs w:val="14"/>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conditions will be satisfied and that no waivers will be necessary. See “The Exchange Offer</w:t>
            </w:r>
          </w:p>
        </w:tc>
      </w:tr>
      <w:tr>
        <w:trPr>
          <w:trHeight w:val="175"/>
        </w:trPr>
        <w:tc>
          <w:tcPr>
            <w:tcW w:w="2800" w:type="dxa"/>
            <w:vAlign w:val="bottom"/>
          </w:tcPr>
          <w:p>
            <w:pPr>
              <w:spacing w:after="0"/>
              <w:rPr>
                <w:sz w:val="15"/>
                <w:szCs w:val="15"/>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—Conditions to the Exchange Offer.”</w:t>
            </w:r>
          </w:p>
        </w:tc>
      </w:tr>
      <w:tr>
        <w:trPr>
          <w:trHeight w:val="243"/>
        </w:trPr>
        <w:tc>
          <w:tcPr>
            <w:tcW w:w="2800" w:type="dxa"/>
            <w:vAlign w:val="bottom"/>
          </w:tcPr>
          <w:p>
            <w:pPr>
              <w:spacing w:after="0"/>
              <w:rPr>
                <w:sz w:val="21"/>
                <w:szCs w:val="21"/>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By means of a separate prospectus and not by means of this prospectus, we are separately</w:t>
            </w:r>
          </w:p>
        </w:tc>
      </w:tr>
      <w:tr>
        <w:trPr>
          <w:trHeight w:val="163"/>
        </w:trPr>
        <w:tc>
          <w:tcPr>
            <w:tcW w:w="2800" w:type="dxa"/>
            <w:vAlign w:val="bottom"/>
          </w:tcPr>
          <w:p>
            <w:pPr>
              <w:spacing w:after="0"/>
              <w:rPr>
                <w:sz w:val="14"/>
                <w:szCs w:val="14"/>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offering to exchange any and all of the notes that we issued on April 14, 2022. The offers</w:t>
            </w:r>
          </w:p>
        </w:tc>
      </w:tr>
      <w:tr>
        <w:trPr>
          <w:trHeight w:val="163"/>
        </w:trPr>
        <w:tc>
          <w:tcPr>
            <w:tcW w:w="2800" w:type="dxa"/>
            <w:vAlign w:val="bottom"/>
          </w:tcPr>
          <w:p>
            <w:pPr>
              <w:spacing w:after="0"/>
              <w:rPr>
                <w:sz w:val="14"/>
                <w:szCs w:val="14"/>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are not conditioned on each other. This prospectus is not an offer to sell or a solicitation of</w:t>
            </w:r>
          </w:p>
        </w:tc>
      </w:tr>
      <w:tr>
        <w:trPr>
          <w:trHeight w:val="175"/>
        </w:trPr>
        <w:tc>
          <w:tcPr>
            <w:tcW w:w="2800" w:type="dxa"/>
            <w:vAlign w:val="bottom"/>
          </w:tcPr>
          <w:p>
            <w:pPr>
              <w:spacing w:after="0"/>
              <w:rPr>
                <w:sz w:val="15"/>
                <w:szCs w:val="15"/>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an offer to buy any securities being offered in the other exchange offer.</w:t>
            </w:r>
          </w:p>
        </w:tc>
      </w:tr>
      <w:tr>
        <w:trPr>
          <w:trHeight w:val="129"/>
        </w:trPr>
        <w:tc>
          <w:tcPr>
            <w:tcW w:w="2800" w:type="dxa"/>
            <w:vAlign w:val="bottom"/>
            <w:tcBorders>
              <w:bottom w:val="single" w:sz="8" w:color="auto"/>
            </w:tcBorders>
          </w:tcPr>
          <w:p>
            <w:pPr>
              <w:spacing w:after="0"/>
              <w:rPr>
                <w:sz w:val="11"/>
                <w:szCs w:val="11"/>
                <w:color w:val="auto"/>
              </w:rPr>
            </w:pPr>
          </w:p>
        </w:tc>
        <w:tc>
          <w:tcPr>
            <w:tcW w:w="5540" w:type="dxa"/>
            <w:vAlign w:val="bottom"/>
            <w:tcBorders>
              <w:bottom w:val="single" w:sz="8" w:color="auto"/>
            </w:tcBorders>
          </w:tcPr>
          <w:p>
            <w:pPr>
              <w:spacing w:after="0"/>
              <w:rPr>
                <w:sz w:val="11"/>
                <w:szCs w:val="11"/>
                <w:color w:val="auto"/>
              </w:rPr>
            </w:pPr>
          </w:p>
        </w:tc>
      </w:tr>
      <w:tr>
        <w:trPr>
          <w:trHeight w:val="270"/>
        </w:trPr>
        <w:tc>
          <w:tcPr>
            <w:tcW w:w="2800" w:type="dxa"/>
            <w:vAlign w:val="bottom"/>
          </w:tcPr>
          <w:p>
            <w:pPr>
              <w:spacing w:after="0"/>
              <w:rPr>
                <w:sz w:val="23"/>
                <w:szCs w:val="23"/>
                <w:color w:val="auto"/>
              </w:rPr>
            </w:pPr>
          </w:p>
        </w:tc>
        <w:tc>
          <w:tcPr>
            <w:tcW w:w="554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-3-</w:t>
            </w:r>
          </w:p>
        </w:tc>
      </w:tr>
    </w:tbl>
    <w:p>
      <w:pPr>
        <w:sectPr>
          <w:pgSz w:w="11900" w:h="16838" w:orient="portrait"/>
          <w:cols w:equalWidth="0" w:num="1">
            <w:col w:w="10159"/>
          </w:cols>
          <w:pgMar w:left="300" w:top="37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29" w:lineRule="exact"/>
        <w:rPr>
          <w:sz w:val="20"/>
          <w:szCs w:val="20"/>
          <w:color w:val="auto"/>
        </w:rPr>
      </w:pPr>
    </w:p>
    <w:tbl>
      <w:tblPr>
        <w:tblLayout w:type="fixed"/>
        <w:tblInd w:w="1490" w:type="dxa"/>
        <w:tblCellMar>
          <w:top w:w="0" w:type="dxa"/>
          <w:left w:w="0" w:type="dxa"/>
          <w:bottom w:w="0" w:type="dxa"/>
          <w:right w:w="0" w:type="dxa"/>
        </w:tblCellMar>
      </w:tblPr>
      <w:tr>
        <w:trPr>
          <w:trHeight w:val="288"/>
        </w:trPr>
        <w:tc>
          <w:tcPr>
            <w:tcW w:w="296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Procedures for Tendering Outstanding Notes</w:t>
            </w:r>
          </w:p>
        </w:tc>
        <w:tc>
          <w:tcPr>
            <w:tcW w:w="538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Holders of Outstanding Notes who wish to participate in the Exchange Offer must comply</w:t>
            </w:r>
          </w:p>
        </w:tc>
      </w:tr>
      <w:tr>
        <w:trPr>
          <w:trHeight w:val="163"/>
        </w:trPr>
        <w:tc>
          <w:tcPr>
            <w:tcW w:w="2960" w:type="dxa"/>
            <w:vAlign w:val="bottom"/>
            <w:tcBorders>
              <w:left w:val="single" w:sz="8" w:color="auto"/>
            </w:tcBorders>
          </w:tcPr>
          <w:p>
            <w:pPr>
              <w:spacing w:after="0"/>
              <w:rPr>
                <w:sz w:val="14"/>
                <w:szCs w:val="14"/>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with the procedures under The Depository Trust Company (“DTC”)’s Automated Tender</w:t>
            </w:r>
          </w:p>
        </w:tc>
      </w:tr>
      <w:tr>
        <w:trPr>
          <w:trHeight w:val="163"/>
        </w:trPr>
        <w:tc>
          <w:tcPr>
            <w:tcW w:w="2960" w:type="dxa"/>
            <w:vAlign w:val="bottom"/>
            <w:tcBorders>
              <w:left w:val="single" w:sz="8" w:color="auto"/>
            </w:tcBorders>
          </w:tcPr>
          <w:p>
            <w:pPr>
              <w:spacing w:after="0"/>
              <w:rPr>
                <w:sz w:val="14"/>
                <w:szCs w:val="14"/>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Offer Program (“ATOP”) prior to the Expiration Date. By participating in the Exchange</w:t>
            </w:r>
          </w:p>
        </w:tc>
      </w:tr>
      <w:tr>
        <w:trPr>
          <w:trHeight w:val="163"/>
        </w:trPr>
        <w:tc>
          <w:tcPr>
            <w:tcW w:w="2960" w:type="dxa"/>
            <w:vAlign w:val="bottom"/>
            <w:tcBorders>
              <w:left w:val="single" w:sz="8" w:color="auto"/>
            </w:tcBorders>
          </w:tcPr>
          <w:p>
            <w:pPr>
              <w:spacing w:after="0"/>
              <w:rPr>
                <w:sz w:val="14"/>
                <w:szCs w:val="14"/>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Offer, a holder of Outstanding Notes will be deemed to have represented to us that, among</w:t>
            </w:r>
          </w:p>
        </w:tc>
      </w:tr>
      <w:tr>
        <w:trPr>
          <w:trHeight w:val="175"/>
        </w:trPr>
        <w:tc>
          <w:tcPr>
            <w:tcW w:w="2960" w:type="dxa"/>
            <w:vAlign w:val="bottom"/>
            <w:tcBorders>
              <w:left w:val="single" w:sz="8" w:color="auto"/>
            </w:tcBorders>
          </w:tcPr>
          <w:p>
            <w:pPr>
              <w:spacing w:after="0"/>
              <w:rPr>
                <w:sz w:val="15"/>
                <w:szCs w:val="15"/>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other things:</w:t>
            </w:r>
          </w:p>
        </w:tc>
      </w:tr>
      <w:tr>
        <w:trPr>
          <w:trHeight w:val="243"/>
        </w:trPr>
        <w:tc>
          <w:tcPr>
            <w:tcW w:w="2960" w:type="dxa"/>
            <w:vAlign w:val="bottom"/>
            <w:tcBorders>
              <w:left w:val="single" w:sz="8" w:color="auto"/>
            </w:tcBorders>
          </w:tcPr>
          <w:p>
            <w:pPr>
              <w:spacing w:after="0"/>
              <w:rPr>
                <w:sz w:val="21"/>
                <w:szCs w:val="21"/>
                <w:color w:val="auto"/>
              </w:rPr>
            </w:pPr>
          </w:p>
        </w:tc>
        <w:tc>
          <w:tcPr>
            <w:tcW w:w="53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   it does not have an arrangement or understanding with any person or entity to</w:t>
            </w:r>
          </w:p>
        </w:tc>
      </w:tr>
      <w:tr>
        <w:trPr>
          <w:trHeight w:val="175"/>
        </w:trPr>
        <w:tc>
          <w:tcPr>
            <w:tcW w:w="2960" w:type="dxa"/>
            <w:vAlign w:val="bottom"/>
            <w:tcBorders>
              <w:left w:val="single" w:sz="8" w:color="auto"/>
            </w:tcBorders>
          </w:tcPr>
          <w:p>
            <w:pPr>
              <w:spacing w:after="0"/>
              <w:rPr>
                <w:sz w:val="15"/>
                <w:szCs w:val="15"/>
                <w:color w:val="auto"/>
              </w:rPr>
            </w:pPr>
          </w:p>
        </w:tc>
        <w:tc>
          <w:tcPr>
            <w:tcW w:w="53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participate in the distribution of the Exchange Notes;</w:t>
            </w:r>
          </w:p>
        </w:tc>
      </w:tr>
      <w:tr>
        <w:trPr>
          <w:trHeight w:val="243"/>
        </w:trPr>
        <w:tc>
          <w:tcPr>
            <w:tcW w:w="2960" w:type="dxa"/>
            <w:vAlign w:val="bottom"/>
            <w:tcBorders>
              <w:left w:val="single" w:sz="8" w:color="auto"/>
            </w:tcBorders>
          </w:tcPr>
          <w:p>
            <w:pPr>
              <w:spacing w:after="0"/>
              <w:rPr>
                <w:sz w:val="21"/>
                <w:szCs w:val="21"/>
                <w:color w:val="auto"/>
              </w:rPr>
            </w:pPr>
          </w:p>
        </w:tc>
        <w:tc>
          <w:tcPr>
            <w:tcW w:w="53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   it is not an “affiliate” of ours within the meaning of Rule 405 under the Securities</w:t>
            </w:r>
          </w:p>
        </w:tc>
      </w:tr>
      <w:tr>
        <w:trPr>
          <w:trHeight w:val="175"/>
        </w:trPr>
        <w:tc>
          <w:tcPr>
            <w:tcW w:w="2960" w:type="dxa"/>
            <w:vAlign w:val="bottom"/>
            <w:tcBorders>
              <w:left w:val="single" w:sz="8" w:color="auto"/>
            </w:tcBorders>
          </w:tcPr>
          <w:p>
            <w:pPr>
              <w:spacing w:after="0"/>
              <w:rPr>
                <w:sz w:val="15"/>
                <w:szCs w:val="15"/>
                <w:color w:val="auto"/>
              </w:rPr>
            </w:pPr>
          </w:p>
        </w:tc>
        <w:tc>
          <w:tcPr>
            <w:tcW w:w="53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Act;</w:t>
            </w:r>
          </w:p>
        </w:tc>
      </w:tr>
      <w:tr>
        <w:trPr>
          <w:trHeight w:val="243"/>
        </w:trPr>
        <w:tc>
          <w:tcPr>
            <w:tcW w:w="2960" w:type="dxa"/>
            <w:vAlign w:val="bottom"/>
            <w:tcBorders>
              <w:left w:val="single" w:sz="8" w:color="auto"/>
            </w:tcBorders>
          </w:tcPr>
          <w:p>
            <w:pPr>
              <w:spacing w:after="0"/>
              <w:rPr>
                <w:sz w:val="21"/>
                <w:szCs w:val="21"/>
                <w:color w:val="auto"/>
              </w:rPr>
            </w:pPr>
          </w:p>
        </w:tc>
        <w:tc>
          <w:tcPr>
            <w:tcW w:w="53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   it is not engaged in, and does not intend to engage in, a distribution of the Exchange</w:t>
            </w:r>
          </w:p>
        </w:tc>
      </w:tr>
      <w:tr>
        <w:trPr>
          <w:trHeight w:val="175"/>
        </w:trPr>
        <w:tc>
          <w:tcPr>
            <w:tcW w:w="2960" w:type="dxa"/>
            <w:vAlign w:val="bottom"/>
            <w:tcBorders>
              <w:left w:val="single" w:sz="8" w:color="auto"/>
            </w:tcBorders>
          </w:tcPr>
          <w:p>
            <w:pPr>
              <w:spacing w:after="0"/>
              <w:rPr>
                <w:sz w:val="15"/>
                <w:szCs w:val="15"/>
                <w:color w:val="auto"/>
              </w:rPr>
            </w:pPr>
          </w:p>
        </w:tc>
        <w:tc>
          <w:tcPr>
            <w:tcW w:w="53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Notes;</w:t>
            </w:r>
          </w:p>
        </w:tc>
      </w:tr>
      <w:tr>
        <w:trPr>
          <w:trHeight w:val="255"/>
        </w:trPr>
        <w:tc>
          <w:tcPr>
            <w:tcW w:w="2960" w:type="dxa"/>
            <w:vAlign w:val="bottom"/>
            <w:tcBorders>
              <w:left w:val="single" w:sz="8" w:color="auto"/>
            </w:tcBorders>
          </w:tcPr>
          <w:p>
            <w:pPr>
              <w:spacing w:after="0"/>
              <w:rPr>
                <w:sz w:val="22"/>
                <w:szCs w:val="22"/>
                <w:color w:val="auto"/>
              </w:rPr>
            </w:pPr>
          </w:p>
        </w:tc>
        <w:tc>
          <w:tcPr>
            <w:tcW w:w="53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   it is acquiring the Exchange Notes in the ordinary course of its business; and</w:t>
            </w:r>
          </w:p>
        </w:tc>
      </w:tr>
      <w:tr>
        <w:trPr>
          <w:trHeight w:val="243"/>
        </w:trPr>
        <w:tc>
          <w:tcPr>
            <w:tcW w:w="2960" w:type="dxa"/>
            <w:vAlign w:val="bottom"/>
            <w:tcBorders>
              <w:left w:val="single" w:sz="8" w:color="auto"/>
            </w:tcBorders>
          </w:tcPr>
          <w:p>
            <w:pPr>
              <w:spacing w:after="0"/>
              <w:rPr>
                <w:sz w:val="21"/>
                <w:szCs w:val="21"/>
                <w:color w:val="auto"/>
              </w:rPr>
            </w:pPr>
          </w:p>
        </w:tc>
        <w:tc>
          <w:tcPr>
            <w:tcW w:w="53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   if it is a broker-dealer that receives Exchange Notes for its own account in exchange</w:t>
            </w:r>
          </w:p>
        </w:tc>
      </w:tr>
      <w:tr>
        <w:trPr>
          <w:trHeight w:val="163"/>
        </w:trPr>
        <w:tc>
          <w:tcPr>
            <w:tcW w:w="2960" w:type="dxa"/>
            <w:vAlign w:val="bottom"/>
            <w:tcBorders>
              <w:left w:val="single" w:sz="8" w:color="auto"/>
            </w:tcBorders>
          </w:tcPr>
          <w:p>
            <w:pPr>
              <w:spacing w:after="0"/>
              <w:rPr>
                <w:sz w:val="14"/>
                <w:szCs w:val="14"/>
                <w:color w:val="auto"/>
              </w:rPr>
            </w:pPr>
          </w:p>
        </w:tc>
        <w:tc>
          <w:tcPr>
            <w:tcW w:w="53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for Outstanding Notes that were acquired as a result of market-making activities or</w:t>
            </w:r>
          </w:p>
        </w:tc>
      </w:tr>
      <w:tr>
        <w:trPr>
          <w:trHeight w:val="163"/>
        </w:trPr>
        <w:tc>
          <w:tcPr>
            <w:tcW w:w="2960" w:type="dxa"/>
            <w:vAlign w:val="bottom"/>
            <w:tcBorders>
              <w:left w:val="single" w:sz="8" w:color="auto"/>
            </w:tcBorders>
          </w:tcPr>
          <w:p>
            <w:pPr>
              <w:spacing w:after="0"/>
              <w:rPr>
                <w:sz w:val="14"/>
                <w:szCs w:val="14"/>
                <w:color w:val="auto"/>
              </w:rPr>
            </w:pPr>
          </w:p>
        </w:tc>
        <w:tc>
          <w:tcPr>
            <w:tcW w:w="53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w w:val="99"/>
              </w:rPr>
              <w:t>other trading activities, it will deliver a prospectus, as required by law, in connection</w:t>
            </w:r>
          </w:p>
        </w:tc>
      </w:tr>
      <w:tr>
        <w:trPr>
          <w:trHeight w:val="175"/>
        </w:trPr>
        <w:tc>
          <w:tcPr>
            <w:tcW w:w="2960" w:type="dxa"/>
            <w:vAlign w:val="bottom"/>
            <w:tcBorders>
              <w:left w:val="single" w:sz="8" w:color="auto"/>
            </w:tcBorders>
          </w:tcPr>
          <w:p>
            <w:pPr>
              <w:spacing w:after="0"/>
              <w:rPr>
                <w:sz w:val="15"/>
                <w:szCs w:val="15"/>
                <w:color w:val="auto"/>
              </w:rPr>
            </w:pPr>
          </w:p>
        </w:tc>
        <w:tc>
          <w:tcPr>
            <w:tcW w:w="53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with any resale of such Exchange Notes.</w:t>
            </w:r>
          </w:p>
        </w:tc>
      </w:tr>
      <w:tr>
        <w:trPr>
          <w:trHeight w:val="243"/>
        </w:trPr>
        <w:tc>
          <w:tcPr>
            <w:tcW w:w="2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Special Procedures for Beneficial Owners</w:t>
            </w: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If you are a beneficial owner of Outstanding Notes that are registered in the name of a</w:t>
            </w:r>
          </w:p>
        </w:tc>
      </w:tr>
      <w:tr>
        <w:trPr>
          <w:trHeight w:val="163"/>
        </w:trPr>
        <w:tc>
          <w:tcPr>
            <w:tcW w:w="2960" w:type="dxa"/>
            <w:vAlign w:val="bottom"/>
            <w:tcBorders>
              <w:left w:val="single" w:sz="8" w:color="auto"/>
            </w:tcBorders>
          </w:tcPr>
          <w:p>
            <w:pPr>
              <w:spacing w:after="0"/>
              <w:rPr>
                <w:sz w:val="14"/>
                <w:szCs w:val="14"/>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broker, dealer, commercial bank, trust company or other nominee, and you wish to tender</w:t>
            </w:r>
          </w:p>
        </w:tc>
      </w:tr>
      <w:tr>
        <w:trPr>
          <w:trHeight w:val="163"/>
        </w:trPr>
        <w:tc>
          <w:tcPr>
            <w:tcW w:w="2960" w:type="dxa"/>
            <w:vAlign w:val="bottom"/>
            <w:tcBorders>
              <w:left w:val="single" w:sz="8" w:color="auto"/>
            </w:tcBorders>
          </w:tcPr>
          <w:p>
            <w:pPr>
              <w:spacing w:after="0"/>
              <w:rPr>
                <w:sz w:val="14"/>
                <w:szCs w:val="14"/>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those Outstanding Notes in the Exchange Offer, you should contact the registered holder</w:t>
            </w:r>
          </w:p>
        </w:tc>
      </w:tr>
      <w:tr>
        <w:trPr>
          <w:trHeight w:val="163"/>
        </w:trPr>
        <w:tc>
          <w:tcPr>
            <w:tcW w:w="2960" w:type="dxa"/>
            <w:vAlign w:val="bottom"/>
            <w:tcBorders>
              <w:left w:val="single" w:sz="8" w:color="auto"/>
            </w:tcBorders>
          </w:tcPr>
          <w:p>
            <w:pPr>
              <w:spacing w:after="0"/>
              <w:rPr>
                <w:sz w:val="14"/>
                <w:szCs w:val="14"/>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promptly and instruct the registered holder to tender those Outstanding Notes on your</w:t>
            </w:r>
          </w:p>
        </w:tc>
      </w:tr>
      <w:tr>
        <w:trPr>
          <w:trHeight w:val="163"/>
        </w:trPr>
        <w:tc>
          <w:tcPr>
            <w:tcW w:w="2960" w:type="dxa"/>
            <w:vAlign w:val="bottom"/>
            <w:tcBorders>
              <w:left w:val="single" w:sz="8" w:color="auto"/>
            </w:tcBorders>
          </w:tcPr>
          <w:p>
            <w:pPr>
              <w:spacing w:after="0"/>
              <w:rPr>
                <w:sz w:val="14"/>
                <w:szCs w:val="14"/>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behalf. If you wish to tender on your own behalf, you must, prior to delivering your</w:t>
            </w:r>
          </w:p>
        </w:tc>
      </w:tr>
      <w:tr>
        <w:trPr>
          <w:trHeight w:val="163"/>
        </w:trPr>
        <w:tc>
          <w:tcPr>
            <w:tcW w:w="2960" w:type="dxa"/>
            <w:vAlign w:val="bottom"/>
            <w:tcBorders>
              <w:left w:val="single" w:sz="8" w:color="auto"/>
            </w:tcBorders>
          </w:tcPr>
          <w:p>
            <w:pPr>
              <w:spacing w:after="0"/>
              <w:rPr>
                <w:sz w:val="14"/>
                <w:szCs w:val="14"/>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Outstanding Notes, either make appropriate arrangements to register ownership of the</w:t>
            </w:r>
          </w:p>
        </w:tc>
      </w:tr>
      <w:tr>
        <w:trPr>
          <w:trHeight w:val="163"/>
        </w:trPr>
        <w:tc>
          <w:tcPr>
            <w:tcW w:w="2960" w:type="dxa"/>
            <w:vAlign w:val="bottom"/>
            <w:tcBorders>
              <w:left w:val="single" w:sz="8" w:color="auto"/>
            </w:tcBorders>
          </w:tcPr>
          <w:p>
            <w:pPr>
              <w:spacing w:after="0"/>
              <w:rPr>
                <w:sz w:val="14"/>
                <w:szCs w:val="14"/>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Outstanding Notes in your name or obtain a properly completed bond power from the</w:t>
            </w:r>
          </w:p>
        </w:tc>
      </w:tr>
      <w:tr>
        <w:trPr>
          <w:trHeight w:val="163"/>
        </w:trPr>
        <w:tc>
          <w:tcPr>
            <w:tcW w:w="2960" w:type="dxa"/>
            <w:vAlign w:val="bottom"/>
            <w:tcBorders>
              <w:left w:val="single" w:sz="8" w:color="auto"/>
            </w:tcBorders>
          </w:tcPr>
          <w:p>
            <w:pPr>
              <w:spacing w:after="0"/>
              <w:rPr>
                <w:sz w:val="14"/>
                <w:szCs w:val="14"/>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w w:val="99"/>
              </w:rPr>
              <w:t>registered holder. The transfer of registered ownership may take considerable time and may</w:t>
            </w:r>
          </w:p>
        </w:tc>
      </w:tr>
      <w:tr>
        <w:trPr>
          <w:trHeight w:val="175"/>
        </w:trPr>
        <w:tc>
          <w:tcPr>
            <w:tcW w:w="2960" w:type="dxa"/>
            <w:vAlign w:val="bottom"/>
            <w:tcBorders>
              <w:left w:val="single" w:sz="8" w:color="auto"/>
            </w:tcBorders>
          </w:tcPr>
          <w:p>
            <w:pPr>
              <w:spacing w:after="0"/>
              <w:rPr>
                <w:sz w:val="15"/>
                <w:szCs w:val="15"/>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not be able to be completed prior to the Expiration Date.</w:t>
            </w:r>
          </w:p>
        </w:tc>
      </w:tr>
      <w:tr>
        <w:trPr>
          <w:trHeight w:val="243"/>
        </w:trPr>
        <w:tc>
          <w:tcPr>
            <w:tcW w:w="2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 Letter of Transmittal</w:t>
            </w: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There is no letter of transmittal for Outstanding Notes tendered in connection with the</w:t>
            </w:r>
          </w:p>
        </w:tc>
      </w:tr>
      <w:tr>
        <w:trPr>
          <w:trHeight w:val="163"/>
        </w:trPr>
        <w:tc>
          <w:tcPr>
            <w:tcW w:w="2960" w:type="dxa"/>
            <w:vAlign w:val="bottom"/>
            <w:tcBorders>
              <w:left w:val="single" w:sz="8" w:color="auto"/>
            </w:tcBorders>
          </w:tcPr>
          <w:p>
            <w:pPr>
              <w:spacing w:after="0"/>
              <w:rPr>
                <w:sz w:val="14"/>
                <w:szCs w:val="14"/>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Exchange Offer. The valid electronic submission of acceptance through ATOP shall</w:t>
            </w:r>
          </w:p>
        </w:tc>
      </w:tr>
      <w:tr>
        <w:trPr>
          <w:trHeight w:val="175"/>
        </w:trPr>
        <w:tc>
          <w:tcPr>
            <w:tcW w:w="2960" w:type="dxa"/>
            <w:vAlign w:val="bottom"/>
            <w:tcBorders>
              <w:left w:val="single" w:sz="8" w:color="auto"/>
            </w:tcBorders>
          </w:tcPr>
          <w:p>
            <w:pPr>
              <w:spacing w:after="0"/>
              <w:rPr>
                <w:sz w:val="15"/>
                <w:szCs w:val="15"/>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constitute delivery of the Outstanding Notes in connection with the Exchange Offer.</w:t>
            </w:r>
          </w:p>
        </w:tc>
      </w:tr>
      <w:tr>
        <w:trPr>
          <w:trHeight w:val="243"/>
        </w:trPr>
        <w:tc>
          <w:tcPr>
            <w:tcW w:w="2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 Guaranteed Delivery Procedures</w:t>
            </w: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There are no guaranteed delivery procedures for the Exchange Offer. Holders must tender</w:t>
            </w:r>
          </w:p>
        </w:tc>
      </w:tr>
      <w:tr>
        <w:trPr>
          <w:trHeight w:val="163"/>
        </w:trPr>
        <w:tc>
          <w:tcPr>
            <w:tcW w:w="2960" w:type="dxa"/>
            <w:vAlign w:val="bottom"/>
            <w:tcBorders>
              <w:left w:val="single" w:sz="8" w:color="auto"/>
            </w:tcBorders>
          </w:tcPr>
          <w:p>
            <w:pPr>
              <w:spacing w:after="0"/>
              <w:rPr>
                <w:sz w:val="14"/>
                <w:szCs w:val="14"/>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their Outstanding Notes in accordance with DTC’s ATOP procedures prior to the</w:t>
            </w:r>
          </w:p>
        </w:tc>
      </w:tr>
      <w:tr>
        <w:trPr>
          <w:trHeight w:val="175"/>
        </w:trPr>
        <w:tc>
          <w:tcPr>
            <w:tcW w:w="2960" w:type="dxa"/>
            <w:vAlign w:val="bottom"/>
            <w:tcBorders>
              <w:left w:val="single" w:sz="8" w:color="auto"/>
            </w:tcBorders>
          </w:tcPr>
          <w:p>
            <w:pPr>
              <w:spacing w:after="0"/>
              <w:rPr>
                <w:sz w:val="15"/>
                <w:szCs w:val="15"/>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Expiration Date.</w:t>
            </w:r>
          </w:p>
        </w:tc>
      </w:tr>
      <w:tr>
        <w:trPr>
          <w:trHeight w:val="243"/>
        </w:trPr>
        <w:tc>
          <w:tcPr>
            <w:tcW w:w="29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Effect on Holders of Outstanding Notes</w:t>
            </w: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As a result of the making of, and upon acceptance for exchange of all validly tendered</w:t>
            </w:r>
          </w:p>
        </w:tc>
      </w:tr>
      <w:tr>
        <w:trPr>
          <w:trHeight w:val="163"/>
        </w:trPr>
        <w:tc>
          <w:tcPr>
            <w:tcW w:w="2960" w:type="dxa"/>
            <w:vAlign w:val="bottom"/>
            <w:tcBorders>
              <w:left w:val="single" w:sz="8" w:color="auto"/>
            </w:tcBorders>
          </w:tcPr>
          <w:p>
            <w:pPr>
              <w:spacing w:after="0"/>
              <w:rPr>
                <w:sz w:val="14"/>
                <w:szCs w:val="14"/>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Outstanding Notes pursuant to the terms of, the Exchange Offer, we will have fulfilled a</w:t>
            </w:r>
          </w:p>
        </w:tc>
      </w:tr>
      <w:tr>
        <w:trPr>
          <w:trHeight w:val="175"/>
        </w:trPr>
        <w:tc>
          <w:tcPr>
            <w:tcW w:w="2960" w:type="dxa"/>
            <w:vAlign w:val="bottom"/>
            <w:tcBorders>
              <w:left w:val="single" w:sz="8" w:color="auto"/>
            </w:tcBorders>
          </w:tcPr>
          <w:p>
            <w:pPr>
              <w:spacing w:after="0"/>
              <w:rPr>
                <w:sz w:val="15"/>
                <w:szCs w:val="15"/>
                <w:color w:val="auto"/>
              </w:rPr>
            </w:pPr>
          </w:p>
        </w:tc>
        <w:tc>
          <w:tcPr>
            <w:tcW w:w="53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covenant under the</w:t>
            </w:r>
          </w:p>
        </w:tc>
      </w:tr>
      <w:tr>
        <w:trPr>
          <w:trHeight w:val="129"/>
        </w:trPr>
        <w:tc>
          <w:tcPr>
            <w:tcW w:w="2960" w:type="dxa"/>
            <w:vAlign w:val="bottom"/>
            <w:tcBorders>
              <w:left w:val="single" w:sz="8" w:color="auto"/>
              <w:bottom w:val="single" w:sz="8" w:color="auto"/>
            </w:tcBorders>
          </w:tcPr>
          <w:p>
            <w:pPr>
              <w:spacing w:after="0"/>
              <w:rPr>
                <w:sz w:val="11"/>
                <w:szCs w:val="11"/>
                <w:color w:val="auto"/>
              </w:rPr>
            </w:pPr>
          </w:p>
        </w:tc>
        <w:tc>
          <w:tcPr>
            <w:tcW w:w="5380" w:type="dxa"/>
            <w:vAlign w:val="bottom"/>
            <w:tcBorders>
              <w:bottom w:val="single" w:sz="8" w:color="auto"/>
              <w:right w:val="single" w:sz="8" w:color="auto"/>
            </w:tcBorders>
          </w:tcPr>
          <w:p>
            <w:pPr>
              <w:spacing w:after="0"/>
              <w:rPr>
                <w:sz w:val="11"/>
                <w:szCs w:val="11"/>
                <w:color w:val="auto"/>
              </w:rPr>
            </w:pPr>
          </w:p>
        </w:tc>
      </w:tr>
      <w:tr>
        <w:trPr>
          <w:trHeight w:val="270"/>
        </w:trPr>
        <w:tc>
          <w:tcPr>
            <w:tcW w:w="2960" w:type="dxa"/>
            <w:vAlign w:val="bottom"/>
          </w:tcPr>
          <w:p>
            <w:pPr>
              <w:spacing w:after="0"/>
              <w:rPr>
                <w:sz w:val="23"/>
                <w:szCs w:val="23"/>
                <w:color w:val="auto"/>
              </w:rPr>
            </w:pPr>
          </w:p>
        </w:tc>
        <w:tc>
          <w:tcPr>
            <w:tcW w:w="53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-4-</w:t>
            </w:r>
          </w:p>
        </w:tc>
      </w:tr>
    </w:tbl>
    <w:p>
      <w:pPr>
        <w:sectPr>
          <w:pgSz w:w="11900" w:h="16838" w:orient="portrait"/>
          <w:cols w:equalWidth="0" w:num="1">
            <w:col w:w="10159"/>
          </w:cols>
          <w:pgMar w:left="300" w:top="37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29" w:lineRule="exact"/>
        <w:rPr>
          <w:sz w:val="20"/>
          <w:szCs w:val="20"/>
          <w:color w:val="auto"/>
        </w:rPr>
      </w:pPr>
    </w:p>
    <w:tbl>
      <w:tblPr>
        <w:tblLayout w:type="fixed"/>
        <w:tblInd w:w="1490" w:type="dxa"/>
        <w:tblCellMar>
          <w:top w:w="0" w:type="dxa"/>
          <w:left w:w="0" w:type="dxa"/>
          <w:bottom w:w="0" w:type="dxa"/>
          <w:right w:w="0" w:type="dxa"/>
        </w:tblCellMar>
      </w:tblPr>
      <w:tr>
        <w:trPr>
          <w:trHeight w:val="288"/>
        </w:trPr>
        <w:tc>
          <w:tcPr>
            <w:tcW w:w="2980" w:type="dxa"/>
            <w:vAlign w:val="bottom"/>
            <w:tcBorders>
              <w:top w:val="single" w:sz="8" w:color="auto"/>
              <w:left w:val="single" w:sz="8" w:color="auto"/>
            </w:tcBorders>
          </w:tcPr>
          <w:p>
            <w:pPr>
              <w:spacing w:after="0"/>
              <w:rPr>
                <w:sz w:val="24"/>
                <w:szCs w:val="24"/>
                <w:color w:val="auto"/>
              </w:rPr>
            </w:pPr>
          </w:p>
        </w:tc>
        <w:tc>
          <w:tcPr>
            <w:tcW w:w="536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registration rights agreement. Accordingly, there will be no increase in the applicable</w:t>
            </w:r>
          </w:p>
        </w:tc>
      </w:tr>
      <w:tr>
        <w:trPr>
          <w:trHeight w:val="163"/>
        </w:trPr>
        <w:tc>
          <w:tcPr>
            <w:tcW w:w="298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interest rate on the Outstanding Notes under the circumstances described in the registration</w:t>
            </w:r>
          </w:p>
        </w:tc>
      </w:tr>
      <w:tr>
        <w:trPr>
          <w:trHeight w:val="163"/>
        </w:trPr>
        <w:tc>
          <w:tcPr>
            <w:tcW w:w="298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rights agreement. If you do not tender your Outstanding Notes in the Exchange Offer, you</w:t>
            </w:r>
          </w:p>
        </w:tc>
      </w:tr>
      <w:tr>
        <w:trPr>
          <w:trHeight w:val="163"/>
        </w:trPr>
        <w:tc>
          <w:tcPr>
            <w:tcW w:w="298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will continue to be entitled to all the rights and limitations applicable to the Outstanding</w:t>
            </w:r>
          </w:p>
        </w:tc>
      </w:tr>
      <w:tr>
        <w:trPr>
          <w:trHeight w:val="163"/>
        </w:trPr>
        <w:tc>
          <w:tcPr>
            <w:tcW w:w="298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Notes as set forth in the Indenture under which the Outstanding Notes were issued, except</w:t>
            </w:r>
          </w:p>
        </w:tc>
      </w:tr>
      <w:tr>
        <w:trPr>
          <w:trHeight w:val="163"/>
        </w:trPr>
        <w:tc>
          <w:tcPr>
            <w:tcW w:w="298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we will not have any further obligation to you to provide for the exchange and registration</w:t>
            </w:r>
          </w:p>
        </w:tc>
      </w:tr>
      <w:tr>
        <w:trPr>
          <w:trHeight w:val="175"/>
        </w:trPr>
        <w:tc>
          <w:tcPr>
            <w:tcW w:w="298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of the Outstanding Notes under the registration rights agreement.</w:t>
            </w:r>
          </w:p>
        </w:tc>
      </w:tr>
      <w:tr>
        <w:trPr>
          <w:trHeight w:val="254"/>
        </w:trPr>
        <w:tc>
          <w:tcPr>
            <w:tcW w:w="29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Consequences of Failure to Exchange</w:t>
            </w: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All untendered Outstanding Notes will continue to be subject to the transfer restrictions set</w:t>
            </w:r>
          </w:p>
        </w:tc>
      </w:tr>
      <w:tr>
        <w:trPr>
          <w:trHeight w:val="163"/>
        </w:trPr>
        <w:tc>
          <w:tcPr>
            <w:tcW w:w="298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forth in the Outstanding Notes and in the Indenture under which the Outstanding Notes</w:t>
            </w:r>
          </w:p>
        </w:tc>
      </w:tr>
      <w:tr>
        <w:trPr>
          <w:trHeight w:val="163"/>
        </w:trPr>
        <w:tc>
          <w:tcPr>
            <w:tcW w:w="298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were issued. In general, the Outstanding Notes may not be offered or sold, except in a</w:t>
            </w:r>
          </w:p>
        </w:tc>
      </w:tr>
      <w:tr>
        <w:trPr>
          <w:trHeight w:val="163"/>
        </w:trPr>
        <w:tc>
          <w:tcPr>
            <w:tcW w:w="298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transaction that is registered under the Securities Act or pursuant to an exemption from, or</w:t>
            </w:r>
          </w:p>
        </w:tc>
      </w:tr>
      <w:tr>
        <w:trPr>
          <w:trHeight w:val="163"/>
        </w:trPr>
        <w:tc>
          <w:tcPr>
            <w:tcW w:w="298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in a transaction not subject to, the Securities Act and applicable state securities laws. Other</w:t>
            </w:r>
          </w:p>
        </w:tc>
      </w:tr>
      <w:tr>
        <w:trPr>
          <w:trHeight w:val="163"/>
        </w:trPr>
        <w:tc>
          <w:tcPr>
            <w:tcW w:w="298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than in connection with the Exchange Offer, we do not anticipate that we will register the</w:t>
            </w:r>
          </w:p>
        </w:tc>
      </w:tr>
      <w:tr>
        <w:trPr>
          <w:trHeight w:val="163"/>
        </w:trPr>
        <w:tc>
          <w:tcPr>
            <w:tcW w:w="298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offer and sale of the Outstanding Notes under the Securities Act. To the extent that</w:t>
            </w:r>
          </w:p>
        </w:tc>
      </w:tr>
      <w:tr>
        <w:trPr>
          <w:trHeight w:val="163"/>
        </w:trPr>
        <w:tc>
          <w:tcPr>
            <w:tcW w:w="298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Outstanding Notes are tendered and accepted in the Exchange Offer, the trading market for</w:t>
            </w:r>
          </w:p>
        </w:tc>
      </w:tr>
      <w:tr>
        <w:trPr>
          <w:trHeight w:val="175"/>
        </w:trPr>
        <w:tc>
          <w:tcPr>
            <w:tcW w:w="298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untendered Outstanding Notes could be adversely affected.</w:t>
            </w:r>
          </w:p>
        </w:tc>
      </w:tr>
      <w:tr>
        <w:trPr>
          <w:trHeight w:val="239"/>
        </w:trPr>
        <w:tc>
          <w:tcPr>
            <w:tcW w:w="29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U.S. Federal Income Tax Consequences of the</w:t>
            </w: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The exchange of Outstanding Notes for Exchange Notes in the Exchange Offer will not</w:t>
            </w:r>
          </w:p>
        </w:tc>
      </w:tr>
      <w:tr>
        <w:trPr>
          <w:trHeight w:val="167"/>
        </w:trPr>
        <w:tc>
          <w:tcPr>
            <w:tcW w:w="29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Exchange Offer</w:t>
            </w: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constitute a taxable event for United States federal income tax purposes. See “Certain U.S.</w:t>
            </w:r>
          </w:p>
        </w:tc>
      </w:tr>
      <w:tr>
        <w:trPr>
          <w:trHeight w:val="175"/>
        </w:trPr>
        <w:tc>
          <w:tcPr>
            <w:tcW w:w="298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Federal Income Tax Considerations.”</w:t>
            </w:r>
          </w:p>
        </w:tc>
      </w:tr>
      <w:tr>
        <w:trPr>
          <w:trHeight w:val="243"/>
        </w:trPr>
        <w:tc>
          <w:tcPr>
            <w:tcW w:w="29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We will not receive any cash proceeds from the issuance of Exchange Notes in the</w:t>
            </w:r>
          </w:p>
        </w:tc>
      </w:tr>
      <w:tr>
        <w:trPr>
          <w:trHeight w:val="175"/>
        </w:trPr>
        <w:tc>
          <w:tcPr>
            <w:tcW w:w="298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Exchange Offer. See “Use of Proceeds.”</w:t>
            </w:r>
          </w:p>
        </w:tc>
      </w:tr>
      <w:tr>
        <w:trPr>
          <w:trHeight w:val="243"/>
        </w:trPr>
        <w:tc>
          <w:tcPr>
            <w:tcW w:w="29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Exchange Agent</w:t>
            </w: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Wilmington Trust, National Association, is the Exchange Agent for the Exchange Offer.</w:t>
            </w:r>
          </w:p>
        </w:tc>
      </w:tr>
      <w:tr>
        <w:trPr>
          <w:trHeight w:val="163"/>
        </w:trPr>
        <w:tc>
          <w:tcPr>
            <w:tcW w:w="298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The address and telephone number of the Exchange Agent are set forth under “The</w:t>
            </w:r>
          </w:p>
        </w:tc>
      </w:tr>
      <w:tr>
        <w:trPr>
          <w:trHeight w:val="175"/>
        </w:trPr>
        <w:tc>
          <w:tcPr>
            <w:tcW w:w="298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Exchange Offer—Exchange Agent.”</w:t>
            </w:r>
          </w:p>
        </w:tc>
      </w:tr>
      <w:tr>
        <w:trPr>
          <w:trHeight w:val="129"/>
        </w:trPr>
        <w:tc>
          <w:tcPr>
            <w:tcW w:w="2980" w:type="dxa"/>
            <w:vAlign w:val="bottom"/>
            <w:tcBorders>
              <w:left w:val="single" w:sz="8" w:color="auto"/>
              <w:bottom w:val="single" w:sz="8" w:color="auto"/>
            </w:tcBorders>
          </w:tcPr>
          <w:p>
            <w:pPr>
              <w:spacing w:after="0"/>
              <w:rPr>
                <w:sz w:val="11"/>
                <w:szCs w:val="11"/>
                <w:color w:val="auto"/>
              </w:rPr>
            </w:pPr>
          </w:p>
        </w:tc>
        <w:tc>
          <w:tcPr>
            <w:tcW w:w="5360" w:type="dxa"/>
            <w:vAlign w:val="bottom"/>
            <w:tcBorders>
              <w:bottom w:val="single" w:sz="8" w:color="auto"/>
              <w:right w:val="single" w:sz="8" w:color="auto"/>
            </w:tcBorders>
          </w:tcPr>
          <w:p>
            <w:pPr>
              <w:spacing w:after="0"/>
              <w:rPr>
                <w:sz w:val="11"/>
                <w:szCs w:val="11"/>
                <w:color w:val="auto"/>
              </w:rPr>
            </w:pPr>
          </w:p>
        </w:tc>
      </w:tr>
      <w:tr>
        <w:trPr>
          <w:trHeight w:val="270"/>
        </w:trPr>
        <w:tc>
          <w:tcPr>
            <w:tcW w:w="2980" w:type="dxa"/>
            <w:vAlign w:val="bottom"/>
          </w:tcPr>
          <w:p>
            <w:pPr>
              <w:spacing w:after="0"/>
              <w:rPr>
                <w:sz w:val="23"/>
                <w:szCs w:val="23"/>
                <w:color w:val="auto"/>
              </w:rPr>
            </w:pPr>
          </w:p>
        </w:tc>
        <w:tc>
          <w:tcPr>
            <w:tcW w:w="53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-5-</w:t>
            </w:r>
          </w:p>
        </w:tc>
      </w:tr>
    </w:tbl>
    <w:p>
      <w:pPr>
        <w:sectPr>
          <w:pgSz w:w="11900" w:h="16838" w:orient="portrait"/>
          <w:cols w:equalWidth="0" w:num="1">
            <w:col w:w="10159"/>
          </w:cols>
          <w:pgMar w:left="300" w:top="37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158115</wp:posOffset>
            </wp:positionV>
            <wp:extent cx="5297805" cy="47790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5297805" cy="4779010"/>
                    </a:xfrm>
                    <a:prstGeom prst="rect">
                      <a:avLst/>
                    </a:prstGeom>
                    <a:noFill/>
                  </pic:spPr>
                </pic:pic>
              </a:graphicData>
            </a:graphic>
          </wp:anchor>
        </w:drawing>
      </w:r>
    </w:p>
    <w:p>
      <w:pPr>
        <w:spacing w:after="0" w:line="3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Exchange Notes</w:t>
      </w:r>
    </w:p>
    <w:p>
      <w:pPr>
        <w:spacing w:after="0" w:line="168" w:lineRule="exact"/>
        <w:rPr>
          <w:sz w:val="20"/>
          <w:szCs w:val="20"/>
          <w:color w:val="auto"/>
        </w:rPr>
      </w:pPr>
    </w:p>
    <w:p>
      <w:pPr>
        <w:ind w:left="1620" w:right="519" w:firstLine="322"/>
        <w:spacing w:after="0" w:line="248" w:lineRule="auto"/>
        <w:rPr>
          <w:sz w:val="20"/>
          <w:szCs w:val="20"/>
          <w:color w:val="auto"/>
        </w:rPr>
      </w:pPr>
      <w:r>
        <w:rPr>
          <w:rFonts w:ascii="Times New Roman" w:cs="Times New Roman" w:eastAsia="Times New Roman" w:hAnsi="Times New Roman"/>
          <w:sz w:val="14"/>
          <w:szCs w:val="14"/>
          <w:i w:val="1"/>
          <w:iCs w:val="1"/>
          <w:color w:val="auto"/>
        </w:rPr>
        <w:t>The summary below describes the principal terms of the Exchange Notes. Certain of the terms and conditions described below are subject to important limitations and exceptions. The “Description of Exchange Notes” section of this prospectus contains more detailed descriptions of the terms and conditions of the Outstanding Notes and the Exchange Notes. The Exchange Notes will have terms identical in all material respects to the Outstanding Notes, except that the offer and sale of the Exchange Notes will be registered under the Securities Act and the Exchange Notes will not contain terms with respect to transfer restrictions, registration rights and additional payments upon a failure to fulfill certain of our obligations under the registration rights agreement.</w:t>
      </w:r>
    </w:p>
    <w:p>
      <w:pPr>
        <w:spacing w:after="0" w:line="72" w:lineRule="exact"/>
        <w:rPr>
          <w:sz w:val="20"/>
          <w:szCs w:val="20"/>
          <w:color w:val="auto"/>
        </w:rPr>
      </w:pPr>
    </w:p>
    <w:tbl>
      <w:tblPr>
        <w:tblLayout w:type="fixed"/>
        <w:tblInd w:w="1480" w:type="dxa"/>
        <w:tblCellMar>
          <w:top w:w="0" w:type="dxa"/>
          <w:left w:w="0" w:type="dxa"/>
          <w:bottom w:w="0" w:type="dxa"/>
          <w:right w:w="0" w:type="dxa"/>
        </w:tblCellMar>
      </w:tblPr>
      <w:tr>
        <w:trPr>
          <w:trHeight w:val="179"/>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Broadcom Inc., a Delaware corporation.</w:t>
            </w:r>
          </w:p>
        </w:tc>
      </w:tr>
      <w:tr>
        <w:trPr>
          <w:trHeight w:val="266"/>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Notes Offered</w:t>
            </w: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$3,249,984,000 aggregate principal amount of 3.137% Senior Notes due 2035.</w:t>
            </w:r>
          </w:p>
        </w:tc>
      </w:tr>
      <w:tr>
        <w:trPr>
          <w:trHeight w:val="266"/>
        </w:trPr>
        <w:tc>
          <w:tcPr>
            <w:tcW w:w="2340" w:type="dxa"/>
            <w:vAlign w:val="bottom"/>
          </w:tcPr>
          <w:p>
            <w:pPr>
              <w:spacing w:after="0"/>
              <w:rPr>
                <w:sz w:val="23"/>
                <w:szCs w:val="23"/>
                <w:color w:val="auto"/>
              </w:rPr>
            </w:pP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$2,750,000,000 aggregate principal amount of 3.187% Senior Notes due 2036.</w:t>
            </w:r>
          </w:p>
        </w:tc>
      </w:tr>
      <w:tr>
        <w:trPr>
          <w:trHeight w:val="255"/>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3.137% per annum for the 2035 Notes.</w:t>
            </w:r>
          </w:p>
        </w:tc>
      </w:tr>
      <w:tr>
        <w:trPr>
          <w:trHeight w:val="266"/>
        </w:trPr>
        <w:tc>
          <w:tcPr>
            <w:tcW w:w="2340" w:type="dxa"/>
            <w:vAlign w:val="bottom"/>
          </w:tcPr>
          <w:p>
            <w:pPr>
              <w:spacing w:after="0"/>
              <w:rPr>
                <w:sz w:val="23"/>
                <w:szCs w:val="23"/>
                <w:color w:val="auto"/>
              </w:rPr>
            </w:pP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3.187% per annum for the 2036 Notes.</w:t>
            </w:r>
          </w:p>
        </w:tc>
      </w:tr>
      <w:tr>
        <w:trPr>
          <w:trHeight w:val="243"/>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 Payment Dates</w:t>
            </w: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Interest on each series of Exchange Notes will be payable semi-annually in cash in arrears</w:t>
            </w:r>
          </w:p>
        </w:tc>
      </w:tr>
      <w:tr>
        <w:trPr>
          <w:trHeight w:val="175"/>
        </w:trPr>
        <w:tc>
          <w:tcPr>
            <w:tcW w:w="2340" w:type="dxa"/>
            <w:vAlign w:val="bottom"/>
          </w:tcPr>
          <w:p>
            <w:pPr>
              <w:spacing w:after="0"/>
              <w:rPr>
                <w:sz w:val="15"/>
                <w:szCs w:val="15"/>
                <w:color w:val="auto"/>
              </w:rPr>
            </w:pP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on May 15 and November 15 of each year, commencing on November 15, 2026.</w:t>
            </w:r>
          </w:p>
        </w:tc>
      </w:tr>
      <w:tr>
        <w:trPr>
          <w:trHeight w:val="243"/>
        </w:trPr>
        <w:tc>
          <w:tcPr>
            <w:tcW w:w="2340" w:type="dxa"/>
            <w:vAlign w:val="bottom"/>
          </w:tcPr>
          <w:p>
            <w:pPr>
              <w:spacing w:after="0"/>
              <w:rPr>
                <w:sz w:val="21"/>
                <w:szCs w:val="21"/>
                <w:color w:val="auto"/>
              </w:rPr>
            </w:pP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Interest accrues from May 15, 2026, the most recent date on which interest has been paid</w:t>
            </w:r>
          </w:p>
        </w:tc>
      </w:tr>
      <w:tr>
        <w:trPr>
          <w:trHeight w:val="175"/>
        </w:trPr>
        <w:tc>
          <w:tcPr>
            <w:tcW w:w="2340" w:type="dxa"/>
            <w:vAlign w:val="bottom"/>
          </w:tcPr>
          <w:p>
            <w:pPr>
              <w:spacing w:after="0"/>
              <w:rPr>
                <w:sz w:val="15"/>
                <w:szCs w:val="15"/>
                <w:color w:val="auto"/>
              </w:rPr>
            </w:pP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on the Outstanding Notes.</w:t>
            </w:r>
          </w:p>
        </w:tc>
      </w:tr>
      <w:tr>
        <w:trPr>
          <w:trHeight w:val="255"/>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Maturity Dates</w:t>
            </w: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November 15, 2035 for the 2035 Notes.</w:t>
            </w:r>
          </w:p>
        </w:tc>
      </w:tr>
      <w:tr>
        <w:trPr>
          <w:trHeight w:val="266"/>
        </w:trPr>
        <w:tc>
          <w:tcPr>
            <w:tcW w:w="2340" w:type="dxa"/>
            <w:vAlign w:val="bottom"/>
          </w:tcPr>
          <w:p>
            <w:pPr>
              <w:spacing w:after="0"/>
              <w:rPr>
                <w:sz w:val="23"/>
                <w:szCs w:val="23"/>
                <w:color w:val="auto"/>
              </w:rPr>
            </w:pP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November 15, 2036 for the 2036 Notes.</w:t>
            </w:r>
          </w:p>
        </w:tc>
      </w:tr>
      <w:tr>
        <w:trPr>
          <w:trHeight w:val="243"/>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 Guarantees</w:t>
            </w: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Neither the Outstanding Notes are, nor will the Exchange Notes be, guaranteed. See</w:t>
            </w:r>
          </w:p>
        </w:tc>
      </w:tr>
      <w:tr>
        <w:trPr>
          <w:trHeight w:val="175"/>
        </w:trPr>
        <w:tc>
          <w:tcPr>
            <w:tcW w:w="2340" w:type="dxa"/>
            <w:vAlign w:val="bottom"/>
          </w:tcPr>
          <w:p>
            <w:pPr>
              <w:spacing w:after="0"/>
              <w:rPr>
                <w:sz w:val="15"/>
                <w:szCs w:val="15"/>
                <w:color w:val="auto"/>
              </w:rPr>
            </w:pP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“Description of Exchange Notes—Guarantees.”</w:t>
            </w:r>
          </w:p>
        </w:tc>
      </w:tr>
      <w:tr>
        <w:trPr>
          <w:trHeight w:val="255"/>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Ranking</w:t>
            </w: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The Exchange Notes will be the Issuer’s senior unsecured obligations and will:</w:t>
            </w:r>
          </w:p>
        </w:tc>
      </w:tr>
      <w:tr>
        <w:trPr>
          <w:trHeight w:val="254"/>
        </w:trPr>
        <w:tc>
          <w:tcPr>
            <w:tcW w:w="2340" w:type="dxa"/>
            <w:vAlign w:val="bottom"/>
          </w:tcPr>
          <w:p>
            <w:pPr>
              <w:spacing w:after="0"/>
              <w:rPr>
                <w:sz w:val="22"/>
                <w:szCs w:val="22"/>
                <w:color w:val="auto"/>
              </w:rPr>
            </w:pPr>
          </w:p>
        </w:tc>
        <w:tc>
          <w:tcPr>
            <w:tcW w:w="600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   rank equal in right of payment with all of the Issuer’s other existing and future</w:t>
            </w:r>
          </w:p>
        </w:tc>
      </w:tr>
      <w:tr>
        <w:trPr>
          <w:trHeight w:val="175"/>
        </w:trPr>
        <w:tc>
          <w:tcPr>
            <w:tcW w:w="2340" w:type="dxa"/>
            <w:vAlign w:val="bottom"/>
          </w:tcPr>
          <w:p>
            <w:pPr>
              <w:spacing w:after="0"/>
              <w:rPr>
                <w:sz w:val="15"/>
                <w:szCs w:val="15"/>
                <w:color w:val="auto"/>
              </w:rPr>
            </w:pPr>
          </w:p>
        </w:tc>
        <w:tc>
          <w:tcPr>
            <w:tcW w:w="600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senior unsecured indebtedness;</w:t>
            </w:r>
          </w:p>
        </w:tc>
      </w:tr>
      <w:tr>
        <w:trPr>
          <w:trHeight w:val="243"/>
        </w:trPr>
        <w:tc>
          <w:tcPr>
            <w:tcW w:w="2340" w:type="dxa"/>
            <w:vAlign w:val="bottom"/>
          </w:tcPr>
          <w:p>
            <w:pPr>
              <w:spacing w:after="0"/>
              <w:rPr>
                <w:sz w:val="21"/>
                <w:szCs w:val="21"/>
                <w:color w:val="auto"/>
              </w:rPr>
            </w:pPr>
          </w:p>
        </w:tc>
        <w:tc>
          <w:tcPr>
            <w:tcW w:w="600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   rank senior in right of payment to the Issuer’s existing and future subordinated</w:t>
            </w:r>
          </w:p>
        </w:tc>
      </w:tr>
      <w:tr>
        <w:trPr>
          <w:trHeight w:val="175"/>
        </w:trPr>
        <w:tc>
          <w:tcPr>
            <w:tcW w:w="2340" w:type="dxa"/>
            <w:vAlign w:val="bottom"/>
          </w:tcPr>
          <w:p>
            <w:pPr>
              <w:spacing w:after="0"/>
              <w:rPr>
                <w:sz w:val="15"/>
                <w:szCs w:val="15"/>
                <w:color w:val="auto"/>
              </w:rPr>
            </w:pPr>
          </w:p>
        </w:tc>
        <w:tc>
          <w:tcPr>
            <w:tcW w:w="600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indebtedness;</w:t>
            </w:r>
          </w:p>
        </w:tc>
      </w:tr>
      <w:tr>
        <w:trPr>
          <w:trHeight w:val="243"/>
        </w:trPr>
        <w:tc>
          <w:tcPr>
            <w:tcW w:w="2340" w:type="dxa"/>
            <w:vAlign w:val="bottom"/>
          </w:tcPr>
          <w:p>
            <w:pPr>
              <w:spacing w:after="0"/>
              <w:rPr>
                <w:sz w:val="21"/>
                <w:szCs w:val="21"/>
                <w:color w:val="auto"/>
              </w:rPr>
            </w:pPr>
          </w:p>
        </w:tc>
        <w:tc>
          <w:tcPr>
            <w:tcW w:w="600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   be effectively subordinated in right of payment to the Issuer’s existing and future</w:t>
            </w:r>
          </w:p>
        </w:tc>
      </w:tr>
      <w:tr>
        <w:trPr>
          <w:trHeight w:val="175"/>
        </w:trPr>
        <w:tc>
          <w:tcPr>
            <w:tcW w:w="2340" w:type="dxa"/>
            <w:vAlign w:val="bottom"/>
          </w:tcPr>
          <w:p>
            <w:pPr>
              <w:spacing w:after="0"/>
              <w:rPr>
                <w:sz w:val="15"/>
                <w:szCs w:val="15"/>
                <w:color w:val="auto"/>
              </w:rPr>
            </w:pPr>
          </w:p>
        </w:tc>
        <w:tc>
          <w:tcPr>
            <w:tcW w:w="600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secured obligations, to the extent of the assets securing such obligations; and</w:t>
            </w:r>
          </w:p>
        </w:tc>
      </w:tr>
      <w:tr>
        <w:trPr>
          <w:trHeight w:val="243"/>
        </w:trPr>
        <w:tc>
          <w:tcPr>
            <w:tcW w:w="2340" w:type="dxa"/>
            <w:vAlign w:val="bottom"/>
          </w:tcPr>
          <w:p>
            <w:pPr>
              <w:spacing w:after="0"/>
              <w:rPr>
                <w:sz w:val="21"/>
                <w:szCs w:val="21"/>
                <w:color w:val="auto"/>
              </w:rPr>
            </w:pPr>
          </w:p>
        </w:tc>
        <w:tc>
          <w:tcPr>
            <w:tcW w:w="600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   be structurally subordinated in right of payment to any existing and future</w:t>
            </w:r>
          </w:p>
        </w:tc>
      </w:tr>
      <w:tr>
        <w:trPr>
          <w:trHeight w:val="163"/>
        </w:trPr>
        <w:tc>
          <w:tcPr>
            <w:tcW w:w="2340" w:type="dxa"/>
            <w:vAlign w:val="bottom"/>
          </w:tcPr>
          <w:p>
            <w:pPr>
              <w:spacing w:after="0"/>
              <w:rPr>
                <w:sz w:val="14"/>
                <w:szCs w:val="14"/>
                <w:color w:val="auto"/>
              </w:rPr>
            </w:pPr>
          </w:p>
        </w:tc>
        <w:tc>
          <w:tcPr>
            <w:tcW w:w="600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indebtedness or other liabilities, including trade payables, of the Issuer’s</w:t>
            </w:r>
          </w:p>
        </w:tc>
      </w:tr>
      <w:tr>
        <w:trPr>
          <w:trHeight w:val="175"/>
        </w:trPr>
        <w:tc>
          <w:tcPr>
            <w:tcW w:w="2340" w:type="dxa"/>
            <w:vAlign w:val="bottom"/>
          </w:tcPr>
          <w:p>
            <w:pPr>
              <w:spacing w:after="0"/>
              <w:rPr>
                <w:sz w:val="15"/>
                <w:szCs w:val="15"/>
                <w:color w:val="auto"/>
              </w:rPr>
            </w:pPr>
          </w:p>
        </w:tc>
        <w:tc>
          <w:tcPr>
            <w:tcW w:w="600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subsidiaries.</w:t>
            </w:r>
          </w:p>
        </w:tc>
      </w:tr>
      <w:tr>
        <w:trPr>
          <w:trHeight w:val="243"/>
        </w:trPr>
        <w:tc>
          <w:tcPr>
            <w:tcW w:w="2340" w:type="dxa"/>
            <w:vAlign w:val="bottom"/>
          </w:tcPr>
          <w:p>
            <w:pPr>
              <w:spacing w:after="0"/>
              <w:rPr>
                <w:sz w:val="21"/>
                <w:szCs w:val="21"/>
                <w:color w:val="auto"/>
              </w:rPr>
            </w:pP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As of May 3, 2026, (i) the Issuer had approximately $61,437 million aggregate principal</w:t>
            </w:r>
          </w:p>
        </w:tc>
      </w:tr>
      <w:tr>
        <w:trPr>
          <w:trHeight w:val="163"/>
        </w:trPr>
        <w:tc>
          <w:tcPr>
            <w:tcW w:w="2340" w:type="dxa"/>
            <w:vAlign w:val="bottom"/>
          </w:tcPr>
          <w:p>
            <w:pPr>
              <w:spacing w:after="0"/>
              <w:rPr>
                <w:sz w:val="14"/>
                <w:szCs w:val="14"/>
                <w:color w:val="auto"/>
              </w:rPr>
            </w:pP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amount of indebtedness for borrowed money, and (ii) the Issuer’s subsidiaries had</w:t>
            </w:r>
          </w:p>
        </w:tc>
      </w:tr>
      <w:tr>
        <w:trPr>
          <w:trHeight w:val="163"/>
        </w:trPr>
        <w:tc>
          <w:tcPr>
            <w:tcW w:w="2340" w:type="dxa"/>
            <w:vAlign w:val="bottom"/>
          </w:tcPr>
          <w:p>
            <w:pPr>
              <w:spacing w:after="0"/>
              <w:rPr>
                <w:sz w:val="14"/>
                <w:szCs w:val="14"/>
                <w:color w:val="auto"/>
              </w:rPr>
            </w:pP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approximately $5,283 million aggregate principal amount of unsecured indebtedness for</w:t>
            </w:r>
          </w:p>
        </w:tc>
      </w:tr>
      <w:tr>
        <w:trPr>
          <w:trHeight w:val="175"/>
        </w:trPr>
        <w:tc>
          <w:tcPr>
            <w:tcW w:w="2340" w:type="dxa"/>
            <w:vAlign w:val="bottom"/>
          </w:tcPr>
          <w:p>
            <w:pPr>
              <w:spacing w:after="0"/>
              <w:rPr>
                <w:sz w:val="15"/>
                <w:szCs w:val="15"/>
                <w:color w:val="auto"/>
              </w:rPr>
            </w:pPr>
          </w:p>
        </w:tc>
        <w:tc>
          <w:tcPr>
            <w:tcW w:w="60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borrowed money outstanding (excluding intercompany indebtedness), of which</w:t>
            </w:r>
          </w:p>
        </w:tc>
      </w:tr>
      <w:tr>
        <w:trPr>
          <w:trHeight w:val="129"/>
        </w:trPr>
        <w:tc>
          <w:tcPr>
            <w:tcW w:w="2340" w:type="dxa"/>
            <w:vAlign w:val="bottom"/>
            <w:tcBorders>
              <w:bottom w:val="single" w:sz="8" w:color="auto"/>
            </w:tcBorders>
          </w:tcPr>
          <w:p>
            <w:pPr>
              <w:spacing w:after="0"/>
              <w:rPr>
                <w:sz w:val="11"/>
                <w:szCs w:val="11"/>
                <w:color w:val="auto"/>
              </w:rPr>
            </w:pPr>
          </w:p>
        </w:tc>
        <w:tc>
          <w:tcPr>
            <w:tcW w:w="6000" w:type="dxa"/>
            <w:vAlign w:val="bottom"/>
            <w:tcBorders>
              <w:bottom w:val="single" w:sz="8" w:color="auto"/>
            </w:tcBorders>
          </w:tcPr>
          <w:p>
            <w:pPr>
              <w:spacing w:after="0"/>
              <w:rPr>
                <w:sz w:val="11"/>
                <w:szCs w:val="11"/>
                <w:color w:val="auto"/>
              </w:rPr>
            </w:pPr>
          </w:p>
        </w:tc>
      </w:tr>
      <w:tr>
        <w:trPr>
          <w:trHeight w:val="270"/>
        </w:trPr>
        <w:tc>
          <w:tcPr>
            <w:tcW w:w="2340" w:type="dxa"/>
            <w:vAlign w:val="bottom"/>
          </w:tcPr>
          <w:p>
            <w:pPr>
              <w:spacing w:after="0"/>
              <w:rPr>
                <w:sz w:val="23"/>
                <w:szCs w:val="23"/>
                <w:color w:val="auto"/>
              </w:rPr>
            </w:pPr>
          </w:p>
        </w:tc>
        <w:tc>
          <w:tcPr>
            <w:tcW w:w="600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-6-</w:t>
            </w:r>
          </w:p>
        </w:tc>
      </w:tr>
    </w:tbl>
    <w:p>
      <w:pPr>
        <w:sectPr>
          <w:pgSz w:w="11900" w:h="16838" w:orient="portrait"/>
          <w:cols w:equalWidth="0" w:num="1">
            <w:col w:w="10159"/>
          </w:cols>
          <w:pgMar w:left="300" w:top="37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29" w:lineRule="exact"/>
        <w:rPr>
          <w:sz w:val="20"/>
          <w:szCs w:val="20"/>
          <w:color w:val="auto"/>
        </w:rPr>
      </w:pPr>
    </w:p>
    <w:tbl>
      <w:tblPr>
        <w:tblLayout w:type="fixed"/>
        <w:tblInd w:w="1490" w:type="dxa"/>
        <w:tblCellMar>
          <w:top w:w="0" w:type="dxa"/>
          <w:left w:w="0" w:type="dxa"/>
          <w:bottom w:w="0" w:type="dxa"/>
          <w:right w:w="0" w:type="dxa"/>
        </w:tblCellMar>
      </w:tblPr>
      <w:tr>
        <w:trPr>
          <w:trHeight w:val="288"/>
        </w:trPr>
        <w:tc>
          <w:tcPr>
            <w:tcW w:w="3020" w:type="dxa"/>
            <w:vAlign w:val="bottom"/>
            <w:tcBorders>
              <w:top w:val="single" w:sz="8" w:color="auto"/>
              <w:left w:val="single" w:sz="8" w:color="auto"/>
            </w:tcBorders>
          </w:tcPr>
          <w:p>
            <w:pPr>
              <w:spacing w:after="0"/>
              <w:rPr>
                <w:sz w:val="24"/>
                <w:szCs w:val="24"/>
                <w:color w:val="auto"/>
              </w:rPr>
            </w:pPr>
          </w:p>
        </w:tc>
        <w:tc>
          <w:tcPr>
            <w:tcW w:w="532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$777 million is guaranteed by the Issuer, and all of which indebtedness for borrowed</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w w:val="99"/>
              </w:rPr>
              <w:t>money of such subsidiaries would be structurally senior to the Exchange Notes with respect</w:t>
            </w:r>
          </w:p>
        </w:tc>
      </w:tr>
      <w:tr>
        <w:trPr>
          <w:trHeight w:val="175"/>
        </w:trPr>
        <w:tc>
          <w:tcPr>
            <w:tcW w:w="302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to claims on the assets and cash flows of the Issuer’s subsidiaries.</w:t>
            </w:r>
          </w:p>
        </w:tc>
      </w:tr>
      <w:tr>
        <w:trPr>
          <w:trHeight w:val="254"/>
        </w:trPr>
        <w:tc>
          <w:tcPr>
            <w:tcW w:w="30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Optional Redemption</w:t>
            </w: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Issuer may, at its option, redeem or repurchase the Exchange Notes of each series, in</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whole or in part, at any time and from time to time prior to August 15, 2035 (in the case of</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2035 Notes) and August 15, 2036 (in the case of the 2036 Notes), in each case at a</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price equal to 100% of the principal amount of the Exchange Notes of such series to be</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redeemed, plus a “make-whole” premium, which is described under “Description of</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Exchange Notes—Optional Redemption,” plus accrued and unpaid interest, if any, to, but</w:t>
            </w:r>
          </w:p>
        </w:tc>
      </w:tr>
      <w:tr>
        <w:trPr>
          <w:trHeight w:val="175"/>
        </w:trPr>
        <w:tc>
          <w:tcPr>
            <w:tcW w:w="302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excluding, the redemption date.</w:t>
            </w:r>
          </w:p>
        </w:tc>
      </w:tr>
      <w:tr>
        <w:trPr>
          <w:trHeight w:val="243"/>
        </w:trPr>
        <w:tc>
          <w:tcPr>
            <w:tcW w:w="3020" w:type="dxa"/>
            <w:vAlign w:val="bottom"/>
            <w:tcBorders>
              <w:left w:val="single" w:sz="8" w:color="auto"/>
            </w:tcBorders>
          </w:tcPr>
          <w:p>
            <w:pPr>
              <w:spacing w:after="0"/>
              <w:rPr>
                <w:sz w:val="21"/>
                <w:szCs w:val="21"/>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On or after August 15, 2035 (in the case of the 2035 Notes) and August 15, 2036 (in the</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case of the 2036 Notes), the Issuer may redeem or repurchase all or any part of the</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Exchange Notes of the applicable series, at any time or from time to time, at a redemption</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price equal to 100% of the aggregate principal amount of the Exchange Notes of such</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series to be redeemed, plus accrued and unpaid interest thereon, if any, to, but excluding,</w:t>
            </w:r>
          </w:p>
        </w:tc>
      </w:tr>
      <w:tr>
        <w:trPr>
          <w:trHeight w:val="175"/>
        </w:trPr>
        <w:tc>
          <w:tcPr>
            <w:tcW w:w="302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redemption date. See “Description of Exchange Notes—Optional Redemption.”</w:t>
            </w:r>
          </w:p>
        </w:tc>
      </w:tr>
      <w:tr>
        <w:trPr>
          <w:trHeight w:val="239"/>
        </w:trPr>
        <w:tc>
          <w:tcPr>
            <w:tcW w:w="30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 Amounts; Redemption for Taxation</w:t>
            </w: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After the occurrence of a Non-U.S. Domicile Transaction (as defined in “Description of</w:t>
            </w:r>
          </w:p>
        </w:tc>
      </w:tr>
      <w:tr>
        <w:trPr>
          <w:trHeight w:val="167"/>
        </w:trPr>
        <w:tc>
          <w:tcPr>
            <w:tcW w:w="30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Reasons</w:t>
            </w: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Exchange Notes—Certain Covenants—Limitation on Mergers and Other Transactions”), if</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payments made by a non-U.S. Payor (as defined in “Description of Exchange Notes—</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Additional Amounts”) are subject to any withholding or deduction of taxes by certain</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relevant tax jurisdictions (other than the United States or any of its political subdivisions or</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governmental authorities), subject to certain exceptions, the non-U.S. Payor is required to</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pay the additional amounts necessary so that the net amount received by the holders of the</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Exchange Notes after the withholding or deduction is not less than the amount that they</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would have received in the absence of the withholding or deduction. In the event that</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certain changes in the tax law of any relevant jurisdiction would require a non-U.S. Payor</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to make payments of such additional amounts on the Exchange Notes, the Issuer may</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redeem the applicable series of Exchange Notes in whole, but not in part, at any time, at a</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redemption price of 100% of the principal amount, plus accrued and unpaid interest, if any,</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and additional amounts, if any, to the date of redemption. See “Description of Exchange</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Notes—Additional Amounts” and “Description of Exchange Notes—Redemption for</w:t>
            </w:r>
          </w:p>
        </w:tc>
      </w:tr>
      <w:tr>
        <w:trPr>
          <w:trHeight w:val="175"/>
        </w:trPr>
        <w:tc>
          <w:tcPr>
            <w:tcW w:w="302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Taxation Reasons.”</w:t>
            </w:r>
          </w:p>
        </w:tc>
      </w:tr>
      <w:tr>
        <w:trPr>
          <w:trHeight w:val="243"/>
        </w:trPr>
        <w:tc>
          <w:tcPr>
            <w:tcW w:w="30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 of Control Triggering Event</w:t>
            </w: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If the Issuer experiences a Change of Control Triggering Event (as defined under</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“Description of Exchange Notes”), each holder of Exchange Notes may require us to</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repurchase some or all of its Exchange Notes at a purchase price equal to 101% of the</w:t>
            </w:r>
          </w:p>
        </w:tc>
      </w:tr>
      <w:tr>
        <w:trPr>
          <w:trHeight w:val="175"/>
        </w:trPr>
        <w:tc>
          <w:tcPr>
            <w:tcW w:w="302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aggregate</w:t>
            </w:r>
          </w:p>
        </w:tc>
      </w:tr>
      <w:tr>
        <w:trPr>
          <w:trHeight w:val="129"/>
        </w:trPr>
        <w:tc>
          <w:tcPr>
            <w:tcW w:w="3020" w:type="dxa"/>
            <w:vAlign w:val="bottom"/>
            <w:tcBorders>
              <w:left w:val="single" w:sz="8" w:color="auto"/>
              <w:bottom w:val="single" w:sz="8" w:color="auto"/>
            </w:tcBorders>
          </w:tcPr>
          <w:p>
            <w:pPr>
              <w:spacing w:after="0"/>
              <w:rPr>
                <w:sz w:val="11"/>
                <w:szCs w:val="11"/>
                <w:color w:val="auto"/>
              </w:rPr>
            </w:pPr>
          </w:p>
        </w:tc>
        <w:tc>
          <w:tcPr>
            <w:tcW w:w="5320" w:type="dxa"/>
            <w:vAlign w:val="bottom"/>
            <w:tcBorders>
              <w:bottom w:val="single" w:sz="8" w:color="auto"/>
              <w:right w:val="single" w:sz="8" w:color="auto"/>
            </w:tcBorders>
          </w:tcPr>
          <w:p>
            <w:pPr>
              <w:spacing w:after="0"/>
              <w:rPr>
                <w:sz w:val="11"/>
                <w:szCs w:val="11"/>
                <w:color w:val="auto"/>
              </w:rPr>
            </w:pPr>
          </w:p>
        </w:tc>
      </w:tr>
      <w:tr>
        <w:trPr>
          <w:trHeight w:val="270"/>
        </w:trPr>
        <w:tc>
          <w:tcPr>
            <w:tcW w:w="3020" w:type="dxa"/>
            <w:vAlign w:val="bottom"/>
          </w:tcPr>
          <w:p>
            <w:pPr>
              <w:spacing w:after="0"/>
              <w:rPr>
                <w:sz w:val="23"/>
                <w:szCs w:val="23"/>
                <w:color w:val="auto"/>
              </w:rPr>
            </w:pPr>
          </w:p>
        </w:tc>
        <w:tc>
          <w:tcPr>
            <w:tcW w:w="532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-7-</w:t>
            </w:r>
          </w:p>
        </w:tc>
      </w:tr>
    </w:tbl>
    <w:p>
      <w:pPr>
        <w:sectPr>
          <w:pgSz w:w="11900" w:h="16838" w:orient="portrait"/>
          <w:cols w:equalWidth="0" w:num="1">
            <w:col w:w="10159"/>
          </w:cols>
          <w:pgMar w:left="300" w:top="37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29" w:lineRule="exact"/>
        <w:rPr>
          <w:sz w:val="20"/>
          <w:szCs w:val="20"/>
          <w:color w:val="auto"/>
        </w:rPr>
      </w:pPr>
    </w:p>
    <w:tbl>
      <w:tblPr>
        <w:tblLayout w:type="fixed"/>
        <w:tblInd w:w="1490" w:type="dxa"/>
        <w:tblCellMar>
          <w:top w:w="0" w:type="dxa"/>
          <w:left w:w="0" w:type="dxa"/>
          <w:bottom w:w="0" w:type="dxa"/>
          <w:right w:w="0" w:type="dxa"/>
        </w:tblCellMar>
      </w:tblPr>
      <w:tr>
        <w:trPr>
          <w:trHeight w:val="288"/>
        </w:trPr>
        <w:tc>
          <w:tcPr>
            <w:tcW w:w="3020" w:type="dxa"/>
            <w:vAlign w:val="bottom"/>
            <w:tcBorders>
              <w:top w:val="single" w:sz="8" w:color="auto"/>
              <w:left w:val="single" w:sz="8" w:color="auto"/>
            </w:tcBorders>
          </w:tcPr>
          <w:p>
            <w:pPr>
              <w:spacing w:after="0"/>
              <w:rPr>
                <w:sz w:val="24"/>
                <w:szCs w:val="24"/>
                <w:color w:val="auto"/>
              </w:rPr>
            </w:pPr>
          </w:p>
        </w:tc>
        <w:tc>
          <w:tcPr>
            <w:tcW w:w="532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principal amount thereof, plus accrued and unpaid interest, if any, and additional amounts,</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if any, to, but excluding, the repurchase date. See “Description of Exchange Notes—</w:t>
            </w:r>
          </w:p>
        </w:tc>
      </w:tr>
      <w:tr>
        <w:trPr>
          <w:trHeight w:val="175"/>
        </w:trPr>
        <w:tc>
          <w:tcPr>
            <w:tcW w:w="302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Purchase of Notes upon a Change of Control Triggering Event.”</w:t>
            </w:r>
          </w:p>
        </w:tc>
      </w:tr>
      <w:tr>
        <w:trPr>
          <w:trHeight w:val="254"/>
        </w:trPr>
        <w:tc>
          <w:tcPr>
            <w:tcW w:w="30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Certain Covenants</w:t>
            </w: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Indenture governing the Exchange Notes contains covenants that limit, among other</w:t>
            </w:r>
          </w:p>
        </w:tc>
      </w:tr>
      <w:tr>
        <w:trPr>
          <w:trHeight w:val="175"/>
        </w:trPr>
        <w:tc>
          <w:tcPr>
            <w:tcW w:w="302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things, the ability of the Issuer and its subsidiaries to:</w:t>
            </w:r>
          </w:p>
        </w:tc>
      </w:tr>
      <w:tr>
        <w:trPr>
          <w:trHeight w:val="255"/>
        </w:trPr>
        <w:tc>
          <w:tcPr>
            <w:tcW w:w="3020" w:type="dxa"/>
            <w:vAlign w:val="bottom"/>
            <w:tcBorders>
              <w:left w:val="single" w:sz="8" w:color="auto"/>
            </w:tcBorders>
          </w:tcPr>
          <w:p>
            <w:pPr>
              <w:spacing w:after="0"/>
              <w:rPr>
                <w:sz w:val="22"/>
                <w:szCs w:val="22"/>
                <w:color w:val="auto"/>
              </w:rPr>
            </w:pPr>
          </w:p>
        </w:tc>
        <w:tc>
          <w:tcPr>
            <w:tcW w:w="53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   incur certain secured debt;</w:t>
            </w:r>
          </w:p>
        </w:tc>
      </w:tr>
      <w:tr>
        <w:trPr>
          <w:trHeight w:val="255"/>
        </w:trPr>
        <w:tc>
          <w:tcPr>
            <w:tcW w:w="3020" w:type="dxa"/>
            <w:vAlign w:val="bottom"/>
            <w:tcBorders>
              <w:left w:val="single" w:sz="8" w:color="auto"/>
            </w:tcBorders>
          </w:tcPr>
          <w:p>
            <w:pPr>
              <w:spacing w:after="0"/>
              <w:rPr>
                <w:sz w:val="22"/>
                <w:szCs w:val="22"/>
                <w:color w:val="auto"/>
              </w:rPr>
            </w:pPr>
          </w:p>
        </w:tc>
        <w:tc>
          <w:tcPr>
            <w:tcW w:w="53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   enter into certain sale and lease-back transactions; and</w:t>
            </w:r>
          </w:p>
        </w:tc>
      </w:tr>
      <w:tr>
        <w:trPr>
          <w:trHeight w:val="243"/>
        </w:trPr>
        <w:tc>
          <w:tcPr>
            <w:tcW w:w="3020" w:type="dxa"/>
            <w:vAlign w:val="bottom"/>
            <w:tcBorders>
              <w:left w:val="single" w:sz="8" w:color="auto"/>
            </w:tcBorders>
          </w:tcPr>
          <w:p>
            <w:pPr>
              <w:spacing w:after="0"/>
              <w:rPr>
                <w:sz w:val="21"/>
                <w:szCs w:val="21"/>
                <w:color w:val="auto"/>
              </w:rPr>
            </w:pPr>
          </w:p>
        </w:tc>
        <w:tc>
          <w:tcPr>
            <w:tcW w:w="53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   consolidate, merge, sell or otherwise dispose of all or substantially all of their</w:t>
            </w:r>
          </w:p>
        </w:tc>
      </w:tr>
      <w:tr>
        <w:trPr>
          <w:trHeight w:val="175"/>
        </w:trPr>
        <w:tc>
          <w:tcPr>
            <w:tcW w:w="302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assets.</w:t>
            </w:r>
          </w:p>
        </w:tc>
      </w:tr>
      <w:tr>
        <w:trPr>
          <w:trHeight w:val="243"/>
        </w:trPr>
        <w:tc>
          <w:tcPr>
            <w:tcW w:w="3020" w:type="dxa"/>
            <w:vAlign w:val="bottom"/>
            <w:tcBorders>
              <w:left w:val="single" w:sz="8" w:color="auto"/>
            </w:tcBorders>
          </w:tcPr>
          <w:p>
            <w:pPr>
              <w:spacing w:after="0"/>
              <w:rPr>
                <w:sz w:val="21"/>
                <w:szCs w:val="21"/>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These covenants are subject to a number of important qualifications and limitations. See</w:t>
            </w:r>
          </w:p>
        </w:tc>
      </w:tr>
      <w:tr>
        <w:trPr>
          <w:trHeight w:val="175"/>
        </w:trPr>
        <w:tc>
          <w:tcPr>
            <w:tcW w:w="302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“Description of Exchange Notes—Certain Covenants.”</w:t>
            </w:r>
          </w:p>
        </w:tc>
      </w:tr>
      <w:tr>
        <w:trPr>
          <w:trHeight w:val="243"/>
        </w:trPr>
        <w:tc>
          <w:tcPr>
            <w:tcW w:w="30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Book-Entry</w:t>
            </w: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Exchange Notes will be issued in book-entry form and will be represented by global</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certificates deposited with, or on behalf of, DTC and registered in the name of Cede &amp; Co.,</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w w:val="99"/>
              </w:rPr>
              <w:t>DTC’s nominee. Beneficial interests in the Exchange Notes will be shown on, and transfers</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will be effected only through, records maintained by DTC or its nominee; and these</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interests may not be exchanged for certificated notes, except in limited circumstances. See</w:t>
            </w:r>
          </w:p>
        </w:tc>
      </w:tr>
      <w:tr>
        <w:trPr>
          <w:trHeight w:val="175"/>
        </w:trPr>
        <w:tc>
          <w:tcPr>
            <w:tcW w:w="302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“Description of Exchange Notes—Book-Entry, Delivery and Form.”</w:t>
            </w:r>
          </w:p>
        </w:tc>
      </w:tr>
      <w:tr>
        <w:trPr>
          <w:trHeight w:val="255"/>
        </w:trPr>
        <w:tc>
          <w:tcPr>
            <w:tcW w:w="30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 Listing</w:t>
            </w: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Exchange Notes will not be listed on any securities exchange or market.</w:t>
            </w:r>
          </w:p>
        </w:tc>
      </w:tr>
      <w:tr>
        <w:trPr>
          <w:trHeight w:val="266"/>
        </w:trPr>
        <w:tc>
          <w:tcPr>
            <w:tcW w:w="30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Governing Law</w:t>
            </w: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State of New York.</w:t>
            </w:r>
          </w:p>
        </w:tc>
      </w:tr>
      <w:tr>
        <w:trPr>
          <w:trHeight w:val="266"/>
        </w:trPr>
        <w:tc>
          <w:tcPr>
            <w:tcW w:w="30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Trustee, Securities Registrar and Paying Agent</w:t>
            </w: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Wilmington Trust, National Association (in such capacity, the “Trustee”).</w:t>
            </w:r>
          </w:p>
        </w:tc>
      </w:tr>
      <w:tr>
        <w:trPr>
          <w:trHeight w:val="254"/>
        </w:trPr>
        <w:tc>
          <w:tcPr>
            <w:tcW w:w="30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w w:val="99"/>
              </w:rPr>
              <w:t>You should carefully consider all of the information included and incorporated by reference</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in this prospectus, including the risks under the heading “Risk Factors” in our Annual</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Report on Form 10-K for the fiscal year ended November 2, 2025, and our Quarterly</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Reports on Form 10-Q for the quarters ended February 1, 2026 and May 3, 2026, and in</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this prospectus beginning on page 9, as well as in the other reports we file from time to</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w w:val="99"/>
              </w:rPr>
              <w:t>time with the SEC that are incorporated by reference herein. In addition, you should review</w:t>
            </w:r>
          </w:p>
        </w:tc>
      </w:tr>
      <w:tr>
        <w:trPr>
          <w:trHeight w:val="163"/>
        </w:trPr>
        <w:tc>
          <w:tcPr>
            <w:tcW w:w="302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information set forth under “Forward-Looking Statements” before deciding to tender</w:t>
            </w:r>
          </w:p>
        </w:tc>
      </w:tr>
      <w:tr>
        <w:trPr>
          <w:trHeight w:val="175"/>
        </w:trPr>
        <w:tc>
          <w:tcPr>
            <w:tcW w:w="302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your Outstanding Notes in the Exchange Offer.</w:t>
            </w:r>
          </w:p>
        </w:tc>
      </w:tr>
      <w:tr>
        <w:trPr>
          <w:trHeight w:val="129"/>
        </w:trPr>
        <w:tc>
          <w:tcPr>
            <w:tcW w:w="3020" w:type="dxa"/>
            <w:vAlign w:val="bottom"/>
            <w:tcBorders>
              <w:left w:val="single" w:sz="8" w:color="auto"/>
              <w:bottom w:val="single" w:sz="8" w:color="auto"/>
            </w:tcBorders>
          </w:tcPr>
          <w:p>
            <w:pPr>
              <w:spacing w:after="0"/>
              <w:rPr>
                <w:sz w:val="11"/>
                <w:szCs w:val="11"/>
                <w:color w:val="auto"/>
              </w:rPr>
            </w:pPr>
          </w:p>
        </w:tc>
        <w:tc>
          <w:tcPr>
            <w:tcW w:w="5320" w:type="dxa"/>
            <w:vAlign w:val="bottom"/>
            <w:tcBorders>
              <w:bottom w:val="single" w:sz="8" w:color="auto"/>
              <w:right w:val="single" w:sz="8" w:color="auto"/>
            </w:tcBorders>
          </w:tcPr>
          <w:p>
            <w:pPr>
              <w:spacing w:after="0"/>
              <w:rPr>
                <w:sz w:val="11"/>
                <w:szCs w:val="11"/>
                <w:color w:val="auto"/>
              </w:rPr>
            </w:pPr>
          </w:p>
        </w:tc>
      </w:tr>
      <w:tr>
        <w:trPr>
          <w:trHeight w:val="270"/>
        </w:trPr>
        <w:tc>
          <w:tcPr>
            <w:tcW w:w="3020" w:type="dxa"/>
            <w:vAlign w:val="bottom"/>
          </w:tcPr>
          <w:p>
            <w:pPr>
              <w:spacing w:after="0"/>
              <w:rPr>
                <w:sz w:val="23"/>
                <w:szCs w:val="23"/>
                <w:color w:val="auto"/>
              </w:rPr>
            </w:pPr>
          </w:p>
        </w:tc>
        <w:tc>
          <w:tcPr>
            <w:tcW w:w="532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-8-</w:t>
            </w:r>
          </w:p>
        </w:tc>
      </w:tr>
    </w:tbl>
    <w:p>
      <w:pPr>
        <w:sectPr>
          <w:pgSz w:w="11900" w:h="16838" w:orient="portrait"/>
          <w:cols w:equalWidth="0" w:num="1">
            <w:col w:w="10159"/>
          </w:cols>
          <w:pgMar w:left="300" w:top="37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8" w:lineRule="exact"/>
        <w:rPr>
          <w:sz w:val="20"/>
          <w:szCs w:val="20"/>
          <w:color w:val="auto"/>
        </w:rPr>
      </w:pPr>
    </w:p>
    <w:p>
      <w:pPr>
        <w:ind w:left="1480" w:right="379" w:firstLine="333"/>
        <w:spacing w:after="0" w:line="292" w:lineRule="auto"/>
        <w:rPr>
          <w:sz w:val="20"/>
          <w:szCs w:val="20"/>
          <w:color w:val="auto"/>
        </w:rPr>
      </w:pPr>
      <w:r>
        <w:rPr>
          <w:rFonts w:ascii="Times New Roman" w:cs="Times New Roman" w:eastAsia="Times New Roman" w:hAnsi="Times New Roman"/>
          <w:sz w:val="12"/>
          <w:szCs w:val="12"/>
          <w:i w:val="1"/>
          <w:iCs w:val="1"/>
          <w:color w:val="auto"/>
        </w:rPr>
        <w:t>Before deciding to tender your Outstanding Notes in the Exchange Offer, you should consider the risks described below and the other information included or incorporated by reference in this prospectus, including the risks under the heading “Risk Factors” in our Annual Report on Form 10-K for the fiscal year ended November 2, 2025, and our Quarterly Reports on Form 10-Q for the quarters ended February 1, 2026 and May 3, 2026, as well as the other reports we file from time to time with the SEC that are incorporated by reference herein. The risks and uncertainties described below and in the incorporated documents are not the only risks and uncertainties that we face. Any of the following risks could materially and adversely affect our business, financial condition or results of operations. Additional risks and uncertainties not currently known to us or those we currently view to be immaterial may also materially and adversely affect our business, financial condition or results of operations. In any such case, the market price of our Exchange Notes could decline and you could lose all or part of your investment. The risks discussed below also include forward-looking statements, and our actual results may differ substantially from those discussed in these forward-looking statements. See “Forward-Looking Statements” in this prospectus. In addition to the risk factors incorporated by reference herein, you should consider the additional risk factors below.</w:t>
      </w:r>
    </w:p>
    <w:p>
      <w:pPr>
        <w:spacing w:after="0" w:line="3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Risks Relating to Non-Participation in the Exchange Offer</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The Outstanding Notes are subject to transfer restrictions.</w:t>
      </w:r>
    </w:p>
    <w:p>
      <w:pPr>
        <w:spacing w:after="0" w:line="88" w:lineRule="exact"/>
        <w:rPr>
          <w:sz w:val="20"/>
          <w:szCs w:val="20"/>
          <w:color w:val="auto"/>
        </w:rPr>
      </w:pPr>
    </w:p>
    <w:p>
      <w:pPr>
        <w:ind w:left="1480" w:right="379" w:firstLine="333"/>
        <w:spacing w:after="0" w:line="294" w:lineRule="auto"/>
        <w:rPr>
          <w:sz w:val="20"/>
          <w:szCs w:val="20"/>
          <w:color w:val="auto"/>
        </w:rPr>
      </w:pPr>
      <w:r>
        <w:rPr>
          <w:rFonts w:ascii="Times New Roman" w:cs="Times New Roman" w:eastAsia="Times New Roman" w:hAnsi="Times New Roman"/>
          <w:sz w:val="12"/>
          <w:szCs w:val="12"/>
          <w:color w:val="auto"/>
        </w:rPr>
        <w:t>The Exchange Notes will be registered pursuant to a registration statement filed with the SEC of which this prospectus forms a part. On the other hand, we have not registered the Outstanding Notes under the Securities Act. Consequently, the Outstanding Notes may not be offered or sold in the United States unless they are registered or transferred pursuant to an exemption from registration under the Securities Act. As a result, holders of the Outstanding Notes who do not participate in the Exchange Offer will face additional restrictions on the resale of their Outstanding Notes as compared to the Exchange Notes, and such holders may not be able to sell their Outstanding Notes at the time they wish or at prices acceptable to them. In addition, we do not currently anticipate that we will register the Outstanding Notes under the Securities Act and, if you are eligible to exchange your Outstanding Notes in the Exchange Offer and do not exchange your Outstanding Notes in the Exchange Offer, you will no longer be entitled to have those Outstanding Notes registered under the Securities Act pursuant to the registration rights agreement, subject to limited exceptions.</w:t>
      </w:r>
    </w:p>
    <w:p>
      <w:pPr>
        <w:spacing w:after="0" w:line="365" w:lineRule="exact"/>
        <w:rPr>
          <w:sz w:val="20"/>
          <w:szCs w:val="20"/>
          <w:color w:val="auto"/>
        </w:rPr>
      </w:pPr>
    </w:p>
    <w:p>
      <w:pPr>
        <w:ind w:left="1480" w:right="579"/>
        <w:spacing w:after="0" w:line="356" w:lineRule="auto"/>
        <w:rPr>
          <w:sz w:val="20"/>
          <w:szCs w:val="20"/>
          <w:color w:val="auto"/>
        </w:rPr>
      </w:pPr>
      <w:r>
        <w:rPr>
          <w:rFonts w:ascii="Times New Roman" w:cs="Times New Roman" w:eastAsia="Times New Roman" w:hAnsi="Times New Roman"/>
          <w:sz w:val="12"/>
          <w:szCs w:val="12"/>
          <w:b w:val="1"/>
          <w:bCs w:val="1"/>
          <w:i w:val="1"/>
          <w:iCs w:val="1"/>
          <w:color w:val="auto"/>
        </w:rPr>
        <w:t>The liquidity of any trading markets that currently exist for the Outstanding Notes may be adversely affected by the Exchange Offer, and holders who fail to participate in the Exchange Offer may find it more difficult to sell their Outstanding Notes after the Exchange Offer is completed.</w:t>
      </w:r>
    </w:p>
    <w:p>
      <w:pPr>
        <w:spacing w:after="0" w:line="3" w:lineRule="exact"/>
        <w:rPr>
          <w:sz w:val="20"/>
          <w:szCs w:val="20"/>
          <w:color w:val="auto"/>
        </w:rPr>
      </w:pPr>
    </w:p>
    <w:p>
      <w:pPr>
        <w:ind w:left="1480" w:right="499" w:firstLine="333"/>
        <w:spacing w:after="0" w:line="247" w:lineRule="auto"/>
        <w:rPr>
          <w:sz w:val="20"/>
          <w:szCs w:val="20"/>
          <w:color w:val="auto"/>
        </w:rPr>
      </w:pPr>
      <w:r>
        <w:rPr>
          <w:rFonts w:ascii="Times New Roman" w:cs="Times New Roman" w:eastAsia="Times New Roman" w:hAnsi="Times New Roman"/>
          <w:sz w:val="14"/>
          <w:szCs w:val="14"/>
          <w:color w:val="auto"/>
        </w:rPr>
        <w:t>To the extent tenders of Outstanding Notes for exchange in the Exchange Offer are accepted by us and the Exchange Offer is completed, the trading markets for the Outstanding Notes that remain outstanding following the completion of the Exchange Offer may be significantly more limited. The remaining Outstanding Notes may command lower prices than comparable issues of securities with greater market liquidity and, if they currently qualify for inclusion in certain indices, may no longer qualify for inclusion. Reduced market values and reduced liquidity may also make the trading prices of the remaining Outstanding Notes more volatile. As a result, the market prices for the Outstanding Notes that remain outstanding after the completion of the Exchange Offer may be adversely affected as a result of the Exchange Offer.</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Risks Relating to Participation in the Exchange Offer</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The Exchange Offer may be cancelled or delayed.</w:t>
      </w:r>
    </w:p>
    <w:p>
      <w:pPr>
        <w:spacing w:after="0" w:line="88" w:lineRule="exact"/>
        <w:rPr>
          <w:sz w:val="20"/>
          <w:szCs w:val="20"/>
          <w:color w:val="auto"/>
        </w:rPr>
      </w:pPr>
    </w:p>
    <w:p>
      <w:pPr>
        <w:ind w:left="1480" w:right="379" w:firstLine="333"/>
        <w:spacing w:after="0" w:line="254" w:lineRule="auto"/>
        <w:rPr>
          <w:sz w:val="20"/>
          <w:szCs w:val="20"/>
          <w:color w:val="auto"/>
        </w:rPr>
      </w:pPr>
      <w:r>
        <w:rPr>
          <w:rFonts w:ascii="Times New Roman" w:cs="Times New Roman" w:eastAsia="Times New Roman" w:hAnsi="Times New Roman"/>
          <w:sz w:val="14"/>
          <w:szCs w:val="14"/>
          <w:color w:val="auto"/>
        </w:rPr>
        <w:t>The consummation of the Exchange Offer is subject to, and conditional upon, the satisfaction or waiver of the conditions discussed under “The Exchange Offer—Conditions to the Exchange Offer.” We may, at our option and in our sole discretion, waive any such conditions. Even if the Exchange Offer is completed, the Exchange</w:t>
      </w:r>
    </w:p>
    <w:p>
      <w:pPr>
        <w:spacing w:after="0" w:line="9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78"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both"/>
        <w:ind w:left="1480" w:right="599"/>
        <w:spacing w:after="0" w:line="254" w:lineRule="auto"/>
        <w:rPr>
          <w:sz w:val="20"/>
          <w:szCs w:val="20"/>
          <w:color w:val="auto"/>
        </w:rPr>
      </w:pPr>
      <w:r>
        <w:rPr>
          <w:rFonts w:ascii="Times New Roman" w:cs="Times New Roman" w:eastAsia="Times New Roman" w:hAnsi="Times New Roman"/>
          <w:sz w:val="14"/>
          <w:szCs w:val="14"/>
          <w:color w:val="auto"/>
        </w:rPr>
        <w:t>Offer may not be completed on the schedule described in this prospectus. Accordingly, holders participating in the Exchange Offer may have to wait longer than expected to receive their Exchange Notes, during which time such holders will not be able to effect transfers of their Outstanding Notes tendered for exchange.</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Your tender of Outstanding Notes may not be accepted if you do not follow the applicable procedures for the Exchange Offer.</w:t>
      </w:r>
    </w:p>
    <w:p>
      <w:pPr>
        <w:spacing w:after="0" w:line="88" w:lineRule="exact"/>
        <w:rPr>
          <w:sz w:val="20"/>
          <w:szCs w:val="20"/>
          <w:color w:val="auto"/>
        </w:rPr>
      </w:pPr>
    </w:p>
    <w:p>
      <w:pPr>
        <w:ind w:left="1480" w:right="419" w:firstLine="333"/>
        <w:spacing w:after="0" w:line="248" w:lineRule="auto"/>
        <w:rPr>
          <w:sz w:val="20"/>
          <w:szCs w:val="20"/>
          <w:color w:val="auto"/>
        </w:rPr>
      </w:pPr>
      <w:r>
        <w:rPr>
          <w:rFonts w:ascii="Times New Roman" w:cs="Times New Roman" w:eastAsia="Times New Roman" w:hAnsi="Times New Roman"/>
          <w:sz w:val="14"/>
          <w:szCs w:val="14"/>
          <w:color w:val="auto"/>
        </w:rPr>
        <w:t>We will exchange the Exchange Notes for Outstanding Notes only if Outstanding Notes are in fact validly tendered and properly completed documentation for the Exchange Offer is delivered along with such tender, and if such Outstanding Notes are furthermore accepted for exchange pursuant to the Exchange Offer. Holders of Outstanding Notes are responsible for complying with all of the applicable procedures for tendering Outstanding Notes for exchange. If the instructions are not strictly complied with, the tender of Outstanding Notes may be rejected. See “The Exchange Offer—Procedures for Tendering Outstanding Notes” for a description of the procedures to be followed to tender Outstanding Notes.</w:t>
      </w:r>
    </w:p>
    <w:p>
      <w:pPr>
        <w:spacing w:after="0" w:line="149" w:lineRule="exact"/>
        <w:rPr>
          <w:sz w:val="20"/>
          <w:szCs w:val="20"/>
          <w:color w:val="auto"/>
        </w:rPr>
      </w:pPr>
    </w:p>
    <w:p>
      <w:pPr>
        <w:ind w:left="1480" w:right="539" w:firstLine="333"/>
        <w:spacing w:after="0" w:line="264" w:lineRule="auto"/>
        <w:rPr>
          <w:sz w:val="20"/>
          <w:szCs w:val="20"/>
          <w:color w:val="auto"/>
        </w:rPr>
      </w:pPr>
      <w:r>
        <w:rPr>
          <w:rFonts w:ascii="Times New Roman" w:cs="Times New Roman" w:eastAsia="Times New Roman" w:hAnsi="Times New Roman"/>
          <w:sz w:val="14"/>
          <w:szCs w:val="14"/>
          <w:color w:val="auto"/>
        </w:rPr>
        <w:t>You should allow sufficient time to ensure delivery of the necessary documents. None of Broadcom, the Exchange Agent or any other person is under any duty to notify you of defects or irregularities with respect to the tenders of Outstanding Notes for exchange.</w:t>
      </w:r>
    </w:p>
    <w:p>
      <w:pPr>
        <w:spacing w:after="0" w:line="214" w:lineRule="exact"/>
        <w:rPr>
          <w:sz w:val="20"/>
          <w:szCs w:val="20"/>
          <w:color w:val="auto"/>
        </w:rPr>
      </w:pPr>
    </w:p>
    <w:p>
      <w:pPr>
        <w:ind w:left="1480" w:right="6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you are a broker-dealer or participating in a distribution of the Exchange Notes, you may be required to deliver prospectuses and comply with other requirements.</w:t>
      </w:r>
    </w:p>
    <w:p>
      <w:pPr>
        <w:spacing w:after="0" w:line="50" w:lineRule="exact"/>
        <w:rPr>
          <w:sz w:val="20"/>
          <w:szCs w:val="20"/>
          <w:color w:val="auto"/>
        </w:rPr>
      </w:pPr>
    </w:p>
    <w:p>
      <w:pPr>
        <w:ind w:left="1480" w:right="399" w:firstLine="333"/>
        <w:spacing w:after="0" w:line="297" w:lineRule="auto"/>
        <w:rPr>
          <w:sz w:val="20"/>
          <w:szCs w:val="20"/>
          <w:color w:val="auto"/>
        </w:rPr>
      </w:pPr>
      <w:r>
        <w:rPr>
          <w:rFonts w:ascii="Times New Roman" w:cs="Times New Roman" w:eastAsia="Times New Roman" w:hAnsi="Times New Roman"/>
          <w:sz w:val="12"/>
          <w:szCs w:val="12"/>
          <w:color w:val="auto"/>
        </w:rPr>
        <w:t>If you exchange your Outstanding Notes in the Exchange Offer for the purpose of participating in a distribution of the Exchange Notes, you may be deemed to have received restricted securities and, if so, you will be required to comply with the registration and prospectus delivery requirements of the Securities Act in connection with any resale transaction. In addition, a broker-dealer that purchased Outstanding Notes for its own account as part of market-making activities or trading activities must deliver a prospectus when it sells the Exchange Notes it receives in exchange for Outstanding Notes in the Exchange Offer. Our obligation to keep the registration statement, of which this prospectus forms a part, effective is limited. Accordingly, we cannot guarantee that a current prospectus will be available at all times to broker-dealers wishing to resell their Exchange Notes.</w:t>
      </w:r>
    </w:p>
    <w:p>
      <w:pPr>
        <w:spacing w:after="0" w:line="19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Risks Relating to the Exchange Notes</w:t>
      </w:r>
    </w:p>
    <w:p>
      <w:pPr>
        <w:spacing w:after="0" w:line="84" w:lineRule="exact"/>
        <w:rPr>
          <w:sz w:val="20"/>
          <w:szCs w:val="20"/>
          <w:color w:val="auto"/>
        </w:rPr>
      </w:pPr>
    </w:p>
    <w:p>
      <w:pPr>
        <w:ind w:left="1480" w:right="5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substantial indebtedness could adversely affect our financial health, our ability to execute our business strategy and our ability to fulfill our obligations under the Exchange Notes.</w:t>
      </w:r>
    </w:p>
    <w:p>
      <w:pPr>
        <w:spacing w:after="0" w:line="50" w:lineRule="exact"/>
        <w:rPr>
          <w:sz w:val="20"/>
          <w:szCs w:val="20"/>
          <w:color w:val="auto"/>
        </w:rPr>
      </w:pPr>
    </w:p>
    <w:p>
      <w:pPr>
        <w:ind w:left="1480" w:right="459" w:firstLine="333"/>
        <w:spacing w:after="0" w:line="293" w:lineRule="auto"/>
        <w:rPr>
          <w:sz w:val="20"/>
          <w:szCs w:val="20"/>
          <w:color w:val="auto"/>
        </w:rPr>
      </w:pPr>
      <w:r>
        <w:rPr>
          <w:rFonts w:ascii="Times New Roman" w:cs="Times New Roman" w:eastAsia="Times New Roman" w:hAnsi="Times New Roman"/>
          <w:sz w:val="12"/>
          <w:szCs w:val="12"/>
          <w:color w:val="auto"/>
        </w:rPr>
        <w:t>From time to time, we require significant expenditures to support our growth and respond to business challenges, and as a result we have additional cash requirements to support the payment of interest on our outstanding indebtedness. We have outstanding indebtedness and other financial obligations, including backstops, and significant unused borrowing capacity under our revolving credit facility. As of May 3, 2026, (i) the Issuer had approximately $61,437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money of such subsidiaries would be structurally senior to the Exchange Notes with respect to claims on the assets and cash flows of the Issuer’s subsidiaries. We may also incur additional indebtedness or enter into other financing arrangements, including backstops, in the future. Our substantial existing indebtedness and any incurrence of additional indebtedness in the future and the instruments governing our indebtedness could have important consequences including:</w:t>
      </w:r>
    </w:p>
    <w:p>
      <w:pPr>
        <w:spacing w:after="0" w:line="215" w:lineRule="exact"/>
        <w:rPr>
          <w:sz w:val="20"/>
          <w:szCs w:val="20"/>
          <w:color w:val="auto"/>
        </w:rPr>
      </w:pPr>
    </w:p>
    <w:p>
      <w:pPr>
        <w:ind w:left="2220" w:hanging="334"/>
        <w:spacing w:after="0"/>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general economic and industry conditions;</w:t>
      </w:r>
    </w:p>
    <w:p>
      <w:pPr>
        <w:spacing w:after="0" w:line="94" w:lineRule="exact"/>
        <w:rPr>
          <w:rFonts w:ascii="Times New Roman" w:cs="Times New Roman" w:eastAsia="Times New Roman" w:hAnsi="Times New Roman"/>
          <w:sz w:val="14"/>
          <w:szCs w:val="14"/>
          <w:color w:val="auto"/>
        </w:rPr>
      </w:pPr>
    </w:p>
    <w:p>
      <w:pPr>
        <w:ind w:left="5540" w:right="1559" w:hanging="3654"/>
        <w:spacing w:after="0" w:line="432" w:lineRule="auto"/>
        <w:tabs>
          <w:tab w:leader="none" w:pos="222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or reacting to, changes in the economy and the industries in which we operate; -10-</w:t>
      </w:r>
    </w:p>
    <w:p>
      <w:pPr>
        <w:sectPr>
          <w:pgSz w:w="11900" w:h="16838" w:orient="portrait"/>
          <w:cols w:equalWidth="0" w:num="1">
            <w:col w:w="10159"/>
          </w:cols>
          <w:pgMar w:left="300" w:top="37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hanging="334"/>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competitive disadvantage compared to our competitors with less indebtedness;</w:t>
      </w:r>
    </w:p>
    <w:p>
      <w:pPr>
        <w:spacing w:after="0" w:line="94" w:lineRule="exact"/>
        <w:rPr>
          <w:rFonts w:ascii="Times New Roman" w:cs="Times New Roman" w:eastAsia="Times New Roman" w:hAnsi="Times New Roman"/>
          <w:sz w:val="14"/>
          <w:szCs w:val="14"/>
          <w:color w:val="auto"/>
        </w:rPr>
      </w:pPr>
    </w:p>
    <w:p>
      <w:pPr>
        <w:ind w:left="2220" w:right="599" w:hanging="334"/>
        <w:spacing w:after="0" w:line="264"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more difficult to borrow additional funds in the future to fund growth, acquisitions, working capital, capital expenditures and other purposes;</w:t>
      </w:r>
    </w:p>
    <w:p>
      <w:pPr>
        <w:spacing w:after="0" w:line="64" w:lineRule="exact"/>
        <w:rPr>
          <w:rFonts w:ascii="Times New Roman" w:cs="Times New Roman" w:eastAsia="Times New Roman" w:hAnsi="Times New Roman"/>
          <w:sz w:val="14"/>
          <w:szCs w:val="14"/>
          <w:color w:val="auto"/>
        </w:rPr>
      </w:pPr>
    </w:p>
    <w:p>
      <w:pPr>
        <w:ind w:left="2220" w:right="799" w:hanging="334"/>
        <w:spacing w:after="0" w:line="264"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potentially requiring us to dedicate a substantial portion of our cash flow from operations to payments on our indebtedness, thereby reducing the availability of our cash flow to fund our other business needs; and</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it more difficult for us to satisfy our financial obligations, including the Issuer’s obligations with respect to the Exchange Notes.</w:t>
      </w:r>
    </w:p>
    <w:p>
      <w:pPr>
        <w:spacing w:after="0" w:line="189" w:lineRule="exact"/>
        <w:rPr>
          <w:sz w:val="20"/>
          <w:szCs w:val="20"/>
          <w:color w:val="auto"/>
        </w:rPr>
      </w:pPr>
    </w:p>
    <w:p>
      <w:pPr>
        <w:ind w:left="1480" w:right="479" w:firstLine="333"/>
        <w:spacing w:after="0" w:line="248" w:lineRule="auto"/>
        <w:rPr>
          <w:sz w:val="20"/>
          <w:szCs w:val="20"/>
          <w:color w:val="auto"/>
        </w:rPr>
      </w:pPr>
      <w:r>
        <w:rPr>
          <w:rFonts w:ascii="Times New Roman" w:cs="Times New Roman" w:eastAsia="Times New Roman" w:hAnsi="Times New Roman"/>
          <w:sz w:val="14"/>
          <w:szCs w:val="14"/>
          <w:color w:val="auto"/>
        </w:rPr>
        <w:t>We receive debt ratings from the major credit rating agencies in the United States. Factors that may impact our credit ratings include debt levels, planned asset purchases or sales and near-term and long-term production growth opportunities. Liquidity, asset quality, cost structure, reserve mix and commodity pricing levels could also be considered by the rating agencies. While we are focused on maintaining investment grade ratings from these agencies, we may be unable to do so. Any downgrade in our credit rating or the ratings of our indebtedness, or adverse conditions in the debt capital markets, could:</w:t>
      </w:r>
    </w:p>
    <w:p>
      <w:pPr>
        <w:spacing w:after="0" w:line="77" w:lineRule="exact"/>
        <w:rPr>
          <w:sz w:val="20"/>
          <w:szCs w:val="20"/>
          <w:color w:val="auto"/>
        </w:rPr>
      </w:pPr>
    </w:p>
    <w:p>
      <w:pPr>
        <w:ind w:left="2220" w:hanging="334"/>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the trading prices of, or markets for, our debt securities;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interest expense under our term facilities;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cost of, and adversely affect our ability to refinance, our existing debt; and</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our ability to raise additional debt.</w:t>
      </w:r>
    </w:p>
    <w:p>
      <w:pPr>
        <w:spacing w:after="0" w:line="166" w:lineRule="exact"/>
        <w:rPr>
          <w:sz w:val="20"/>
          <w:szCs w:val="20"/>
          <w:color w:val="auto"/>
        </w:rPr>
      </w:pPr>
    </w:p>
    <w:p>
      <w:pPr>
        <w:ind w:left="1480" w:right="499" w:firstLine="333"/>
        <w:spacing w:after="0" w:line="264" w:lineRule="auto"/>
        <w:rPr>
          <w:sz w:val="20"/>
          <w:szCs w:val="20"/>
          <w:color w:val="auto"/>
        </w:rPr>
      </w:pPr>
      <w:r>
        <w:rPr>
          <w:rFonts w:ascii="Times New Roman" w:cs="Times New Roman" w:eastAsia="Times New Roman" w:hAnsi="Times New Roman"/>
          <w:sz w:val="14"/>
          <w:szCs w:val="14"/>
          <w:color w:val="auto"/>
        </w:rPr>
        <w:t>In addition, the current market volatility may adversely impact our ability to manage our debt, including through borrowing at favorable interest rates or due to reduced cash flows.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The instruments governing our indebtedness impose certain restrictions on our business.</w:t>
      </w:r>
    </w:p>
    <w:p>
      <w:pPr>
        <w:spacing w:after="0" w:line="88" w:lineRule="exact"/>
        <w:rPr>
          <w:sz w:val="20"/>
          <w:szCs w:val="20"/>
          <w:color w:val="auto"/>
        </w:rPr>
      </w:pPr>
    </w:p>
    <w:p>
      <w:pPr>
        <w:ind w:left="1480" w:right="379" w:firstLine="333"/>
        <w:spacing w:after="0" w:line="246" w:lineRule="auto"/>
        <w:rPr>
          <w:sz w:val="20"/>
          <w:szCs w:val="20"/>
          <w:color w:val="auto"/>
        </w:rPr>
      </w:pPr>
      <w:r>
        <w:rPr>
          <w:rFonts w:ascii="Times New Roman" w:cs="Times New Roman" w:eastAsia="Times New Roman" w:hAnsi="Times New Roman"/>
          <w:sz w:val="14"/>
          <w:szCs w:val="14"/>
          <w:color w:val="auto"/>
        </w:rPr>
        <w:t>The instruments governing our indebtedness contain, and the Indenture governing the Exchange Notes contains, certain covenants imposing restrictions on our business. These restrictions may affect our ability to operate our business, to plan for, or react to, changes in the market conditions or our capital needs and may limit our ability to take advantage of potential business opportunities as they arise. The restrictions placed on us include maintenance of an interest coverage ratio and limitations on our ability to incur certain secured debt, enter into certain sale and lease-back transactions and consolidate, merge, sell or otherwise dispose of all or substantially all of our assets. In addition, these instruments contain customary events of default upon the occurrence of which, after any applicable grace period, the indebtedness could be declared immediately due and payable. In such event, we may not have sufficient available cash to repay such debt at the time it becomes due, or be able to refinance such debt on acceptable terms or at all. Any of the foregoing could materially adversely affect our business, financial condition and results of operations.</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b w:val="1"/>
          <w:bCs w:val="1"/>
          <w:i w:val="1"/>
          <w:iCs w:val="1"/>
          <w:color w:val="auto"/>
        </w:rPr>
        <w:t>Servicing our debt requires a significant amount of cash, and we may not have sufficient cash flow from our business to pay our substantial debt.</w:t>
      </w:r>
    </w:p>
    <w:p>
      <w:pPr>
        <w:spacing w:after="0" w:line="111" w:lineRule="exact"/>
        <w:rPr>
          <w:sz w:val="20"/>
          <w:szCs w:val="20"/>
          <w:color w:val="auto"/>
        </w:rPr>
      </w:pPr>
    </w:p>
    <w:p>
      <w:pPr>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Our ability to make scheduled payments of the principal of, to pay interest on, and to refinance, our debt, depends on our future performance, which is subject to economic, financial, competitive and other factors. Our business may not continue to generate cash flow from operations in the future sufficient to satisfy our obligations under our existing indebtedness, the Exchange Notes,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our outstanding indebtedness or future indebtedness will depend on the capital markets and our financial condition at such time. We may not be able to engage in any of these activities or engage in these activities on desirable terms when needed, which could result in a default on our indebtedness.</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7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firstLine="333"/>
        <w:spacing w:after="0" w:line="300" w:lineRule="auto"/>
        <w:rPr>
          <w:sz w:val="20"/>
          <w:szCs w:val="20"/>
          <w:color w:val="auto"/>
        </w:rPr>
      </w:pPr>
      <w:r>
        <w:rPr>
          <w:rFonts w:ascii="Times New Roman" w:cs="Times New Roman" w:eastAsia="Times New Roman" w:hAnsi="Times New Roman"/>
          <w:sz w:val="12"/>
          <w:szCs w:val="12"/>
          <w:color w:val="auto"/>
        </w:rPr>
        <w:t>In addition, we conduct our operations through our subsidiaries, none of which are or will be guarantors of the Exchange Notes. Accordingly, repayment of our indebtedness, including the Exchange Notes, is dependent on the generation of cash flow by our subsidiaries and their ability to make such cash available to us, by dividend, debt payment or otherwise. Our subsidiaries may not be able to, or may not be permitted to, make distributions to enable us to make payments in respect of our indebtedness, including the Exchange Notes. In the event that we do not receive distributions from our subsidiaries, we may be unable to make required principal and interest payments on our indebtedness, including the Exchange Notes.</w:t>
      </w:r>
    </w:p>
    <w:p>
      <w:pPr>
        <w:spacing w:after="0" w:line="1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Claims of holders of the Exchange Notes will be structurally subordinated to claims of creditors of our existing and future subsidiaries.</w:t>
      </w:r>
    </w:p>
    <w:p>
      <w:pPr>
        <w:spacing w:after="0" w:line="88" w:lineRule="exact"/>
        <w:rPr>
          <w:sz w:val="20"/>
          <w:szCs w:val="20"/>
          <w:color w:val="auto"/>
        </w:rPr>
      </w:pPr>
    </w:p>
    <w:p>
      <w:pPr>
        <w:ind w:left="1480" w:right="379" w:firstLine="333"/>
        <w:spacing w:after="0" w:line="245" w:lineRule="auto"/>
        <w:rPr>
          <w:sz w:val="20"/>
          <w:szCs w:val="20"/>
          <w:color w:val="auto"/>
        </w:rPr>
      </w:pPr>
      <w:r>
        <w:rPr>
          <w:rFonts w:ascii="Times New Roman" w:cs="Times New Roman" w:eastAsia="Times New Roman" w:hAnsi="Times New Roman"/>
          <w:sz w:val="14"/>
          <w:szCs w:val="14"/>
          <w:color w:val="auto"/>
        </w:rPr>
        <w:t>The Outstanding Notes are not, and the Exchange Notes will not be, guaranteed by any of the Issuer’s subsidiaries. Payments on the Exchange Notes are required to be made only by the Issuer. As a result, no payments are required to be made from assets of the Issuer’s subsidiaries, unless those assets are transferred by dividend or otherwise to the Issuer. In the event that any subsidiary becomes insolvent, liquidates, reorganizes, dissolves or otherwise winds up, holders of its debt and its trade creditors generally will be entitled to payment on their claims from the assets of that subsidiary before any of those assets are made available to the Issuer. Consequently, your claims in respect of the Exchange Notes will be structurally subordinated to all existing and future liabilities and obligations of the Issuer’s subsidiaries. As of May 3, 2026, (i) the Issuer had approximately $61,437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money of such subsidiaries would be structurally senior to the Exchange Notes with respect to claims on the assets and cash flows of the Issuer’s subsidiaries.</w:t>
      </w:r>
    </w:p>
    <w:p>
      <w:pPr>
        <w:spacing w:after="0" w:line="154" w:lineRule="exact"/>
        <w:rPr>
          <w:sz w:val="20"/>
          <w:szCs w:val="20"/>
          <w:color w:val="auto"/>
        </w:rPr>
      </w:pPr>
    </w:p>
    <w:p>
      <w:pPr>
        <w:ind w:left="1480" w:right="379" w:firstLine="333"/>
        <w:spacing w:after="0" w:line="254" w:lineRule="auto"/>
        <w:rPr>
          <w:sz w:val="20"/>
          <w:szCs w:val="20"/>
          <w:color w:val="auto"/>
        </w:rPr>
      </w:pPr>
      <w:r>
        <w:rPr>
          <w:rFonts w:ascii="Times New Roman" w:cs="Times New Roman" w:eastAsia="Times New Roman" w:hAnsi="Times New Roman"/>
          <w:sz w:val="14"/>
          <w:szCs w:val="14"/>
          <w:color w:val="auto"/>
        </w:rPr>
        <w:t>Since the Exchange Notes will not be guaranteed, no holder of the Exchange Notes will have a claim as a creditor against any of the Issuer’s subsidiaries, and the indebtedness and other liabilities, including trade payables and preferred stock, if any, whether secured or unsecured, of the Issuer’s subsidiaries will be structurally senior to the claim of any holders of the Exchange Notes.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repurchase the Exchange Notes upon a Change of Control Triggering Event.</w:t>
      </w:r>
    </w:p>
    <w:p>
      <w:pPr>
        <w:spacing w:after="0" w:line="88" w:lineRule="exact"/>
        <w:rPr>
          <w:sz w:val="20"/>
          <w:szCs w:val="20"/>
          <w:color w:val="auto"/>
        </w:rPr>
      </w:pPr>
    </w:p>
    <w:p>
      <w:pPr>
        <w:ind w:left="1480" w:right="399" w:firstLine="333"/>
        <w:spacing w:after="0" w:line="247" w:lineRule="auto"/>
        <w:rPr>
          <w:sz w:val="20"/>
          <w:szCs w:val="20"/>
          <w:color w:val="auto"/>
        </w:rPr>
      </w:pPr>
      <w:r>
        <w:rPr>
          <w:rFonts w:ascii="Times New Roman" w:cs="Times New Roman" w:eastAsia="Times New Roman" w:hAnsi="Times New Roman"/>
          <w:sz w:val="14"/>
          <w:szCs w:val="14"/>
          <w:color w:val="auto"/>
        </w:rPr>
        <w:t>Upon the occurrence of a Change of Control Triggering Event (as defined under “Description of Exchange Notes—Purchase of Notes upon a Change of Control Triggering Event”), unless the Issuer has exercised its option to redeem the Exchange Notes as described below under “Description of Exchange Notes—Optional Redemption,” each holder of Exchange Notes will have the right to require that the Issuer purchase all or a portion (equal to a minimum of $2,000 or an integral multiple of $1,000 in excess thereof) of such holder’s Exchange Notes, at a purchase price equal to 101% of the aggregate principal amount thereof plus accrued and unpaid interest, if any, to, but excluding, the date of purchase, subject to the rights of holders of Exchange Notes on the relevant record date to receive interest due on the relevant interest payment date. See “Description of Exchange Notes— Purchase of Notes upon a Change of Control Triggering Event.”</w:t>
      </w:r>
    </w:p>
    <w:p>
      <w:pPr>
        <w:spacing w:after="0" w:line="147" w:lineRule="exact"/>
        <w:rPr>
          <w:sz w:val="20"/>
          <w:szCs w:val="20"/>
          <w:color w:val="auto"/>
        </w:rPr>
      </w:pPr>
    </w:p>
    <w:p>
      <w:pPr>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The source of funds for any purchase of the Exchange Notes will be the Issuer’s available cash or cash generated from its subsidiaries’ operations or other sources, including borrowings, sales of assets or sales of equity. The Issuer may not be able to repurchase the Exchange Notes upon a Change of Control Triggering Event because it may not have sufficient financial resources to purchase all of the Exchange Notes that are tendered upon a Change of Control Triggering Event. Further, the Issuer may be contractually restricted under the terms of other debt we may incur in the future from repurchasing all of the Exchange Notes tendered by holders upon a Change of Control Triggering Event. Accordingly, the Issuer may not be able to satisfy its obligation to purchase the Exchange Notes unless we are able to refinance or obtain waivers under such other indebtedness. Such failure to repurchase any tendered Exchange Notes upon a Change of Control (as defined under “Description of Exchange Notes—Purchase of Notes upon a Change of Control Triggering Event”) would cause a default under</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7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spacing w:after="0" w:line="250" w:lineRule="auto"/>
        <w:rPr>
          <w:sz w:val="20"/>
          <w:szCs w:val="20"/>
          <w:color w:val="auto"/>
        </w:rPr>
      </w:pPr>
      <w:r>
        <w:rPr>
          <w:rFonts w:ascii="Times New Roman" w:cs="Times New Roman" w:eastAsia="Times New Roman" w:hAnsi="Times New Roman"/>
          <w:sz w:val="14"/>
          <w:szCs w:val="14"/>
          <w:color w:val="auto"/>
        </w:rPr>
        <w:t>the Indenture governing the Exchange Notes and may cause a default under other debt agreements governing our other indebtedness, including our other indentures and credit agreements. Any transaction causing the occurrence of a Change of Control Triggering Event may also require us to offer to repurchase or repay our other indebtedness pursuant to similar provisions in our other debt agreements, including our indentures, and any of our future debt agreements may contain similar provisions.</w:t>
      </w:r>
    </w:p>
    <w:p>
      <w:pPr>
        <w:spacing w:after="0" w:line="224" w:lineRule="exact"/>
        <w:rPr>
          <w:sz w:val="20"/>
          <w:szCs w:val="20"/>
          <w:color w:val="auto"/>
        </w:rPr>
      </w:pPr>
    </w:p>
    <w:p>
      <w:pPr>
        <w:ind w:left="1480" w:right="7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Holders of the Exchange Notes may not be able to determine when a Change of Control giving rise to their right to have the Exchange Notes repurchased has occurred following a sale of “substantially all” of the assets of Broadcom.</w:t>
      </w:r>
    </w:p>
    <w:p>
      <w:pPr>
        <w:spacing w:after="0" w:line="50" w:lineRule="exact"/>
        <w:rPr>
          <w:sz w:val="20"/>
          <w:szCs w:val="20"/>
          <w:color w:val="auto"/>
        </w:rPr>
      </w:pPr>
    </w:p>
    <w:p>
      <w:pPr>
        <w:ind w:left="1480" w:right="379" w:firstLine="333"/>
        <w:spacing w:after="0" w:line="292" w:lineRule="auto"/>
        <w:rPr>
          <w:sz w:val="20"/>
          <w:szCs w:val="20"/>
          <w:color w:val="auto"/>
        </w:rPr>
      </w:pPr>
      <w:r>
        <w:rPr>
          <w:rFonts w:ascii="Times New Roman" w:cs="Times New Roman" w:eastAsia="Times New Roman" w:hAnsi="Times New Roman"/>
          <w:sz w:val="12"/>
          <w:szCs w:val="12"/>
          <w:color w:val="auto"/>
        </w:rPr>
        <w:t>The phrase “all or substantially all,” as used with respect to our assets in the definition of “Change of Control,” is subject to interpretation under applicable state law, and its applicability in a given instance would depend upon the facts and circumstances. There is a limited body of case law interpreting the phrase “substantially all,” and there is no precise established definition of the phrase under applicable law. Accordingly, the applicability of the requirement that the Issuer offer to repurchase the Exchange Notes as a result of a sale, transfer, conveyance or other disposition of less than all of its assets and the assets of its subsidiaries, taken as a whole, to another person may be uncertain. In addition, some important corporate events, such as leveraged recapitalizations or the sale of the Issuer to a public company that does not have a majority stockholder may not, under the Indenture governing the Exchange Notes, constitute a Change of Control that would require the Issuer to repurchase the Exchange Notes, even though those corporate events could increase the level of our indebtedness or otherwise adversely affect our capital structure, credit ratings or the value of the Exchange Notes. See “Description of Exchange Notes—Purchase of Notes upon a Change of Control Triggering Event.” Similar provisions in our other debt agreements, including our indentures and credit agreements, and in any of our future debt agreements, may present similar risks.</w:t>
      </w:r>
    </w:p>
    <w:p>
      <w:pPr>
        <w:spacing w:after="0" w:line="36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An increase in market interest rates could result in a decrease in the relative value of the Exchange Notes.</w:t>
      </w:r>
    </w:p>
    <w:p>
      <w:pPr>
        <w:spacing w:after="0" w:line="88" w:lineRule="exact"/>
        <w:rPr>
          <w:sz w:val="20"/>
          <w:szCs w:val="20"/>
          <w:color w:val="auto"/>
        </w:rPr>
      </w:pPr>
    </w:p>
    <w:p>
      <w:pPr>
        <w:ind w:left="1480" w:right="419" w:firstLine="333"/>
        <w:spacing w:after="0" w:line="254" w:lineRule="auto"/>
        <w:rPr>
          <w:sz w:val="20"/>
          <w:szCs w:val="20"/>
          <w:color w:val="auto"/>
        </w:rPr>
      </w:pPr>
      <w:r>
        <w:rPr>
          <w:rFonts w:ascii="Times New Roman" w:cs="Times New Roman" w:eastAsia="Times New Roman" w:hAnsi="Times New Roman"/>
          <w:sz w:val="14"/>
          <w:szCs w:val="14"/>
          <w:color w:val="auto"/>
        </w:rPr>
        <w:t>In general, as market interest rates rise, debt instruments bearing interest at a fixed rate decline in value because the premium over market interest rates, if any, will decline. Consequently, if you exchange your Outstanding Notes in the Exchange Offer and market interest rates increase, the market values of your Exchange Notes may decline. We cannot predict the future level of market interest rates.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Our credit ratings may not reflect all risks of your investment in the Exchange Notes.</w:t>
      </w:r>
    </w:p>
    <w:p>
      <w:pPr>
        <w:spacing w:after="0" w:line="88" w:lineRule="exact"/>
        <w:rPr>
          <w:sz w:val="20"/>
          <w:szCs w:val="20"/>
          <w:color w:val="auto"/>
        </w:rPr>
      </w:pPr>
    </w:p>
    <w:p>
      <w:pPr>
        <w:ind w:left="1480" w:right="419" w:firstLine="333"/>
        <w:spacing w:after="0" w:line="248" w:lineRule="auto"/>
        <w:rPr>
          <w:sz w:val="20"/>
          <w:szCs w:val="20"/>
          <w:color w:val="auto"/>
        </w:rPr>
      </w:pPr>
      <w:r>
        <w:rPr>
          <w:rFonts w:ascii="Times New Roman" w:cs="Times New Roman" w:eastAsia="Times New Roman" w:hAnsi="Times New Roman"/>
          <w:sz w:val="14"/>
          <w:szCs w:val="14"/>
          <w:color w:val="auto"/>
        </w:rPr>
        <w:t>Any credit ratings assigned or that will be assigned to the Exchange Notes are limited in scope, and do not address all material risks relating to an investment in the Exchange Notes, but rather reflect only the view of each rating agency at the time the rating is issued. An explanation of the significance of such rating may be obtained from such rating agency. We cannot assure you that such credit ratings will remain in effect for any given period of time or that a rating will not be lowered, suspended or withdrawn entirely by the applicable rating agencies, if, in such rating agency’s judgment, circumstances so warrant.</w:t>
      </w:r>
    </w:p>
    <w:p>
      <w:pPr>
        <w:spacing w:after="0" w:line="149" w:lineRule="exact"/>
        <w:rPr>
          <w:sz w:val="20"/>
          <w:szCs w:val="20"/>
          <w:color w:val="auto"/>
        </w:rPr>
      </w:pPr>
    </w:p>
    <w:p>
      <w:pPr>
        <w:jc w:val="both"/>
        <w:ind w:left="1480" w:right="459" w:firstLine="333"/>
        <w:spacing w:after="0" w:line="254" w:lineRule="auto"/>
        <w:rPr>
          <w:sz w:val="20"/>
          <w:szCs w:val="20"/>
          <w:color w:val="auto"/>
        </w:rPr>
      </w:pPr>
      <w:r>
        <w:rPr>
          <w:rFonts w:ascii="Times New Roman" w:cs="Times New Roman" w:eastAsia="Times New Roman" w:hAnsi="Times New Roman"/>
          <w:sz w:val="14"/>
          <w:szCs w:val="14"/>
          <w:color w:val="auto"/>
        </w:rPr>
        <w:t>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further review for a downgrade, could affect the market value of the Exchange Notes and increase our corporate borrowing costs.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The Issuer may choose to redeem some or all of the Exchange Notes prior to maturity.</w:t>
      </w:r>
    </w:p>
    <w:p>
      <w:pPr>
        <w:spacing w:after="0" w:line="88" w:lineRule="exact"/>
        <w:rPr>
          <w:sz w:val="20"/>
          <w:szCs w:val="20"/>
          <w:color w:val="auto"/>
        </w:rPr>
      </w:pPr>
    </w:p>
    <w:p>
      <w:pPr>
        <w:jc w:val="both"/>
        <w:ind w:left="1480" w:right="599" w:firstLine="333"/>
        <w:spacing w:after="0" w:line="316" w:lineRule="auto"/>
        <w:rPr>
          <w:sz w:val="20"/>
          <w:szCs w:val="20"/>
          <w:color w:val="auto"/>
        </w:rPr>
      </w:pPr>
      <w:r>
        <w:rPr>
          <w:rFonts w:ascii="Times New Roman" w:cs="Times New Roman" w:eastAsia="Times New Roman" w:hAnsi="Times New Roman"/>
          <w:sz w:val="12"/>
          <w:szCs w:val="12"/>
          <w:color w:val="auto"/>
        </w:rPr>
        <w:t>The Issuer may redeem some or all of the Exchange Notes at any time and from time to time. See “Description of Exchange Notes—Optional Redemption.” Although the Exchange Notes contain provisions designed to compensate you for the lost value of such Exchange Notes if we redeem some or all of such Exchange Notes prior to maturity, such provisions only approximate this lost value and may not adequately</w:t>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7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color w:val="auto"/>
        </w:rPr>
        <w:t>compensate you. Furthermore, in the event that certain changes in the tax law of any relevant jurisdiction would require a non-U.S. Payor (as defined in “Description of Exchange Notes—Additional Amounts”), following the occurrence of a Non-U.S. Domicile Transaction (as defined in “Description of Exchange Notes—Certain Covenants—Limitation on Mergers and Other Transactions”), to make payments of “additional amounts” on a series of Exchange Notes, the non-U.S. Payor may redeem such series of Exchange Notes in whole, but not in part, at any time, at a redemption price of 100% of the principal amount, plus accrued and unpaid interest, if any, and additional amounts, if any, to, but excluding, the date of redemption. See “Description of Exchange Notes—Additional Amounts.” Depending on prevailing interest rates at the time of any such redemption, you may not be able to reinvest the redemption proceeds in a comparable security (including with comparable ratings) at an interest rate as high as the interest rate of the Exchange Notes of the applicable series being redeemed or at an interest rate that would otherwise compensate you for any lost value as a result of any redemption of Exchange Notes.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There are limited covenants in the Indenture governing the Exchange Notes.</w:t>
      </w:r>
    </w:p>
    <w:p>
      <w:pPr>
        <w:spacing w:after="0" w:line="88" w:lineRule="exact"/>
        <w:rPr>
          <w:sz w:val="20"/>
          <w:szCs w:val="20"/>
          <w:color w:val="auto"/>
        </w:rPr>
      </w:pPr>
    </w:p>
    <w:p>
      <w:pPr>
        <w:ind w:left="1480" w:right="379" w:firstLine="333"/>
        <w:spacing w:after="0" w:line="291" w:lineRule="auto"/>
        <w:rPr>
          <w:sz w:val="20"/>
          <w:szCs w:val="20"/>
          <w:color w:val="auto"/>
        </w:rPr>
      </w:pPr>
      <w:r>
        <w:rPr>
          <w:rFonts w:ascii="Times New Roman" w:cs="Times New Roman" w:eastAsia="Times New Roman" w:hAnsi="Times New Roman"/>
          <w:sz w:val="12"/>
          <w:szCs w:val="12"/>
          <w:color w:val="auto"/>
        </w:rPr>
        <w:t>The Indenture governing the Exchange Notes contains limited covenants, including those restricting our ability to incur certain secured debt and engage in certain sale and lease-back transactions. The limitations on incurring secured debt and sale and lease-back transactions contain certain exceptions. In addition, neither we nor any of our subsidiaries are restricted from incurring additional unsecured debt or other liabilities, including additional senior debt, under the Indenture governing the Exchange Notes. If we incur additional debt or liabilities, our ability to pay our obligations on the Exchange Notes could be adversely affected. We expect that we will from time to time incur additional debt and other liabilities. In addition, we are not restricted under the Indenture governing the Exchange Notes from paying dividends or issuing or repurchasing our securities. Further, the Indenture governing the Exchange Notes permits us and our subsidiaries to engage in certain significant corporate events that would not constitute a “change of control” that would require us to make an offer to repurchase the Exchange Notes. There are no financial covenants in the Indenture governing the Exchange Notes. You are not protected under the Indenture governing the Exchange Notes in the event of a highly leveraged transaction, reorganization, default under our existing indebtedness, restructuring, merger or similar transaction that may adversely affect you, except to the extent described under “Description of Exchange Notes—Certain Covenants—Limitation on Mergers and Other Transactions.”</w:t>
      </w:r>
    </w:p>
    <w:p>
      <w:pPr>
        <w:spacing w:after="0" w:line="3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prices of the Exchange Notes may be volatile and can be directly affected by many factors, including our credit rating.</w:t>
      </w:r>
    </w:p>
    <w:p>
      <w:pPr>
        <w:spacing w:after="0" w:line="88" w:lineRule="exact"/>
        <w:rPr>
          <w:sz w:val="20"/>
          <w:szCs w:val="20"/>
          <w:color w:val="auto"/>
        </w:rPr>
      </w:pPr>
    </w:p>
    <w:p>
      <w:pPr>
        <w:ind w:left="1480" w:right="359" w:firstLine="333"/>
        <w:spacing w:after="0" w:line="297" w:lineRule="auto"/>
        <w:rPr>
          <w:sz w:val="20"/>
          <w:szCs w:val="20"/>
          <w:color w:val="auto"/>
        </w:rPr>
      </w:pPr>
      <w:r>
        <w:rPr>
          <w:rFonts w:ascii="Times New Roman" w:cs="Times New Roman" w:eastAsia="Times New Roman" w:hAnsi="Times New Roman"/>
          <w:sz w:val="12"/>
          <w:szCs w:val="12"/>
          <w:color w:val="auto"/>
        </w:rPr>
        <w:t>To the extent trading markets for the Exchange Notes develop, the trading prices of the Exchange Notes could be subject to significant fluctuation in response to, among other factors, changes in our operating results and financial metrics, interest rates, the market for debt securities, general economic conditions and securities analysts’ recommendations, if any, regarding our securities. Credit rating agencies continually revise their ratings for companies they follow, including us. Any ratings downgrade could adversely affect the trading prices of the Exchange Notes, or the trading market for the Exchange Notes, to the extent a trading market for the Exchange Notes develops. The condition of the financial and credit markets and prevailing interest rates have fluctuated in the past and are likely to fluctuate in the future and any fluctuation may impact the trading prices of the Exchange Notes.</w:t>
      </w:r>
    </w:p>
    <w:p>
      <w:pPr>
        <w:spacing w:after="0" w:line="197" w:lineRule="exact"/>
        <w:rPr>
          <w:sz w:val="20"/>
          <w:szCs w:val="20"/>
          <w:color w:val="auto"/>
        </w:rPr>
      </w:pPr>
    </w:p>
    <w:p>
      <w:pPr>
        <w:ind w:left="1480" w:right="4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refinance our indebtedness on favorable terms, if at all. Our inability to refinance our indebtedness, including the Exchange Notes, could materially and adversely affect our liquidity and our ongoing results of operations.</w:t>
      </w:r>
    </w:p>
    <w:p>
      <w:pPr>
        <w:spacing w:after="0" w:line="50" w:lineRule="exact"/>
        <w:rPr>
          <w:sz w:val="20"/>
          <w:szCs w:val="20"/>
          <w:color w:val="auto"/>
        </w:rPr>
      </w:pPr>
    </w:p>
    <w:p>
      <w:pPr>
        <w:ind w:left="1480" w:right="399" w:firstLine="333"/>
        <w:spacing w:after="0" w:line="316" w:lineRule="auto"/>
        <w:rPr>
          <w:sz w:val="20"/>
          <w:szCs w:val="20"/>
          <w:color w:val="auto"/>
        </w:rPr>
      </w:pPr>
      <w:r>
        <w:rPr>
          <w:rFonts w:ascii="Times New Roman" w:cs="Times New Roman" w:eastAsia="Times New Roman" w:hAnsi="Times New Roman"/>
          <w:sz w:val="12"/>
          <w:szCs w:val="12"/>
          <w:color w:val="auto"/>
        </w:rPr>
        <w:t>Our ability to refinance our indebtedness will depend in part on our operating and financial performance, which, in turn, is subject to prevailing economic conditions and to financial, business, legislative, regulatory and other factors beyond our control. In addition, prevailing interest rates or other factors at the time of refinancing could increase our interest expense. A refinancing of our indebtedness could also require us to comply with more</w:t>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7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both"/>
        <w:ind w:left="1480" w:right="419"/>
        <w:spacing w:after="0" w:line="254" w:lineRule="auto"/>
        <w:rPr>
          <w:sz w:val="20"/>
          <w:szCs w:val="20"/>
          <w:color w:val="auto"/>
        </w:rPr>
      </w:pPr>
      <w:r>
        <w:rPr>
          <w:rFonts w:ascii="Times New Roman" w:cs="Times New Roman" w:eastAsia="Times New Roman" w:hAnsi="Times New Roman"/>
          <w:sz w:val="14"/>
          <w:szCs w:val="14"/>
          <w:color w:val="auto"/>
        </w:rPr>
        <w:t>onerous covenants than the covenants to which we are presently subject and restrict our business operations. Our inability to refinance our indebtedness or to do so upon attractive terms could materially and adversely affect our business, prospects, results of operations, financial condition and cash flows, and make us more vulnerable to adverse industry and general economic conditions.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7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0" w:lineRule="exact"/>
        <w:rPr>
          <w:sz w:val="20"/>
          <w:szCs w:val="20"/>
          <w:color w:val="auto"/>
        </w:rPr>
      </w:pPr>
    </w:p>
    <w:p>
      <w:pPr>
        <w:ind w:left="1480" w:right="379" w:firstLine="333"/>
        <w:spacing w:after="0" w:line="246" w:lineRule="auto"/>
        <w:rPr>
          <w:sz w:val="20"/>
          <w:szCs w:val="20"/>
          <w:color w:val="auto"/>
        </w:rPr>
      </w:pPr>
      <w:r>
        <w:rPr>
          <w:rFonts w:ascii="Times New Roman" w:cs="Times New Roman" w:eastAsia="Times New Roman" w:hAnsi="Times New Roman"/>
          <w:sz w:val="14"/>
          <w:szCs w:val="14"/>
          <w:color w:val="auto"/>
        </w:rPr>
        <w:t>This prospectus, any free writing prospectus and the documents incorporated by reference into this prospectus may contain forward-looking statements (including within the meaning of Section 21E of the Exchange Act, and Section 27A of the Securities Act) concerning Broadcom. These statements include, but are not limited to, statements that address our expected future business and financial performance and other statements identified by words such as “will,” “expect,” “believe,” “anticipate,” “estimate,” “should,” “intend,” “plan,” “potential,” “predict,” “project,” “aim,” and similar words, phrases or expressions. These forward-looking statements are based on current expectations and beliefs of Broadcom’s management, current information available to Broadcom’s management, and current market trends and market conditions, and involve risks and uncertainties that may cause actual results to differ materially from those contained in forward-looking statements. Accordingly, we caution you not to place undue reliance on these statements.</w:t>
      </w:r>
    </w:p>
    <w:p>
      <w:pPr>
        <w:spacing w:after="0" w:line="150" w:lineRule="exact"/>
        <w:rPr>
          <w:sz w:val="20"/>
          <w:szCs w:val="20"/>
          <w:color w:val="auto"/>
        </w:rPr>
      </w:pPr>
    </w:p>
    <w:p>
      <w:pPr>
        <w:ind w:left="1480" w:right="359" w:firstLine="333"/>
        <w:spacing w:after="0" w:line="287" w:lineRule="auto"/>
        <w:rPr>
          <w:sz w:val="20"/>
          <w:szCs w:val="20"/>
          <w:color w:val="auto"/>
        </w:rPr>
      </w:pPr>
      <w:r>
        <w:rPr>
          <w:rFonts w:ascii="Times New Roman" w:cs="Times New Roman" w:eastAsia="Times New Roman" w:hAnsi="Times New Roman"/>
          <w:sz w:val="12"/>
          <w:szCs w:val="12"/>
          <w:color w:val="auto"/>
        </w:rPr>
        <w:t>Particular uncertainties that could materially affect future results include risks associated with: global economic conditions and uncertainty; government regulations, trade restrictions and trade tensions; global political and economic conditions relating to our international operations; cyclicality in the semiconductor industry undergoing profound change due to AI; any loss of our significant customers and fluctuations in the timing and volume of significant customer demand; the slow or unsuccessful return on our research and development investments, expansion of our business strategy or adoption of new business models; our dependence on contract manufacturing and outsourced supply chain; our dependency on a limited number of suppliers; our ability to continue winning business in the semiconductor solutions industry; our ability to accurately estimate customers’ demand and adjust our manufacturing and supply chain accordingly; dependence on senior management and our ability to attract and retain qualified personnel; our ability to maintain or improve gross margin; our ability to protect against cybersecurity threats and a breach of security systems; prolonged disruptions of our, our customers’ or our suppliers’ facilities or other significant operations; our ability to maintain appropriate manufacturing capacity and quality; dependence on and risks associated with distributors and other channel partners of our products; ability of our software portfolio to manage and secure IT infrastructures and environments; demand for our data center virtualization products and customer acceptance of our software, services and business strategy; competitiveness of our software solutions and compatibility of our software with operating environments, platforms or third-party products; our ability to enter into satisfactory software license agreements; use of open source software in our software and services; sales to government customers; our ability to manage our software solutions and services lifecycles; our competitive performance; quarterly and annual fluctuations in operating results; any acquisitions or dispositions we may make, such as delays, challenges and expenses associated with receiving governmental and regulatory approvals and satisfying other closing conditions, and with integrating acquired businesses with our existing businesses and our ability to achieve the benefits, growth prospects and synergies expected by such acquisitions; involvement in legal proceedings; our ability to protect our intellectual property and the unpredictability of any associated litigation expenses; any expenses or reputational damage associated with resolving customer product warranty and indemnification claims, or other undetected defects or bugs; our compliance with privacy and data security laws; corporate responsibility matters; our provision for income taxes and overall cash tax costs; our ability to maintain tax concessions in certain jurisdictions; potential tax liabilities as a result of acquiring VMware; our significant indebtedness and the need to generate sufficient cash flows to service and repay such debt; the amount and frequency of our share repurchase program; and other events and trends on a national, regional, industry-specific and global scale, including those of a political, economic, business, competitive and regulatory 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480" w:right="579" w:firstLine="333"/>
        <w:spacing w:after="0" w:line="250" w:lineRule="auto"/>
        <w:rPr>
          <w:sz w:val="20"/>
          <w:szCs w:val="20"/>
          <w:color w:val="auto"/>
        </w:rPr>
      </w:pPr>
      <w:r>
        <w:rPr>
          <w:rFonts w:ascii="Times New Roman" w:cs="Times New Roman" w:eastAsia="Times New Roman" w:hAnsi="Times New Roman"/>
          <w:sz w:val="14"/>
          <w:szCs w:val="14"/>
          <w:color w:val="auto"/>
        </w:rPr>
        <w:t>All forward-looking statements are qualified in their entirety by reference to the factors discussed under the heading “Risk Factors” in this prospectus and under similar headings in our other filings with the SEC that are incorporated by reference in this prospectus. We caution you that the foregoing list of important factors may not contain all of the material factors that are important to you. In addition, in light of these risks and uncertainties, the matters referred to in the forward-looking statements contained in this prospectus or incorporated by</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7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559"/>
        <w:spacing w:after="0" w:line="264" w:lineRule="auto"/>
        <w:rPr>
          <w:sz w:val="20"/>
          <w:szCs w:val="20"/>
          <w:color w:val="auto"/>
        </w:rPr>
      </w:pPr>
      <w:r>
        <w:rPr>
          <w:rFonts w:ascii="Times New Roman" w:cs="Times New Roman" w:eastAsia="Times New Roman" w:hAnsi="Times New Roman"/>
          <w:sz w:val="14"/>
          <w:szCs w:val="14"/>
          <w:color w:val="auto"/>
        </w:rPr>
        <w:t>reference into this prospectus may not in fact occur. We undertake no intent or obligation to publicly update or revise any forward-looking statement, whether as a result of new information, future events or otherwise, except as required by law.</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7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0" w:lineRule="exact"/>
        <w:rPr>
          <w:sz w:val="20"/>
          <w:szCs w:val="20"/>
          <w:color w:val="auto"/>
        </w:rPr>
      </w:pPr>
    </w:p>
    <w:p>
      <w:pPr>
        <w:ind w:left="1480" w:right="459" w:firstLine="333"/>
        <w:spacing w:after="0" w:line="254" w:lineRule="auto"/>
        <w:rPr>
          <w:sz w:val="20"/>
          <w:szCs w:val="20"/>
          <w:color w:val="auto"/>
        </w:rPr>
      </w:pPr>
      <w:r>
        <w:rPr>
          <w:rFonts w:ascii="Times New Roman" w:cs="Times New Roman" w:eastAsia="Times New Roman" w:hAnsi="Times New Roman"/>
          <w:sz w:val="14"/>
          <w:szCs w:val="14"/>
          <w:color w:val="auto"/>
        </w:rPr>
        <w:t>Broadcom will not receive any cash proceeds from the issuance of the Exchange Notes pursuant to the Exchange Offer. The Outstanding Notes surrendered in exchange for the Exchange Notes will be retired and cancelled and cannot be reissued. Accordingly, the issuance of the Exchange Notes will not result in any increase in our indebtedness.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7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THE EXCHANGE OFFER</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We are offering to exchange a like principal amount of Exchange Notes for any or all Outstanding Notes on the terms and subject to the conditions set forth in this prospectus. We refer to the offer as the “Exchange Offer.” You may tender some or all of your Outstanding Notes pursuant to the Exchange Offer, in permitted denominations.</w:t>
      </w:r>
    </w:p>
    <w:p>
      <w:pPr>
        <w:spacing w:after="0" w:line="142" w:lineRule="exact"/>
        <w:rPr>
          <w:sz w:val="20"/>
          <w:szCs w:val="20"/>
          <w:color w:val="auto"/>
        </w:rPr>
      </w:pPr>
    </w:p>
    <w:p>
      <w:pPr>
        <w:ind w:left="1480" w:right="359" w:firstLine="333"/>
        <w:spacing w:after="0" w:line="305" w:lineRule="auto"/>
        <w:rPr>
          <w:sz w:val="20"/>
          <w:szCs w:val="20"/>
          <w:color w:val="auto"/>
        </w:rPr>
      </w:pPr>
      <w:r>
        <w:rPr>
          <w:rFonts w:ascii="Times New Roman" w:cs="Times New Roman" w:eastAsia="Times New Roman" w:hAnsi="Times New Roman"/>
          <w:sz w:val="12"/>
          <w:szCs w:val="12"/>
          <w:color w:val="auto"/>
        </w:rPr>
        <w:t>As of the date of this prospectus, $3,249,984,000 3.137% Senior Notes due 2035 and $2,750,000,000 3.187% Senior Notes due 2036 are outstanding. This prospectus is first being sent to all registered holders of Outstanding Notes known to us on or about           , 2026. Our obligation to accept Outstanding Notes for exchange pursuant to the Exchange Offer is subject to the satisfaction or waiver of certain conditions set forth under “—Conditions to the Exchange Offer” below. We anticipate that each of the conditions will be satisfied and that no waivers will be necessary.</w:t>
      </w:r>
    </w:p>
    <w:p>
      <w:pPr>
        <w:spacing w:after="0" w:line="1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Purpose and Effect of the Exchange Offer</w:t>
      </w:r>
    </w:p>
    <w:p>
      <w:pPr>
        <w:spacing w:after="0" w:line="88" w:lineRule="exact"/>
        <w:rPr>
          <w:sz w:val="20"/>
          <w:szCs w:val="20"/>
          <w:color w:val="auto"/>
        </w:rPr>
      </w:pPr>
    </w:p>
    <w:p>
      <w:pPr>
        <w:ind w:left="1480" w:right="419" w:firstLine="333"/>
        <w:spacing w:after="0" w:line="293" w:lineRule="auto"/>
        <w:rPr>
          <w:sz w:val="20"/>
          <w:szCs w:val="20"/>
          <w:color w:val="auto"/>
        </w:rPr>
      </w:pPr>
      <w:r>
        <w:rPr>
          <w:rFonts w:ascii="Times New Roman" w:cs="Times New Roman" w:eastAsia="Times New Roman" w:hAnsi="Times New Roman"/>
          <w:sz w:val="12"/>
          <w:szCs w:val="12"/>
          <w:color w:val="auto"/>
        </w:rPr>
        <w:t>In connection with the private exchange offer with respect to the Outstanding Notes, we entered into a registration rights agreement with the dealer managers in which we agreed, under certain circumstances, to file a registration statement relating to an offer to exchange the Outstanding Notes for Exchange Notes. Pursuant to the registration rights agreement, we agreed to use our commercially reasonable efforts to cause the registration statement of which this prospectus forms a part to become effective and to cause the Exchange Offer to be consummated upon the terms and subject to the conditions set forth in the registration rights agreement. The form and terms of the Exchange Notes will be identical in all material respects to the form and terms of the Outstanding Notes, except that the offer and sale of the Exchange Notes will be registered under the Securities Act, and the Exchange Notes will not contain terms with respect to transfer restrictions, registration rights and additional payments upon a failure to fulfill certain of our obligations under the registration rights agreement. The Exchange Notes will be issued under and entitled to the benefits of the Indenture that authorized the issuance of the Outstanding Notes. For a description of the Indenture, see “Description of Exchange Notes.”</w:t>
      </w:r>
    </w:p>
    <w:p>
      <w:pPr>
        <w:spacing w:after="0" w:line="36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88" w:lineRule="exact"/>
        <w:rPr>
          <w:sz w:val="20"/>
          <w:szCs w:val="20"/>
          <w:color w:val="auto"/>
        </w:rPr>
      </w:pPr>
    </w:p>
    <w:p>
      <w:pPr>
        <w:ind w:left="1480" w:right="439" w:firstLine="333"/>
        <w:spacing w:after="0" w:line="316" w:lineRule="auto"/>
        <w:rPr>
          <w:sz w:val="20"/>
          <w:szCs w:val="20"/>
          <w:color w:val="auto"/>
        </w:rPr>
      </w:pPr>
      <w:r>
        <w:rPr>
          <w:rFonts w:ascii="Times New Roman" w:cs="Times New Roman" w:eastAsia="Times New Roman" w:hAnsi="Times New Roman"/>
          <w:sz w:val="12"/>
          <w:szCs w:val="12"/>
          <w:color w:val="auto"/>
        </w:rPr>
        <w:t>The following description of the registration rights agreement is only a brief summary of the agreement. It does not purport to be complete and is qualified in its entirety by reference to all of the terms, conditions and provisions of the registration rights agreement. For further information, please refer to the registration rights agreement listed in the exhibit index in the registration statement of which this prospectus forms a part.</w:t>
      </w:r>
    </w:p>
    <w:p>
      <w:pPr>
        <w:spacing w:after="0" w:line="109" w:lineRule="exact"/>
        <w:rPr>
          <w:sz w:val="20"/>
          <w:szCs w:val="20"/>
          <w:color w:val="auto"/>
        </w:rPr>
      </w:pPr>
    </w:p>
    <w:p>
      <w:pPr>
        <w:ind w:left="1480" w:right="399" w:firstLine="333"/>
        <w:spacing w:after="0" w:line="247" w:lineRule="auto"/>
        <w:rPr>
          <w:sz w:val="20"/>
          <w:szCs w:val="20"/>
          <w:color w:val="auto"/>
        </w:rPr>
      </w:pPr>
      <w:r>
        <w:rPr>
          <w:rFonts w:ascii="Times New Roman" w:cs="Times New Roman" w:eastAsia="Times New Roman" w:hAnsi="Times New Roman"/>
          <w:sz w:val="14"/>
          <w:szCs w:val="14"/>
          <w:color w:val="auto"/>
        </w:rPr>
        <w:t>Pursuant to the registration rights agreement and under the circumstances set forth below, we agreed to use our commercially reasonable efforts to cause the SEC to declare effective a shelf registration statement with respect to the resale of the Outstanding Notes within the time periods specified in the registration rights agreement and to keep the shelf registration statement effective until the earliest to occur of the following: (1) when a registration statement with respect to the Outstanding Notes has become effective and such Outstanding Notes have been exchanged or disposed of pursuant to such registration statement, (2) when the Outstanding Notes cease to be outstanding, or (3) the date that is five years from the respective closing date of the sale of the Outstanding Notes to the dealer managers. These circumstances include:</w:t>
      </w:r>
    </w:p>
    <w:p>
      <w:pPr>
        <w:spacing w:after="0" w:line="78" w:lineRule="exact"/>
        <w:rPr>
          <w:sz w:val="20"/>
          <w:szCs w:val="20"/>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interpretations of the staff of the SEC do not permit us to effect the Exchange Offer;</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for any other reason, we do not consummate the Exchange Offer on or before September 30, 2026, as applicable;</w:t>
      </w:r>
    </w:p>
    <w:p>
      <w:pPr>
        <w:spacing w:after="0" w:line="94" w:lineRule="exact"/>
        <w:rPr>
          <w:rFonts w:ascii="Times New Roman" w:cs="Times New Roman" w:eastAsia="Times New Roman" w:hAnsi="Times New Roman"/>
          <w:sz w:val="14"/>
          <w:szCs w:val="14"/>
          <w:color w:val="auto"/>
        </w:rPr>
      </w:pPr>
    </w:p>
    <w:p>
      <w:pPr>
        <w:ind w:left="2220" w:right="419" w:hanging="334"/>
        <w:spacing w:after="0" w:line="264"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dealer manager of the Outstanding Notes notifies us following consummation of the Exchange Offer that Outstanding Notes held by it are not eligible to be exchanged for Exchange Notes in the Exchange Offer; or</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7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699" w:hanging="334"/>
        <w:spacing w:after="0" w:line="264" w:lineRule="auto"/>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certain holders are prohibited by law or SEC policy from participating in the Exchange Offer or may not resell the Exchange Notes acquired by them in the Exchange Offer to the public without delivering a prospectus.</w:t>
      </w:r>
    </w:p>
    <w:p>
      <w:pPr>
        <w:spacing w:after="0" w:line="136" w:lineRule="exact"/>
        <w:rPr>
          <w:sz w:val="20"/>
          <w:szCs w:val="20"/>
          <w:color w:val="auto"/>
        </w:rPr>
      </w:pPr>
    </w:p>
    <w:p>
      <w:pPr>
        <w:ind w:left="1480" w:right="459" w:firstLine="333"/>
        <w:spacing w:after="0" w:line="264" w:lineRule="auto"/>
        <w:rPr>
          <w:sz w:val="20"/>
          <w:szCs w:val="20"/>
          <w:color w:val="auto"/>
        </w:rPr>
      </w:pPr>
      <w:r>
        <w:rPr>
          <w:rFonts w:ascii="Times New Roman" w:cs="Times New Roman" w:eastAsia="Times New Roman" w:hAnsi="Times New Roman"/>
          <w:sz w:val="14"/>
          <w:szCs w:val="14"/>
          <w:color w:val="auto"/>
        </w:rPr>
        <w:t>If we fail to comply with specified obligations under the registration rights agreement, we will be required to pay additional interest to holders of the Outstanding Notes. Such additional interest will generally be required to be paid if:</w:t>
      </w:r>
    </w:p>
    <w:p>
      <w:pPr>
        <w:spacing w:after="0" w:line="65" w:lineRule="exact"/>
        <w:rPr>
          <w:sz w:val="20"/>
          <w:szCs w:val="20"/>
          <w:color w:val="auto"/>
        </w:rPr>
      </w:pPr>
    </w:p>
    <w:p>
      <w:pPr>
        <w:ind w:left="2220" w:hanging="334"/>
        <w:spacing w:after="0"/>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consummate the Exchange Offer on or before September 30, 2026;</w:t>
      </w:r>
    </w:p>
    <w:p>
      <w:pPr>
        <w:spacing w:after="0" w:line="94" w:lineRule="exact"/>
        <w:rPr>
          <w:rFonts w:ascii="Times New Roman" w:cs="Times New Roman" w:eastAsia="Times New Roman" w:hAnsi="Times New Roman"/>
          <w:sz w:val="14"/>
          <w:szCs w:val="14"/>
          <w:color w:val="auto"/>
        </w:rPr>
      </w:pPr>
    </w:p>
    <w:p>
      <w:pPr>
        <w:ind w:left="2220" w:right="479" w:hanging="334"/>
        <w:spacing w:after="0" w:line="264" w:lineRule="auto"/>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required to file a shelf registration statement, and we fail to file the shelf registration statement with the SEC on or before the 90th day after the date on which the shelf registration statement is required to be filed; or</w:t>
      </w:r>
    </w:p>
    <w:p>
      <w:pPr>
        <w:spacing w:after="0" w:line="64" w:lineRule="exact"/>
        <w:rPr>
          <w:rFonts w:ascii="Times New Roman" w:cs="Times New Roman" w:eastAsia="Times New Roman" w:hAnsi="Times New Roman"/>
          <w:sz w:val="14"/>
          <w:szCs w:val="14"/>
          <w:color w:val="auto"/>
        </w:rPr>
      </w:pPr>
    </w:p>
    <w:p>
      <w:pPr>
        <w:ind w:left="2220" w:right="599" w:hanging="334"/>
        <w:spacing w:after="0" w:line="264" w:lineRule="auto"/>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registration statement of which this prospectus forms a part or the shelf registration statement, as the case may be, is effective, such registration statement thereafter ceases to be effective or usable (subject to certain exceptions).</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Each tendering holder of Outstanding Notes will represent, among other things, that:</w:t>
      </w:r>
    </w:p>
    <w:p>
      <w:pPr>
        <w:spacing w:after="0" w:line="94" w:lineRule="exact"/>
        <w:rPr>
          <w:sz w:val="20"/>
          <w:szCs w:val="20"/>
          <w:color w:val="auto"/>
        </w:rPr>
      </w:pPr>
    </w:p>
    <w:p>
      <w:pPr>
        <w:ind w:left="2220" w:right="899" w:hanging="334"/>
        <w:spacing w:after="0" w:line="264" w:lineRule="auto"/>
        <w:tabs>
          <w:tab w:leader="none" w:pos="2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an affiliate of ours or, if an affiliate of ours, will comply with the registration and prospectus delivery requirements of the Securities Act to the extent applicable in connection with the resale of the Exchange Notes;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Notes will be acquired in the ordinary course of its business;</w:t>
      </w:r>
    </w:p>
    <w:p>
      <w:pPr>
        <w:spacing w:after="0" w:line="9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participating, does not intend to participate, and has no arrangement or understanding with anyone to participate, in the distribution (within the meaning of the Securities Act) of the Exchange Notes;</w:t>
      </w:r>
    </w:p>
    <w:p>
      <w:pPr>
        <w:spacing w:after="0" w:line="64" w:lineRule="exact"/>
        <w:rPr>
          <w:rFonts w:ascii="Times New Roman" w:cs="Times New Roman" w:eastAsia="Times New Roman" w:hAnsi="Times New Roman"/>
          <w:sz w:val="14"/>
          <w:szCs w:val="14"/>
          <w:color w:val="auto"/>
        </w:rPr>
      </w:pPr>
    </w:p>
    <w:p>
      <w:pPr>
        <w:ind w:left="2220" w:right="739" w:hanging="334"/>
        <w:spacing w:after="0" w:line="264" w:lineRule="auto"/>
        <w:tabs>
          <w:tab w:leader="none" w:pos="2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a broker-dealer that purchased any of the Outstanding Notes from us for resale pursuant to Rule 144A or any other available exemption under the Securities Act; and</w:t>
      </w:r>
    </w:p>
    <w:p>
      <w:pPr>
        <w:spacing w:after="0" w:line="64" w:lineRule="exact"/>
        <w:rPr>
          <w:rFonts w:ascii="Times New Roman" w:cs="Times New Roman" w:eastAsia="Times New Roman" w:hAnsi="Times New Roman"/>
          <w:sz w:val="14"/>
          <w:szCs w:val="14"/>
          <w:color w:val="auto"/>
        </w:rPr>
      </w:pPr>
    </w:p>
    <w:p>
      <w:pPr>
        <w:ind w:left="2220" w:right="579" w:hanging="334"/>
        <w:spacing w:after="0" w:line="316" w:lineRule="auto"/>
        <w:tabs>
          <w:tab w:leader="none" w:pos="22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holder is a broker-dealer that will receive Exchange Notes for its own account in exchange for Outstanding Notes that were acquired as a result of market-making activities or other trading activities, that it will deliver a prospectus (or to the extent permitted by law, make available a prospectus to purchasers) in connection with any resale of such Exchange Notes. See “Plan of Distribution.”</w:t>
      </w:r>
    </w:p>
    <w:p>
      <w:pPr>
        <w:spacing w:after="0" w:line="1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Terms of the Exchange Offer</w:t>
      </w:r>
    </w:p>
    <w:p>
      <w:pPr>
        <w:spacing w:after="0" w:line="88" w:lineRule="exact"/>
        <w:rPr>
          <w:sz w:val="20"/>
          <w:szCs w:val="20"/>
          <w:color w:val="auto"/>
        </w:rPr>
      </w:pPr>
    </w:p>
    <w:p>
      <w:pPr>
        <w:ind w:left="1480" w:right="399" w:firstLine="333"/>
        <w:spacing w:after="0" w:line="305" w:lineRule="auto"/>
        <w:rPr>
          <w:sz w:val="20"/>
          <w:szCs w:val="20"/>
          <w:color w:val="auto"/>
        </w:rPr>
      </w:pPr>
      <w:r>
        <w:rPr>
          <w:rFonts w:ascii="Times New Roman" w:cs="Times New Roman" w:eastAsia="Times New Roman" w:hAnsi="Times New Roman"/>
          <w:sz w:val="12"/>
          <w:szCs w:val="12"/>
          <w:color w:val="auto"/>
        </w:rPr>
        <w:t>Upon the terms and subject to the conditions set forth in this prospectus, we will accept for exchange in the Exchange Offer any Outstanding Notes that are validly tendered and not validly withdrawn prior to the Expiration Date. We will issue $2,000 principal amount or an integral multiple of $1,000 in excess thereof of Exchange Notes in exchange for a corresponding principal amount of Outstanding Notes surrendered in the Exchange Offer. In exchange for each outstanding note surrendered in the Exchange Offer, we will issue Exchange Notes with a like principal amount.</w:t>
      </w:r>
    </w:p>
    <w:p>
      <w:pPr>
        <w:spacing w:after="0" w:line="11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Exchange Offer is not conditioned upon any minimum aggregate principal amount of Outstanding Notes being tendered for exchange.</w:t>
      </w:r>
    </w:p>
    <w:p>
      <w:pPr>
        <w:spacing w:after="0" w:line="166" w:lineRule="exact"/>
        <w:rPr>
          <w:sz w:val="20"/>
          <w:szCs w:val="20"/>
          <w:color w:val="auto"/>
        </w:rPr>
      </w:pPr>
    </w:p>
    <w:p>
      <w:pPr>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As of the date of this prospectus, there is outstanding a total of $5,999,984,000 aggregate principal amount of the Outstanding Notes. This prospectus is being provided to DTC as the registered holder of Outstanding Notes. There will be no fixed record date for determining registered holders of Outstanding Notes entitled to participate in the Exchange Offer.</w:t>
      </w:r>
    </w:p>
    <w:p>
      <w:pPr>
        <w:spacing w:after="0" w:line="142" w:lineRule="exact"/>
        <w:rPr>
          <w:sz w:val="20"/>
          <w:szCs w:val="20"/>
          <w:color w:val="auto"/>
        </w:rPr>
      </w:pPr>
    </w:p>
    <w:p>
      <w:pPr>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We intend to conduct the Exchange Offer in accordance with the provisions of the registration rights agreement, the applicable requirements of the Exchange Act, and the rules and regulations of the SEC.</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7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559" w:firstLine="333"/>
        <w:spacing w:after="0" w:line="250" w:lineRule="auto"/>
        <w:rPr>
          <w:sz w:val="20"/>
          <w:szCs w:val="20"/>
          <w:color w:val="auto"/>
        </w:rPr>
      </w:pPr>
      <w:r>
        <w:rPr>
          <w:rFonts w:ascii="Times New Roman" w:cs="Times New Roman" w:eastAsia="Times New Roman" w:hAnsi="Times New Roman"/>
          <w:sz w:val="14"/>
          <w:szCs w:val="14"/>
          <w:color w:val="auto"/>
        </w:rPr>
        <w:t>Outstanding Notes that are not tendered for exchange in the Exchange Offer will remain outstanding and continue to accrue interest and be entitled to the rights and benefits that such holders have under the Indenture relating to such holders’ series of Outstanding Notes and the registration rights agreement, except we will not have any further obligations to provide for the registration of the Outstanding Notes under the registration rights agreement.</w:t>
      </w:r>
    </w:p>
    <w:p>
      <w:pPr>
        <w:spacing w:after="0" w:line="146" w:lineRule="exact"/>
        <w:rPr>
          <w:sz w:val="20"/>
          <w:szCs w:val="20"/>
          <w:color w:val="auto"/>
        </w:rPr>
      </w:pPr>
    </w:p>
    <w:p>
      <w:pPr>
        <w:ind w:left="1480" w:right="399" w:firstLine="333"/>
        <w:spacing w:after="0" w:line="248" w:lineRule="auto"/>
        <w:rPr>
          <w:sz w:val="20"/>
          <w:szCs w:val="20"/>
          <w:color w:val="auto"/>
        </w:rPr>
      </w:pPr>
      <w:r>
        <w:rPr>
          <w:rFonts w:ascii="Times New Roman" w:cs="Times New Roman" w:eastAsia="Times New Roman" w:hAnsi="Times New Roman"/>
          <w:sz w:val="14"/>
          <w:szCs w:val="14"/>
          <w:color w:val="auto"/>
        </w:rPr>
        <w:t>We will be deemed to have accepted for exchange properly tendered Outstanding Notes when we have given written notice of the acceptance to the Exchange Agent. The Exchange Agent will act as agent for the tendering holders for the purposes of receiving the Exchange Notes from us and delivering Exchange Notes to holders. Subject to the terms of the registration rights agreement, we expressly reserve the right to amend or terminate the Exchange Offer and to refuse to accept Outstanding Notes for exchange upon the occurrence of any of the conditions specified below under “— Conditions to the Exchange Offer.”</w:t>
      </w:r>
    </w:p>
    <w:p>
      <w:pPr>
        <w:spacing w:after="0" w:line="149" w:lineRule="exact"/>
        <w:rPr>
          <w:sz w:val="20"/>
          <w:szCs w:val="20"/>
          <w:color w:val="auto"/>
        </w:rPr>
      </w:pPr>
    </w:p>
    <w:p>
      <w:pPr>
        <w:ind w:left="1480" w:right="419" w:firstLine="333"/>
        <w:spacing w:after="0" w:line="250" w:lineRule="auto"/>
        <w:rPr>
          <w:sz w:val="20"/>
          <w:szCs w:val="20"/>
          <w:color w:val="auto"/>
        </w:rPr>
      </w:pPr>
      <w:r>
        <w:rPr>
          <w:rFonts w:ascii="Times New Roman" w:cs="Times New Roman" w:eastAsia="Times New Roman" w:hAnsi="Times New Roman"/>
          <w:sz w:val="14"/>
          <w:szCs w:val="14"/>
          <w:color w:val="auto"/>
        </w:rPr>
        <w:t>If you tender your Outstanding Notes in the Exchange Offer, you will not be required to pay brokerage commissions or fees or transfer taxes with respect to the exchange of Outstanding Notes. We will pay all charges and expenses, other than certain applicable taxes described below, in connection with the Exchange Offer. It is important that you read the information under the caption “—Fees and Expenses” below for more details regarding fees and expenses incurred in the Exchange Offer.</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Expiration Date, Extensions, Amendments</w:t>
      </w:r>
    </w:p>
    <w:p>
      <w:pPr>
        <w:spacing w:after="0" w:line="88" w:lineRule="exact"/>
        <w:rPr>
          <w:sz w:val="20"/>
          <w:szCs w:val="20"/>
          <w:color w:val="auto"/>
        </w:rPr>
      </w:pPr>
    </w:p>
    <w:p>
      <w:pPr>
        <w:ind w:left="1480" w:right="519" w:firstLine="333"/>
        <w:spacing w:after="0" w:line="254" w:lineRule="auto"/>
        <w:rPr>
          <w:sz w:val="20"/>
          <w:szCs w:val="20"/>
          <w:color w:val="auto"/>
        </w:rPr>
      </w:pPr>
      <w:r>
        <w:rPr>
          <w:rFonts w:ascii="Times New Roman" w:cs="Times New Roman" w:eastAsia="Times New Roman" w:hAnsi="Times New Roman"/>
          <w:sz w:val="14"/>
          <w:szCs w:val="14"/>
          <w:color w:val="auto"/>
        </w:rPr>
        <w:t>As used in this prospectus, the term “Expiration Date” means 5:00 p.m., New York City time, on         , 2026. However, if we, in our sole discretion, extend the period of time for which the Exchange Offer is open, the term “Expiration Date” will mean the latest time and date to which we shall have extended the expiration of such Exchange Offer.</w:t>
      </w:r>
    </w:p>
    <w:p>
      <w:pPr>
        <w:spacing w:after="0" w:line="142" w:lineRule="exact"/>
        <w:rPr>
          <w:sz w:val="20"/>
          <w:szCs w:val="20"/>
          <w:color w:val="auto"/>
        </w:rPr>
      </w:pPr>
    </w:p>
    <w:p>
      <w:pPr>
        <w:ind w:left="1480" w:right="479" w:firstLine="333"/>
        <w:spacing w:after="0" w:line="250" w:lineRule="auto"/>
        <w:rPr>
          <w:sz w:val="20"/>
          <w:szCs w:val="20"/>
          <w:color w:val="auto"/>
        </w:rPr>
      </w:pPr>
      <w:r>
        <w:rPr>
          <w:rFonts w:ascii="Times New Roman" w:cs="Times New Roman" w:eastAsia="Times New Roman" w:hAnsi="Times New Roman"/>
          <w:sz w:val="14"/>
          <w:szCs w:val="14"/>
          <w:color w:val="auto"/>
        </w:rPr>
        <w:t>To extend the period of time during which an Exchange Offer is open, we will notify the Exchange Agent of any extension by written notice, followed by notification by press release or other public announcement to the registered holders of the Outstanding Notes no later than 9:00 a.m., New York City time, on the next business day after the previously scheduled Expiration Date. The notification will set forth, among other things, the approximate number of Outstanding Notes tendered to date.</w:t>
      </w:r>
    </w:p>
    <w:p>
      <w:pPr>
        <w:spacing w:after="0" w:line="14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We reserve the right, in our sole discretion:</w:t>
      </w:r>
    </w:p>
    <w:p>
      <w:pPr>
        <w:spacing w:after="0" w:line="94" w:lineRule="exact"/>
        <w:rPr>
          <w:sz w:val="20"/>
          <w:szCs w:val="20"/>
          <w:color w:val="auto"/>
        </w:rPr>
      </w:pPr>
    </w:p>
    <w:p>
      <w:pPr>
        <w:ind w:left="2220" w:hanging="334"/>
        <w:spacing w:after="0"/>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delay accepting for exchange any Outstanding Notes (only in the case that we amend or extend the Exchange Offer);</w:t>
      </w:r>
    </w:p>
    <w:p>
      <w:pPr>
        <w:spacing w:after="0" w:line="94" w:lineRule="exact"/>
        <w:rPr>
          <w:rFonts w:ascii="Times New Roman" w:cs="Times New Roman" w:eastAsia="Times New Roman" w:hAnsi="Times New Roman"/>
          <w:sz w:val="14"/>
          <w:szCs w:val="14"/>
          <w:color w:val="auto"/>
        </w:rPr>
      </w:pPr>
    </w:p>
    <w:p>
      <w:pPr>
        <w:jc w:val="both"/>
        <w:ind w:left="2220" w:right="719" w:hanging="334"/>
        <w:spacing w:after="0" w:line="349" w:lineRule="auto"/>
        <w:tabs>
          <w:tab w:leader="none" w:pos="22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extend the Exchange Offer or to terminate the Exchange Offer if any of the conditions set forth below under “—Conditions to the Exchange Offer” have not been satisfied by giving written notice of such delay, extension or termination to the Exchange Agent; and</w:t>
      </w:r>
    </w:p>
    <w:p>
      <w:pPr>
        <w:spacing w:after="0" w:line="17" w:lineRule="exact"/>
        <w:rPr>
          <w:rFonts w:ascii="Times New Roman" w:cs="Times New Roman" w:eastAsia="Times New Roman" w:hAnsi="Times New Roman"/>
          <w:sz w:val="12"/>
          <w:szCs w:val="12"/>
          <w:color w:val="auto"/>
        </w:rPr>
      </w:pPr>
    </w:p>
    <w:p>
      <w:pPr>
        <w:ind w:left="2220" w:right="339" w:hanging="334"/>
        <w:spacing w:after="0" w:line="254" w:lineRule="auto"/>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of the registration rights agreement, to amend the terms of the Exchange Offer in any manner. In the event of a material change in the Exchange Offer, including the waiver of a material condition, we will extend the offer period, if necessary, so that at least five business days remain in such offer period following notice of the material change.</w:t>
      </w:r>
    </w:p>
    <w:p>
      <w:pPr>
        <w:spacing w:after="0" w:line="142" w:lineRule="exact"/>
        <w:rPr>
          <w:sz w:val="20"/>
          <w:szCs w:val="20"/>
          <w:color w:val="auto"/>
        </w:rPr>
      </w:pPr>
    </w:p>
    <w:p>
      <w:pPr>
        <w:jc w:val="both"/>
        <w:ind w:left="1480" w:right="639" w:firstLine="333"/>
        <w:spacing w:after="0" w:line="316" w:lineRule="auto"/>
        <w:rPr>
          <w:sz w:val="20"/>
          <w:szCs w:val="20"/>
          <w:color w:val="auto"/>
        </w:rPr>
      </w:pPr>
      <w:r>
        <w:rPr>
          <w:rFonts w:ascii="Times New Roman" w:cs="Times New Roman" w:eastAsia="Times New Roman" w:hAnsi="Times New Roman"/>
          <w:sz w:val="12"/>
          <w:szCs w:val="12"/>
          <w:color w:val="auto"/>
        </w:rPr>
        <w:t>Any delay in acceptance, extension, termination or amendment will be followed as promptly as practicable by written notice to the registered holders of the Outstanding Notes. If we amend the Exchange Offer in a manner that we determine to constitute a material change, we will promptly disclose the amendment in a manner reasonably calculated to inform the holders of applicable Outstanding Notes of that amendment.</w:t>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7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Conditions to the Exchange Offer</w:t>
      </w:r>
    </w:p>
    <w:p>
      <w:pPr>
        <w:spacing w:after="0" w:line="88" w:lineRule="exact"/>
        <w:rPr>
          <w:sz w:val="20"/>
          <w:szCs w:val="20"/>
          <w:color w:val="auto"/>
        </w:rPr>
      </w:pPr>
    </w:p>
    <w:p>
      <w:pPr>
        <w:ind w:left="1480" w:right="479" w:firstLine="333"/>
        <w:spacing w:after="0" w:line="254" w:lineRule="auto"/>
        <w:rPr>
          <w:sz w:val="20"/>
          <w:szCs w:val="20"/>
          <w:color w:val="auto"/>
        </w:rPr>
      </w:pPr>
      <w:r>
        <w:rPr>
          <w:rFonts w:ascii="Times New Roman" w:cs="Times New Roman" w:eastAsia="Times New Roman" w:hAnsi="Times New Roman"/>
          <w:sz w:val="14"/>
          <w:szCs w:val="14"/>
          <w:color w:val="auto"/>
        </w:rPr>
        <w:t>Despite any other term of the Exchange Offer, we will not be required to accept for exchange, or to issue Exchange Notes in exchange for, any Outstanding Notes, and we may terminate or amend the Exchange Offer as provided in this prospectus prior to the Expiration Date if in our reasonable judgment:</w:t>
      </w:r>
    </w:p>
    <w:p>
      <w:pPr>
        <w:spacing w:after="0" w:line="71" w:lineRule="exact"/>
        <w:rPr>
          <w:sz w:val="20"/>
          <w:szCs w:val="20"/>
          <w:color w:val="auto"/>
        </w:rPr>
      </w:pPr>
    </w:p>
    <w:p>
      <w:pPr>
        <w:ind w:left="2220" w:hanging="334"/>
        <w:spacing w:after="0"/>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Offer, or the making of any exchange by a holder violates any applicable law or interpretation of the SEC; or</w:t>
      </w:r>
    </w:p>
    <w:p>
      <w:pPr>
        <w:spacing w:after="0" w:line="94" w:lineRule="exact"/>
        <w:rPr>
          <w:rFonts w:ascii="Times New Roman" w:cs="Times New Roman" w:eastAsia="Times New Roman" w:hAnsi="Times New Roman"/>
          <w:sz w:val="14"/>
          <w:szCs w:val="14"/>
          <w:color w:val="auto"/>
        </w:rPr>
      </w:pPr>
    </w:p>
    <w:p>
      <w:pPr>
        <w:ind w:left="2220" w:right="439" w:hanging="334"/>
        <w:spacing w:after="0" w:line="349" w:lineRule="auto"/>
        <w:tabs>
          <w:tab w:leader="none" w:pos="22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action or proceeding has been instituted or threatened in writing in any court or by or before any governmental agency with respect to the Exchange Offer that, in our judgment, would reasonably be expected to impair our ability to proceed with the Exchange Offer.</w:t>
      </w:r>
    </w:p>
    <w:p>
      <w:pPr>
        <w:spacing w:after="0" w:line="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In addition, we will not be obligated to accept for exchange the Outstanding Notes of any holder that has not made to us:</w:t>
      </w:r>
    </w:p>
    <w:p>
      <w:pPr>
        <w:spacing w:after="0" w:line="94" w:lineRule="exact"/>
        <w:rPr>
          <w:sz w:val="20"/>
          <w:szCs w:val="20"/>
          <w:color w:val="auto"/>
        </w:rPr>
      </w:pPr>
    </w:p>
    <w:p>
      <w:pPr>
        <w:ind w:left="2220" w:right="359" w:hanging="334"/>
        <w:spacing w:after="0" w:line="264" w:lineRule="auto"/>
        <w:tabs>
          <w:tab w:leader="none" w:pos="2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representations described under “—Procedures for Tendering Outstanding Notes” and “—Acceptance of Exchange Notes” and “Plan of Distribution;” and</w:t>
      </w:r>
    </w:p>
    <w:p>
      <w:pPr>
        <w:spacing w:after="0" w:line="64" w:lineRule="exact"/>
        <w:rPr>
          <w:rFonts w:ascii="Times New Roman" w:cs="Times New Roman" w:eastAsia="Times New Roman" w:hAnsi="Times New Roman"/>
          <w:sz w:val="14"/>
          <w:szCs w:val="14"/>
          <w:color w:val="auto"/>
        </w:rPr>
      </w:pPr>
    </w:p>
    <w:p>
      <w:pPr>
        <w:ind w:left="2220" w:right="479" w:hanging="334"/>
        <w:spacing w:after="0" w:line="264" w:lineRule="auto"/>
        <w:tabs>
          <w:tab w:leader="none" w:pos="2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representations as may be reasonably necessary under applicable SEC rules, regulations, or interpretations to make available to us an appropriate form for registration of the offer and sale of the Exchange Notes under the Securities Act.</w:t>
      </w:r>
    </w:p>
    <w:p>
      <w:pPr>
        <w:spacing w:after="0" w:line="136"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We expressly reserve the right at any time or at various times to extend the period of time during which the Exchange Offer is open. Consequently, we may delay acceptance of any Outstanding Notes by providing written notice of such extension to their holders, which such notice may be delivered electronically through DTC. We will return any Outstanding Notes that we do not accept for exchange for any reason without expense to their tendering holder promptly after the expiration or termination of the Exchange Offer.</w:t>
      </w:r>
    </w:p>
    <w:p>
      <w:pPr>
        <w:spacing w:after="0" w:line="146"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We expressly reserve the right to amend or terminate the Exchange Offer and to reject for exchange any Outstanding Notes not previously accepted for exchange upon the occurrence of any of the conditions of the Exchange Offer specified above. We will give written notice of any extension, amendment, non-acceptance or termination to the Exchange Agent, which notice may be electronic, and holders of the Outstanding Notes as promptly as practicable, which such notice to holders may be delivered electronically through DTC. In the case of any extension, such notice will be issued no later than 9:00 a.m., New York City time, on the next business day after the previously scheduled Expiration Date.</w:t>
      </w:r>
    </w:p>
    <w:p>
      <w:pPr>
        <w:spacing w:after="0" w:line="149" w:lineRule="exact"/>
        <w:rPr>
          <w:sz w:val="20"/>
          <w:szCs w:val="20"/>
          <w:color w:val="auto"/>
        </w:rPr>
      </w:pPr>
    </w:p>
    <w:p>
      <w:pPr>
        <w:ind w:left="1480" w:right="379" w:firstLine="333"/>
        <w:spacing w:after="0" w:line="250" w:lineRule="auto"/>
        <w:rPr>
          <w:sz w:val="20"/>
          <w:szCs w:val="20"/>
          <w:color w:val="auto"/>
        </w:rPr>
      </w:pPr>
      <w:r>
        <w:rPr>
          <w:rFonts w:ascii="Times New Roman" w:cs="Times New Roman" w:eastAsia="Times New Roman" w:hAnsi="Times New Roman"/>
          <w:sz w:val="14"/>
          <w:szCs w:val="14"/>
          <w:color w:val="auto"/>
        </w:rPr>
        <w:t>These conditions are for our sole benefit, and we may assert them regardless of the circumstances that may give rise to them or waive them in whole or in part at any or at various times prior to the Expiration Date in our sole discretion. If we fail at any time to exercise any of the foregoing rights, this failure will not constitute a waiver of such right. Each such right will be deemed an ongoing right that we may assert at any time or at various times prior to the Expiration Date.</w:t>
      </w:r>
    </w:p>
    <w:p>
      <w:pPr>
        <w:spacing w:after="0" w:line="146" w:lineRule="exact"/>
        <w:rPr>
          <w:sz w:val="20"/>
          <w:szCs w:val="20"/>
          <w:color w:val="auto"/>
        </w:rPr>
      </w:pPr>
    </w:p>
    <w:p>
      <w:pPr>
        <w:ind w:left="1480" w:right="439" w:firstLine="333"/>
        <w:spacing w:after="0" w:line="254" w:lineRule="auto"/>
        <w:rPr>
          <w:sz w:val="20"/>
          <w:szCs w:val="20"/>
          <w:color w:val="auto"/>
        </w:rPr>
      </w:pPr>
      <w:r>
        <w:rPr>
          <w:rFonts w:ascii="Times New Roman" w:cs="Times New Roman" w:eastAsia="Times New Roman" w:hAnsi="Times New Roman"/>
          <w:sz w:val="14"/>
          <w:szCs w:val="14"/>
          <w:color w:val="auto"/>
        </w:rPr>
        <w:t>In addition, we will not accept for exchange any Outstanding Notes tendered, and will not issue Exchange Notes in exchange for any such Outstanding Notes, if at such time any stop order is threatened or in effect with respect to the registration statement of which this prospectus constitutes a part or the qualification of the Indenture under the Trust Indenture Act of 1939, as amended (the “Trust Indenture Act”).</w:t>
      </w:r>
    </w:p>
    <w:p>
      <w:pPr>
        <w:spacing w:after="0" w:line="142" w:lineRule="exact"/>
        <w:rPr>
          <w:sz w:val="20"/>
          <w:szCs w:val="20"/>
          <w:color w:val="auto"/>
        </w:rPr>
      </w:pPr>
    </w:p>
    <w:p>
      <w:pPr>
        <w:ind w:left="1480" w:right="499" w:firstLine="333"/>
        <w:spacing w:after="0" w:line="254" w:lineRule="auto"/>
        <w:rPr>
          <w:sz w:val="20"/>
          <w:szCs w:val="20"/>
          <w:color w:val="auto"/>
        </w:rPr>
      </w:pPr>
      <w:r>
        <w:rPr>
          <w:rFonts w:ascii="Times New Roman" w:cs="Times New Roman" w:eastAsia="Times New Roman" w:hAnsi="Times New Roman"/>
          <w:sz w:val="14"/>
          <w:szCs w:val="14"/>
          <w:color w:val="auto"/>
        </w:rPr>
        <w:t>The Exchange Offer is not conditioned upon any minimum aggregate principal amount of any series of the Outstanding Notes being tendered or accepted for exchange. Our obligation to accept Outstanding Notes tendered in the Exchange Offer is subject to the satisfaction or waiver of certain customary conditions. We currently expect that each of the conditions will be satisfied and that no waivers will be necessary.</w:t>
      </w:r>
    </w:p>
    <w:p>
      <w:pPr>
        <w:spacing w:after="0" w:line="142" w:lineRule="exact"/>
        <w:rPr>
          <w:sz w:val="20"/>
          <w:szCs w:val="20"/>
          <w:color w:val="auto"/>
        </w:rPr>
      </w:pPr>
    </w:p>
    <w:p>
      <w:pPr>
        <w:ind w:left="1480" w:right="579" w:firstLine="333"/>
        <w:spacing w:after="0" w:line="264" w:lineRule="auto"/>
        <w:rPr>
          <w:sz w:val="20"/>
          <w:szCs w:val="20"/>
          <w:color w:val="auto"/>
        </w:rPr>
      </w:pPr>
      <w:r>
        <w:rPr>
          <w:rFonts w:ascii="Times New Roman" w:cs="Times New Roman" w:eastAsia="Times New Roman" w:hAnsi="Times New Roman"/>
          <w:sz w:val="14"/>
          <w:szCs w:val="14"/>
          <w:color w:val="auto"/>
        </w:rPr>
        <w:t>By means of a separate prospectus and not by means of this prospectus, we are separately offering to exchange any and all of the notes that we issued on April 14, 2022. The offers are not</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7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599"/>
        <w:spacing w:after="0" w:line="264" w:lineRule="auto"/>
        <w:rPr>
          <w:sz w:val="20"/>
          <w:szCs w:val="20"/>
          <w:color w:val="auto"/>
        </w:rPr>
      </w:pPr>
      <w:r>
        <w:rPr>
          <w:rFonts w:ascii="Times New Roman" w:cs="Times New Roman" w:eastAsia="Times New Roman" w:hAnsi="Times New Roman"/>
          <w:sz w:val="14"/>
          <w:szCs w:val="14"/>
          <w:color w:val="auto"/>
        </w:rPr>
        <w:t>conditioned on each other. This prospectus is not an offer to sell or a solicitation of an offer to buy any securities being offered in the other exchange offer.</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Procedures for Tendering Outstanding Notes</w:t>
      </w:r>
    </w:p>
    <w:p>
      <w:pPr>
        <w:spacing w:after="0" w:line="8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What to Submit and How</w:t>
      </w:r>
    </w:p>
    <w:p>
      <w:pPr>
        <w:spacing w:after="0" w:line="86" w:lineRule="exact"/>
        <w:rPr>
          <w:sz w:val="20"/>
          <w:szCs w:val="20"/>
          <w:color w:val="auto"/>
        </w:rPr>
      </w:pPr>
    </w:p>
    <w:p>
      <w:pPr>
        <w:ind w:left="1480" w:right="659" w:firstLine="333"/>
        <w:spacing w:after="0" w:line="248" w:lineRule="auto"/>
        <w:rPr>
          <w:sz w:val="20"/>
          <w:szCs w:val="20"/>
          <w:color w:val="auto"/>
        </w:rPr>
      </w:pPr>
      <w:r>
        <w:rPr>
          <w:rFonts w:ascii="Times New Roman" w:cs="Times New Roman" w:eastAsia="Times New Roman" w:hAnsi="Times New Roman"/>
          <w:sz w:val="14"/>
          <w:szCs w:val="14"/>
          <w:color w:val="auto"/>
        </w:rPr>
        <w:t>If you, as the registered holder of Outstanding Notes, wish to tender your Outstanding Notes for exchange in the Exchange Offer, you must contact a DTC participant to complete the book-entry transfer procedures described below prior to the Expiration Date and you must comply with DTC’s Automated Tender Offer Program (“ATOP”) procedures described below. In addition, a timely confirmation of a book-entry transfer of Outstanding Notes, if such procedure is available, into the Exchange Agent’s account at DTC using the procedure for book-entry transfer described below, must be received by the Exchange Agent prior to the Expiration Date.</w:t>
      </w:r>
    </w:p>
    <w:p>
      <w:pPr>
        <w:spacing w:after="0" w:line="22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Representations, Warranties, Acknowledgements and Undertakings</w:t>
      </w:r>
    </w:p>
    <w:p>
      <w:pPr>
        <w:spacing w:after="0" w:line="86" w:lineRule="exact"/>
        <w:rPr>
          <w:sz w:val="20"/>
          <w:szCs w:val="20"/>
          <w:color w:val="auto"/>
        </w:rPr>
      </w:pPr>
    </w:p>
    <w:p>
      <w:pPr>
        <w:ind w:left="1480" w:right="599" w:firstLine="333"/>
        <w:spacing w:after="0" w:line="264" w:lineRule="auto"/>
        <w:rPr>
          <w:sz w:val="20"/>
          <w:szCs w:val="20"/>
          <w:color w:val="auto"/>
        </w:rPr>
      </w:pPr>
      <w:r>
        <w:rPr>
          <w:rFonts w:ascii="Times New Roman" w:cs="Times New Roman" w:eastAsia="Times New Roman" w:hAnsi="Times New Roman"/>
          <w:sz w:val="14"/>
          <w:szCs w:val="14"/>
          <w:color w:val="auto"/>
        </w:rPr>
        <w:t>By tendering Outstanding Notes through the submission of an electronic acceptance instruction in accordance with the requirements of DTC’s ATOP, a tendering holder of Outstanding Notes represents and warrants to us that:</w:t>
      </w:r>
    </w:p>
    <w:p>
      <w:pPr>
        <w:spacing w:after="0" w:line="65" w:lineRule="exact"/>
        <w:rPr>
          <w:sz w:val="20"/>
          <w:szCs w:val="20"/>
          <w:color w:val="auto"/>
        </w:rPr>
      </w:pPr>
    </w:p>
    <w:p>
      <w:pPr>
        <w:jc w:val="both"/>
        <w:ind w:left="2220" w:right="379" w:hanging="334"/>
        <w:spacing w:after="0" w:line="254" w:lineRule="auto"/>
        <w:tabs>
          <w:tab w:leader="none" w:pos="2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holder nor any beneficial owner for which the holder is tendering Outstanding Notes has (and, at the time the Exchange Offer is consummated, neither will have) an arrangement or understanding with any person or entity to participate in a distribution of the Exchange Notes;</w:t>
      </w:r>
    </w:p>
    <w:p>
      <w:pPr>
        <w:spacing w:after="0" w:line="70" w:lineRule="exact"/>
        <w:rPr>
          <w:rFonts w:ascii="Times New Roman" w:cs="Times New Roman" w:eastAsia="Times New Roman" w:hAnsi="Times New Roman"/>
          <w:sz w:val="14"/>
          <w:szCs w:val="14"/>
          <w:color w:val="auto"/>
        </w:rPr>
      </w:pPr>
    </w:p>
    <w:p>
      <w:pPr>
        <w:ind w:left="2220" w:right="419" w:hanging="334"/>
        <w:spacing w:after="0" w:line="254" w:lineRule="auto"/>
        <w:tabs>
          <w:tab w:leader="none" w:pos="2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holder nor any beneficial owner for which the holder is tendering Outstanding Notes is an “affiliate,” as such term is defined in Rule 405 promulgated under the Securities Act, of ours. Upon our request, the holder or such beneficial owner will deliver to us a legal opinion confirming it is not such an affiliate;</w:t>
      </w:r>
    </w:p>
    <w:p>
      <w:pPr>
        <w:spacing w:after="0" w:line="70" w:lineRule="exact"/>
        <w:rPr>
          <w:rFonts w:ascii="Times New Roman" w:cs="Times New Roman" w:eastAsia="Times New Roman" w:hAnsi="Times New Roman"/>
          <w:sz w:val="14"/>
          <w:szCs w:val="14"/>
          <w:color w:val="auto"/>
        </w:rPr>
      </w:pPr>
    </w:p>
    <w:p>
      <w:pPr>
        <w:ind w:left="2220" w:right="559" w:hanging="334"/>
        <w:spacing w:after="0" w:line="264" w:lineRule="auto"/>
        <w:tabs>
          <w:tab w:leader="none" w:pos="2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holder nor any beneficial owner for which the holder is tendering Outstanding Notes is engaging in or intends to engage in a distribution of the Exchange Notes within the meaning of the federal securities laws;</w:t>
      </w:r>
    </w:p>
    <w:p>
      <w:pPr>
        <w:spacing w:after="0" w:line="64" w:lineRule="exact"/>
        <w:rPr>
          <w:rFonts w:ascii="Times New Roman" w:cs="Times New Roman" w:eastAsia="Times New Roman" w:hAnsi="Times New Roman"/>
          <w:sz w:val="14"/>
          <w:szCs w:val="14"/>
          <w:color w:val="auto"/>
        </w:rPr>
      </w:pPr>
    </w:p>
    <w:p>
      <w:pPr>
        <w:ind w:left="2220" w:right="499" w:hanging="334"/>
        <w:spacing w:after="0" w:line="264" w:lineRule="auto"/>
        <w:tabs>
          <w:tab w:leader="none" w:pos="2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and any beneficial owner for which the holder is tendering Outstanding Notes is acquiring the Exchange Notes in the ordinary course of business of the holder (or such beneficial owner);</w:t>
      </w:r>
    </w:p>
    <w:p>
      <w:pPr>
        <w:spacing w:after="0" w:line="64" w:lineRule="exact"/>
        <w:rPr>
          <w:rFonts w:ascii="Times New Roman" w:cs="Times New Roman" w:eastAsia="Times New Roman" w:hAnsi="Times New Roman"/>
          <w:sz w:val="14"/>
          <w:szCs w:val="14"/>
          <w:color w:val="auto"/>
        </w:rPr>
      </w:pPr>
    </w:p>
    <w:p>
      <w:pPr>
        <w:ind w:left="2220" w:right="399" w:hanging="334"/>
        <w:spacing w:after="0" w:line="297" w:lineRule="auto"/>
        <w:tabs>
          <w:tab w:leader="none" w:pos="22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holder and each beneficial owner for which the holder is tendering Outstanding Notes acknowledges and agrees that any person who is a broker-dealer registered under the Exchange Act or is participating in the Exchange Offer for the purpose of distributing the Exchange Notes must comply with the registration and prospectus delivery requirements of the Securities Act in connection with a secondary resale transaction of the Exchange Notes or interests therein acquired by such person and cannot rely on the interpretive position of the staff of the SEC set forth in </w:t>
      </w:r>
      <w:r>
        <w:rPr>
          <w:rFonts w:ascii="Times New Roman" w:cs="Times New Roman" w:eastAsia="Times New Roman" w:hAnsi="Times New Roman"/>
          <w:sz w:val="12"/>
          <w:szCs w:val="12"/>
          <w:i w:val="1"/>
          <w:iCs w:val="1"/>
          <w:color w:val="auto"/>
        </w:rPr>
        <w:t>Morgan Stanley &amp; Co. Incorporated</w:t>
      </w:r>
      <w:r>
        <w:rPr>
          <w:rFonts w:ascii="Times New Roman" w:cs="Times New Roman" w:eastAsia="Times New Roman" w:hAnsi="Times New Roman"/>
          <w:sz w:val="12"/>
          <w:szCs w:val="12"/>
          <w:color w:val="auto"/>
        </w:rPr>
        <w:t xml:space="preserve"> (available June 5, 1991) and </w:t>
      </w:r>
      <w:r>
        <w:rPr>
          <w:rFonts w:ascii="Times New Roman" w:cs="Times New Roman" w:eastAsia="Times New Roman" w:hAnsi="Times New Roman"/>
          <w:sz w:val="12"/>
          <w:szCs w:val="12"/>
          <w:i w:val="1"/>
          <w:iCs w:val="1"/>
          <w:color w:val="auto"/>
        </w:rPr>
        <w:t>Exxon Capital Holdings Corporation</w:t>
      </w:r>
      <w:r>
        <w:rPr>
          <w:rFonts w:ascii="Times New Roman" w:cs="Times New Roman" w:eastAsia="Times New Roman" w:hAnsi="Times New Roman"/>
          <w:sz w:val="12"/>
          <w:szCs w:val="12"/>
          <w:color w:val="auto"/>
        </w:rPr>
        <w:t xml:space="preserve"> (available May 13, 1988), as interpreted in the SEC staff’s letter to </w:t>
      </w:r>
      <w:r>
        <w:rPr>
          <w:rFonts w:ascii="Times New Roman" w:cs="Times New Roman" w:eastAsia="Times New Roman" w:hAnsi="Times New Roman"/>
          <w:sz w:val="12"/>
          <w:szCs w:val="12"/>
          <w:i w:val="1"/>
          <w:iCs w:val="1"/>
          <w:color w:val="auto"/>
        </w:rPr>
        <w:t>Shearman &amp; Sterling</w:t>
      </w:r>
      <w:r>
        <w:rPr>
          <w:rFonts w:ascii="Times New Roman" w:cs="Times New Roman" w:eastAsia="Times New Roman" w:hAnsi="Times New Roman"/>
          <w:sz w:val="12"/>
          <w:szCs w:val="12"/>
          <w:color w:val="auto"/>
        </w:rPr>
        <w:t>, dated July 2, 1993, or similar no-action letters;</w:t>
      </w:r>
    </w:p>
    <w:p>
      <w:pPr>
        <w:spacing w:after="0" w:line="47" w:lineRule="exact"/>
        <w:rPr>
          <w:rFonts w:ascii="Times New Roman" w:cs="Times New Roman" w:eastAsia="Times New Roman" w:hAnsi="Times New Roman"/>
          <w:sz w:val="12"/>
          <w:szCs w:val="12"/>
          <w:color w:val="auto"/>
        </w:rPr>
      </w:pPr>
    </w:p>
    <w:p>
      <w:pPr>
        <w:ind w:left="2220" w:right="379" w:hanging="334"/>
        <w:spacing w:after="0" w:line="248" w:lineRule="auto"/>
        <w:tabs>
          <w:tab w:leader="none" w:pos="2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and each beneficial owner for which the holder is tendering Outstanding Notes understands, acknowledges, and agrees that a secondary resale transaction described in the paragraph immediately above and any resales of Exchange Notes or interests therein obtained by such holder or beneficial owner in exchange for Outstanding Notes or interests therein originally acquired by such holder or beneficial owner directly from us should be covered by an effective registration statement containing the selling security holder information required by Item 507 or Item 508, as applicable, of Regulation S-K of the SEC; and</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7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hanging="334"/>
        <w:spacing w:after="0"/>
        <w:tabs>
          <w:tab w:leader="none" w:pos="2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is not acting on behalf of any person or entity who could not truthfully make the foregoing representations and warranties.</w:t>
      </w:r>
    </w:p>
    <w:p>
      <w:pPr>
        <w:spacing w:after="0" w:line="166"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In addition, by tendering Outstanding Notes through the submission of an electronic acceptance instruction in accordance with the requirements of ATOP, each broker-dealer that is to receive Exchange Notes for its own account in exchange for Outstanding Notes represents and warrants to us that such Outstanding Notes were acquired by that broker-dealer as a result of market-making activities or other trading activities and acknowledges and agrees that it will deliver a prospectus that meets the requirements of the Securities Act in connection with any resale of the Exchange Notes; however, by so acknowledging and agreeing and by delivering a prospectus, such broker-dealer will not be deemed to admit that it is an “underwriter” within the meaning of the Securities Act. See “Plan of Distribution.”</w:t>
      </w:r>
    </w:p>
    <w:p>
      <w:pPr>
        <w:spacing w:after="0" w:line="150" w:lineRule="exact"/>
        <w:rPr>
          <w:sz w:val="20"/>
          <w:szCs w:val="20"/>
          <w:color w:val="auto"/>
        </w:rPr>
      </w:pPr>
    </w:p>
    <w:p>
      <w:pPr>
        <w:ind w:left="1480" w:right="519" w:firstLine="333"/>
        <w:spacing w:after="0" w:line="264" w:lineRule="auto"/>
        <w:rPr>
          <w:sz w:val="20"/>
          <w:szCs w:val="20"/>
          <w:color w:val="auto"/>
        </w:rPr>
      </w:pPr>
      <w:r>
        <w:rPr>
          <w:rFonts w:ascii="Times New Roman" w:cs="Times New Roman" w:eastAsia="Times New Roman" w:hAnsi="Times New Roman"/>
          <w:sz w:val="14"/>
          <w:szCs w:val="14"/>
          <w:color w:val="auto"/>
        </w:rPr>
        <w:t>By tendering Outstanding Notes through the submission of an electronic acceptance instruction in accordance with the requirements of ATOP, a tendering holder of Outstanding Notes also represents and warrants to us that such holder:</w:t>
      </w:r>
    </w:p>
    <w:p>
      <w:pPr>
        <w:spacing w:after="0" w:line="65" w:lineRule="exact"/>
        <w:rPr>
          <w:sz w:val="20"/>
          <w:szCs w:val="20"/>
          <w:color w:val="auto"/>
        </w:rPr>
      </w:pPr>
    </w:p>
    <w:p>
      <w:pPr>
        <w:ind w:left="2220" w:right="559" w:hanging="334"/>
        <w:spacing w:after="0" w:line="26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acknowledges receipt of this prospectus (as it may be amended or supplemented from time to time), and agrees to all of the terms of the Exchange Offer;</w:t>
      </w:r>
    </w:p>
    <w:p>
      <w:pPr>
        <w:spacing w:after="0" w:line="64" w:lineRule="exact"/>
        <w:rPr>
          <w:rFonts w:ascii="Times New Roman" w:cs="Times New Roman" w:eastAsia="Times New Roman" w:hAnsi="Times New Roman"/>
          <w:sz w:val="14"/>
          <w:szCs w:val="14"/>
          <w:color w:val="auto"/>
        </w:rPr>
      </w:pPr>
    </w:p>
    <w:p>
      <w:pPr>
        <w:ind w:left="2220" w:right="539" w:hanging="334"/>
        <w:spacing w:after="0" w:line="25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understands, acknowledges and agrees that tenders of Outstanding Notes pursuant to the Exchange Offer will, upon our acceptance for exchange of such tendered Outstanding Notes, constitute a binding agreement between such holder and us upon the terms and subject to the conditions of the Exchange Offer;</w:t>
      </w:r>
    </w:p>
    <w:p>
      <w:pPr>
        <w:spacing w:after="0" w:line="70" w:lineRule="exact"/>
        <w:rPr>
          <w:rFonts w:ascii="Times New Roman" w:cs="Times New Roman" w:eastAsia="Times New Roman" w:hAnsi="Times New Roman"/>
          <w:sz w:val="14"/>
          <w:szCs w:val="14"/>
          <w:color w:val="auto"/>
        </w:rPr>
      </w:pPr>
    </w:p>
    <w:p>
      <w:pPr>
        <w:ind w:left="2220" w:right="399" w:hanging="334"/>
        <w:spacing w:after="0" w:line="247"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irrevocably constitutes and appoints the Exchange Agent as the true and lawful agent and attorney-in-fact of the holder with respect to any tendered Outstanding Notes (with full knowledge that the Exchange Agent also acts as the agent of the Company and as Trustee under the Indenture governing the Outstanding Notes), with full powers of substitution and revocation (such power of attorney being deemed to be an irrevocable power coupled with an interest) to (a) transfer ownership of such Outstanding Notes on the account books maintained by DTC with all accompanying evidences of transfer and authenticity to, or upon the order of, the Company and (b) present such Outstanding Notes for transfer on the books of the Company and receive all benefits and otherwise exercise all rights of beneficial ownership of such Outstanding Notes, all in accordance with the terms of the Exchange Offer;</w:t>
      </w:r>
    </w:p>
    <w:p>
      <w:pPr>
        <w:spacing w:after="0" w:line="75" w:lineRule="exact"/>
        <w:rPr>
          <w:rFonts w:ascii="Times New Roman" w:cs="Times New Roman" w:eastAsia="Times New Roman" w:hAnsi="Times New Roman"/>
          <w:sz w:val="14"/>
          <w:szCs w:val="14"/>
          <w:color w:val="auto"/>
        </w:rPr>
      </w:pPr>
    </w:p>
    <w:p>
      <w:pPr>
        <w:ind w:left="2220" w:right="439" w:hanging="334"/>
        <w:spacing w:after="0" w:line="25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full power and authority to tender, sell, assign and transfer the Outstanding Notes tendered thereby and that the Company will acquire good and unencumbered title thereto, free and clear of all liens, restrictions, charges and encumbrances and not subject to any adverse claim when the same are accepted by the Company;</w:t>
      </w:r>
    </w:p>
    <w:p>
      <w:pPr>
        <w:spacing w:after="0" w:line="70"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undertakes, upon request, to execute and deliver any additional documents deemed by the Company or the Exchange Agent to be necessary or desirable to complete the exchange, assignment and transfer of the Outstanding Notes tendered thereby;</w:t>
      </w:r>
    </w:p>
    <w:p>
      <w:pPr>
        <w:spacing w:after="0" w:line="64" w:lineRule="exact"/>
        <w:rPr>
          <w:rFonts w:ascii="Times New Roman" w:cs="Times New Roman" w:eastAsia="Times New Roman" w:hAnsi="Times New Roman"/>
          <w:sz w:val="14"/>
          <w:szCs w:val="14"/>
          <w:color w:val="auto"/>
        </w:rPr>
      </w:pPr>
    </w:p>
    <w:p>
      <w:pPr>
        <w:ind w:left="2220" w:right="359" w:hanging="334"/>
        <w:spacing w:after="0" w:line="250"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understands, acknowledges and agrees that all authority herein conferred or agreed to be conferred through the submission of an electronic acceptance instruction in accordance with the requirements of ATOP shall survive the death or incapacity of such holder and any obligation of such holder hereunder shall be binding upon the heirs, executors, administrators, personal representatives, trustees in bankruptcy, legal representatives, successors, and assigns of such holder;</w:t>
      </w:r>
    </w:p>
    <w:p>
      <w:pPr>
        <w:spacing w:after="0" w:line="74" w:lineRule="exact"/>
        <w:rPr>
          <w:rFonts w:ascii="Times New Roman" w:cs="Times New Roman" w:eastAsia="Times New Roman" w:hAnsi="Times New Roman"/>
          <w:sz w:val="14"/>
          <w:szCs w:val="14"/>
          <w:color w:val="auto"/>
        </w:rPr>
      </w:pPr>
    </w:p>
    <w:p>
      <w:pPr>
        <w:ind w:left="2220" w:right="599" w:hanging="334"/>
        <w:spacing w:after="0" w:line="26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understands, acknowledges and agrees that for purposes of the Exchange Offer, the Company shall be deemed to have accepted validly tendered Outstanding Notes when and if the Company has given written notice thereof to the Exchange Agent;</w:t>
      </w:r>
    </w:p>
    <w:p>
      <w:pPr>
        <w:spacing w:after="0" w:line="64" w:lineRule="exact"/>
        <w:rPr>
          <w:rFonts w:ascii="Times New Roman" w:cs="Times New Roman" w:eastAsia="Times New Roman" w:hAnsi="Times New Roman"/>
          <w:sz w:val="14"/>
          <w:szCs w:val="14"/>
          <w:color w:val="auto"/>
        </w:rPr>
      </w:pPr>
    </w:p>
    <w:p>
      <w:pPr>
        <w:ind w:left="2220" w:right="419" w:hanging="334"/>
        <w:spacing w:after="0" w:line="264"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understands, acknowledges and agrees that, subject to, and effective upon, the acceptance for exchange of the Outstanding Notes tendered thereby, such holder thereby sells, assigns and</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7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399"/>
        <w:spacing w:after="0" w:line="254" w:lineRule="auto"/>
        <w:rPr>
          <w:sz w:val="20"/>
          <w:szCs w:val="20"/>
          <w:color w:val="auto"/>
        </w:rPr>
      </w:pPr>
      <w:r>
        <w:rPr>
          <w:rFonts w:ascii="Times New Roman" w:cs="Times New Roman" w:eastAsia="Times New Roman" w:hAnsi="Times New Roman"/>
          <w:sz w:val="14"/>
          <w:szCs w:val="14"/>
          <w:color w:val="auto"/>
        </w:rPr>
        <w:t>transfers to, or upon the order of, the Company, all right, title and interest in and to such Outstanding Notes as are being tendered thereby upon the terms and subject to the conditions set forth in this prospectus (as the same may be amended or supplemented from time to time); and</w:t>
      </w:r>
    </w:p>
    <w:p>
      <w:pPr>
        <w:spacing w:after="0" w:line="71" w:lineRule="exact"/>
        <w:rPr>
          <w:sz w:val="20"/>
          <w:szCs w:val="20"/>
          <w:color w:val="auto"/>
        </w:rPr>
      </w:pPr>
    </w:p>
    <w:p>
      <w:pPr>
        <w:ind w:left="2220" w:right="559" w:hanging="334"/>
        <w:spacing w:after="0" w:line="264" w:lineRule="auto"/>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understands, acknowledges and agrees that, except as stated in this prospectus in connection with a valid withdrawal, the tender of such holder’s Outstanding Notes is irrevocable.</w:t>
      </w:r>
    </w:p>
    <w:p>
      <w:pPr>
        <w:spacing w:after="0" w:line="21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No Letter of Transmittal or Guaranteed Delivery Procedures</w:t>
      </w:r>
    </w:p>
    <w:p>
      <w:pPr>
        <w:spacing w:after="0" w:line="86" w:lineRule="exact"/>
        <w:rPr>
          <w:sz w:val="20"/>
          <w:szCs w:val="20"/>
          <w:color w:val="auto"/>
        </w:rPr>
      </w:pPr>
    </w:p>
    <w:p>
      <w:pPr>
        <w:ind w:left="1480" w:right="379" w:firstLine="333"/>
        <w:spacing w:after="0" w:line="254" w:lineRule="auto"/>
        <w:rPr>
          <w:sz w:val="20"/>
          <w:szCs w:val="20"/>
          <w:color w:val="auto"/>
        </w:rPr>
      </w:pPr>
      <w:r>
        <w:rPr>
          <w:rFonts w:ascii="Times New Roman" w:cs="Times New Roman" w:eastAsia="Times New Roman" w:hAnsi="Times New Roman"/>
          <w:sz w:val="14"/>
          <w:szCs w:val="14"/>
          <w:color w:val="auto"/>
        </w:rPr>
        <w:t>There is no letter of transmittal for Outstanding Notes tendered in connection with the Exchange Offer. The valid submission of an electronic acceptance instruction through ATOP shall constitute delivery of the Outstanding Notes in connection with the Exchange Offer. There are no guaranteed delivery procedures applicable to the Exchange Offer.</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Acceptance of Exchange Notes</w:t>
      </w:r>
    </w:p>
    <w:p>
      <w:pPr>
        <w:spacing w:after="0" w:line="88" w:lineRule="exact"/>
        <w:rPr>
          <w:sz w:val="20"/>
          <w:szCs w:val="20"/>
          <w:color w:val="auto"/>
        </w:rPr>
      </w:pPr>
    </w:p>
    <w:p>
      <w:pPr>
        <w:ind w:left="1480" w:right="579" w:firstLine="333"/>
        <w:spacing w:after="0" w:line="264" w:lineRule="auto"/>
        <w:rPr>
          <w:sz w:val="20"/>
          <w:szCs w:val="20"/>
          <w:color w:val="auto"/>
        </w:rPr>
      </w:pPr>
      <w:r>
        <w:rPr>
          <w:rFonts w:ascii="Times New Roman" w:cs="Times New Roman" w:eastAsia="Times New Roman" w:hAnsi="Times New Roman"/>
          <w:sz w:val="14"/>
          <w:szCs w:val="14"/>
          <w:color w:val="auto"/>
        </w:rPr>
        <w:t>In all cases, we will promptly issue Exchange Notes for Outstanding Notes that we have accepted for exchange under the Exchange Offer only after the Exchange Agent timely receives:</w:t>
      </w:r>
    </w:p>
    <w:p>
      <w:pPr>
        <w:spacing w:after="0" w:line="65" w:lineRule="exact"/>
        <w:rPr>
          <w:sz w:val="20"/>
          <w:szCs w:val="20"/>
          <w:color w:val="auto"/>
        </w:rPr>
      </w:pPr>
    </w:p>
    <w:p>
      <w:pPr>
        <w:ind w:left="2220" w:right="559" w:hanging="334"/>
        <w:spacing w:after="0" w:line="264" w:lineRule="auto"/>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Notes or a timely book-entry confirmation of such Outstanding Notes into the Exchange Agent’s account at the book-entry transfer facility; and</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properly transmitted agent’s message.</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By tendering Outstanding Notes pursuant to the Exchange Offer, you will represent to us that, among other things:</w:t>
      </w:r>
    </w:p>
    <w:p>
      <w:pPr>
        <w:spacing w:after="0" w:line="94" w:lineRule="exact"/>
        <w:rPr>
          <w:sz w:val="20"/>
          <w:szCs w:val="20"/>
          <w:color w:val="auto"/>
        </w:rPr>
      </w:pPr>
    </w:p>
    <w:p>
      <w:pPr>
        <w:ind w:left="2220" w:hanging="334"/>
        <w:spacing w:after="0"/>
        <w:tabs>
          <w:tab w:leader="none" w:pos="2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our “affiliate” within the meaning of Rule 405 under the Securities Act;</w:t>
      </w:r>
    </w:p>
    <w:p>
      <w:pPr>
        <w:spacing w:after="0" w:line="94" w:lineRule="exact"/>
        <w:rPr>
          <w:rFonts w:ascii="Times New Roman" w:cs="Times New Roman" w:eastAsia="Times New Roman" w:hAnsi="Times New Roman"/>
          <w:sz w:val="14"/>
          <w:szCs w:val="14"/>
          <w:color w:val="auto"/>
        </w:rPr>
      </w:pPr>
    </w:p>
    <w:p>
      <w:pPr>
        <w:ind w:left="2220" w:right="459" w:hanging="334"/>
        <w:spacing w:after="0" w:line="264" w:lineRule="auto"/>
        <w:tabs>
          <w:tab w:leader="none" w:pos="2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engaged in, and do not intend to engage in, and you do not have an arrangement or understanding with any person or entity to participate in a distribution of the Exchange Notes; and</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acquiring the Exchange Notes in the ordinary course of your business.</w:t>
      </w:r>
    </w:p>
    <w:p>
      <w:pPr>
        <w:spacing w:after="0" w:line="166" w:lineRule="exact"/>
        <w:rPr>
          <w:sz w:val="20"/>
          <w:szCs w:val="20"/>
          <w:color w:val="auto"/>
        </w:rPr>
      </w:pPr>
    </w:p>
    <w:p>
      <w:pPr>
        <w:ind w:left="1480" w:right="459" w:firstLine="333"/>
        <w:spacing w:after="0" w:line="305" w:lineRule="auto"/>
        <w:rPr>
          <w:sz w:val="20"/>
          <w:szCs w:val="20"/>
          <w:color w:val="auto"/>
        </w:rPr>
      </w:pPr>
      <w:r>
        <w:rPr>
          <w:rFonts w:ascii="Times New Roman" w:cs="Times New Roman" w:eastAsia="Times New Roman" w:hAnsi="Times New Roman"/>
          <w:sz w:val="12"/>
          <w:szCs w:val="12"/>
          <w:color w:val="auto"/>
        </w:rPr>
        <w:t>In addition, each broker-dealer that is to receive Exchange Notes for its own account in exchange for Outstanding Notes must represent that such Outstanding Notes were acquired by that broker-dealer as a result of market-making activities or other trading activities and must acknowledge that it will deliver a prospectus that meets the requirements of the Securities Act in connection with any resale of the Exchange Notes. By delivering a prospectus, a broker-dealer will not be deemed to admit that it is an “underwriter” within the meaning of the Securities Act. See “Plan of Distribution.”</w:t>
      </w:r>
    </w:p>
    <w:p>
      <w:pPr>
        <w:spacing w:after="0" w:line="116" w:lineRule="exact"/>
        <w:rPr>
          <w:sz w:val="20"/>
          <w:szCs w:val="20"/>
          <w:color w:val="auto"/>
        </w:rPr>
      </w:pPr>
    </w:p>
    <w:p>
      <w:pPr>
        <w:ind w:left="1480" w:right="419" w:firstLine="333"/>
        <w:spacing w:after="0" w:line="248" w:lineRule="auto"/>
        <w:rPr>
          <w:sz w:val="20"/>
          <w:szCs w:val="20"/>
          <w:color w:val="auto"/>
        </w:rPr>
      </w:pPr>
      <w:r>
        <w:rPr>
          <w:rFonts w:ascii="Times New Roman" w:cs="Times New Roman" w:eastAsia="Times New Roman" w:hAnsi="Times New Roman"/>
          <w:sz w:val="14"/>
          <w:szCs w:val="14"/>
          <w:color w:val="auto"/>
        </w:rPr>
        <w:t>Our interpretation of the terms and conditions of the Exchange Offer, and our resolution of all questions as to the validity, form, eligibility, including time of receipt, and acceptance of Outstanding Notes tendered for exchange will be determined in our reasonable discretion and will be final and binding on all parties. We reserve the absolute right to reject any and all tenders of any particular Outstanding Notes not properly tendered or to not accept any particular Outstanding Notes if the acceptance might, in our or our counsel’s judgment, be unlawful. We also reserve the absolute right to waive any defects or irregularities as to any particular Outstanding Notes prior to the Expiration Date.</w:t>
      </w:r>
    </w:p>
    <w:p>
      <w:pPr>
        <w:spacing w:after="0" w:line="149" w:lineRule="exact"/>
        <w:rPr>
          <w:sz w:val="20"/>
          <w:szCs w:val="20"/>
          <w:color w:val="auto"/>
        </w:rPr>
      </w:pPr>
    </w:p>
    <w:p>
      <w:pPr>
        <w:ind w:left="1480" w:right="459" w:firstLine="333"/>
        <w:spacing w:after="0" w:line="250" w:lineRule="auto"/>
        <w:rPr>
          <w:sz w:val="20"/>
          <w:szCs w:val="20"/>
          <w:color w:val="auto"/>
        </w:rPr>
      </w:pPr>
      <w:r>
        <w:rPr>
          <w:rFonts w:ascii="Times New Roman" w:cs="Times New Roman" w:eastAsia="Times New Roman" w:hAnsi="Times New Roman"/>
          <w:sz w:val="14"/>
          <w:szCs w:val="14"/>
          <w:color w:val="auto"/>
        </w:rPr>
        <w:t>Unless waived, any defects or irregularities in connection with tenders of Outstanding Notes for exchange must be cured before the Expiration Date. Neither we, the Exchange Agent, nor any other person will be under any duty to give notification of any defect or irregularity with respect to any tender of Outstanding Notes for exchange, nor will we or any of them incur any liability for any failure to give notification. Any Outstanding Notes received by the Exchange Agent that are not properly tendered and as to which the irregularities have not</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7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been cured or waived will be returned by the Exchange Agent to the tendering holder promptly after the Expiration Date.</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Consequences of Failure to Exchange</w:t>
      </w:r>
    </w:p>
    <w:p>
      <w:pPr>
        <w:spacing w:after="0" w:line="88" w:lineRule="exact"/>
        <w:rPr>
          <w:sz w:val="20"/>
          <w:szCs w:val="20"/>
          <w:color w:val="auto"/>
        </w:rPr>
      </w:pPr>
    </w:p>
    <w:p>
      <w:pPr>
        <w:ind w:left="1480" w:right="419" w:firstLine="333"/>
        <w:spacing w:after="0" w:line="264" w:lineRule="auto"/>
        <w:rPr>
          <w:sz w:val="20"/>
          <w:szCs w:val="20"/>
          <w:color w:val="auto"/>
        </w:rPr>
      </w:pPr>
      <w:r>
        <w:rPr>
          <w:rFonts w:ascii="Times New Roman" w:cs="Times New Roman" w:eastAsia="Times New Roman" w:hAnsi="Times New Roman"/>
          <w:sz w:val="14"/>
          <w:szCs w:val="14"/>
          <w:color w:val="auto"/>
        </w:rPr>
        <w:t>If you do not exchange your Outstanding Notes for Exchange Notes under the Exchange Offer, your Outstanding Notes will remain subject to the transfer restrictions of such Outstanding Notes:</w:t>
      </w:r>
    </w:p>
    <w:p>
      <w:pPr>
        <w:spacing w:after="0" w:line="65" w:lineRule="exact"/>
        <w:rPr>
          <w:sz w:val="20"/>
          <w:szCs w:val="20"/>
          <w:color w:val="auto"/>
        </w:rPr>
      </w:pPr>
    </w:p>
    <w:p>
      <w:pPr>
        <w:ind w:left="2220" w:right="479" w:hanging="334"/>
        <w:spacing w:after="0" w:line="254" w:lineRule="auto"/>
        <w:tabs>
          <w:tab w:leader="none" w:pos="2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set forth in the legend printed on the Outstanding Notes as a consequence of the issuance of the Outstanding Notes pursuant to the exemptions from, or in transactions not subject to, the registration requirements of the Securities Act and applicable state securities laws; and</w:t>
      </w:r>
    </w:p>
    <w:p>
      <w:pPr>
        <w:spacing w:after="0" w:line="70"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otherwise set forth in the offering memorandum distributed in connection with the private offering of the Outstanding Notes.</w:t>
      </w:r>
    </w:p>
    <w:p>
      <w:pPr>
        <w:spacing w:after="0" w:line="166" w:lineRule="exact"/>
        <w:rPr>
          <w:sz w:val="20"/>
          <w:szCs w:val="20"/>
          <w:color w:val="auto"/>
        </w:rPr>
      </w:pPr>
    </w:p>
    <w:p>
      <w:pPr>
        <w:ind w:left="1480" w:right="499" w:firstLine="333"/>
        <w:spacing w:after="0" w:line="254" w:lineRule="auto"/>
        <w:rPr>
          <w:sz w:val="20"/>
          <w:szCs w:val="20"/>
          <w:color w:val="auto"/>
        </w:rPr>
      </w:pPr>
      <w:r>
        <w:rPr>
          <w:rFonts w:ascii="Times New Roman" w:cs="Times New Roman" w:eastAsia="Times New Roman" w:hAnsi="Times New Roman"/>
          <w:sz w:val="14"/>
          <w:szCs w:val="14"/>
          <w:color w:val="auto"/>
        </w:rPr>
        <w:t>In general, you may not offer or sell your Outstanding Notes except in transactions that are registered under the Securities Act or if the offer or sale is exempt from, or not subject to, the registration requirements of the Securities Act and applicable state securities laws. Except as required by the registration rights agreement, we do not intend to register resales of the Outstanding Notes under the Securities Act.</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Transfers of Exchange Notes</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Based on interpretations by the SEC set forth in no-action letters issued to third parties, we believe that you may resell or otherwise transfer</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Exchange Notes issued in the Exchange Offer without complying with the registration and prospectus-delivery provisions of the Securities Act, if:</w:t>
      </w:r>
    </w:p>
    <w:p>
      <w:pPr>
        <w:spacing w:after="0" w:line="82" w:lineRule="exact"/>
        <w:rPr>
          <w:sz w:val="20"/>
          <w:szCs w:val="20"/>
          <w:color w:val="auto"/>
        </w:rPr>
      </w:pPr>
    </w:p>
    <w:p>
      <w:pPr>
        <w:ind w:left="2220" w:hanging="334"/>
        <w:spacing w:after="0"/>
        <w:tabs>
          <w:tab w:leader="none" w:pos="2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acquiring the Exchange Notes in the ordinary course of your business;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do not have an arrangement or understanding with any person to participate in a distribution of the Exchange Notes;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our “affiliate” as defined by Rule 405 of the Securities Act; and</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engaged in, and do not intend to engage in, a distribution of the Exchange Notes.</w:t>
      </w:r>
    </w:p>
    <w:p>
      <w:pPr>
        <w:spacing w:after="0" w:line="166" w:lineRule="exact"/>
        <w:rPr>
          <w:sz w:val="20"/>
          <w:szCs w:val="20"/>
          <w:color w:val="auto"/>
        </w:rPr>
      </w:pPr>
    </w:p>
    <w:p>
      <w:pPr>
        <w:ind w:left="1480" w:right="439" w:firstLine="333"/>
        <w:spacing w:after="0" w:line="264" w:lineRule="auto"/>
        <w:rPr>
          <w:sz w:val="20"/>
          <w:szCs w:val="20"/>
          <w:color w:val="auto"/>
        </w:rPr>
      </w:pPr>
      <w:r>
        <w:rPr>
          <w:rFonts w:ascii="Times New Roman" w:cs="Times New Roman" w:eastAsia="Times New Roman" w:hAnsi="Times New Roman"/>
          <w:sz w:val="14"/>
          <w:szCs w:val="14"/>
          <w:color w:val="auto"/>
        </w:rPr>
        <w:t>If you are our “affiliate,” or are engaging in, or intend to engage in, or have any arrangement or understanding with any person to participate in, a distribution of the Exchange Notes, or are not acquiring the Exchange Notes in the ordinary course of your business, then:</w:t>
      </w:r>
    </w:p>
    <w:p>
      <w:pPr>
        <w:spacing w:after="0" w:line="63" w:lineRule="exact"/>
        <w:rPr>
          <w:sz w:val="20"/>
          <w:szCs w:val="20"/>
          <w:color w:val="auto"/>
        </w:rPr>
      </w:pPr>
    </w:p>
    <w:p>
      <w:pPr>
        <w:ind w:left="2220" w:right="499" w:hanging="334"/>
        <w:spacing w:after="0" w:line="255" w:lineRule="auto"/>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you cannot rely on the position of the SEC set forth in </w:t>
      </w:r>
      <w:r>
        <w:rPr>
          <w:rFonts w:ascii="Times New Roman" w:cs="Times New Roman" w:eastAsia="Times New Roman" w:hAnsi="Times New Roman"/>
          <w:sz w:val="14"/>
          <w:szCs w:val="14"/>
          <w:i w:val="1"/>
          <w:iCs w:val="1"/>
          <w:color w:val="auto"/>
        </w:rPr>
        <w:t>Morgan Stanley &amp; Co. Incorporated</w:t>
      </w:r>
      <w:r>
        <w:rPr>
          <w:rFonts w:ascii="Times New Roman" w:cs="Times New Roman" w:eastAsia="Times New Roman" w:hAnsi="Times New Roman"/>
          <w:sz w:val="14"/>
          <w:szCs w:val="14"/>
          <w:color w:val="auto"/>
        </w:rPr>
        <w:t xml:space="preserve"> (available June 5, 1991) and </w:t>
      </w:r>
      <w:r>
        <w:rPr>
          <w:rFonts w:ascii="Times New Roman" w:cs="Times New Roman" w:eastAsia="Times New Roman" w:hAnsi="Times New Roman"/>
          <w:sz w:val="14"/>
          <w:szCs w:val="14"/>
          <w:i w:val="1"/>
          <w:iCs w:val="1"/>
          <w:color w:val="auto"/>
        </w:rPr>
        <w:t>Exxon Capital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Holdings Corporation </w:t>
      </w:r>
      <w:r>
        <w:rPr>
          <w:rFonts w:ascii="Times New Roman" w:cs="Times New Roman" w:eastAsia="Times New Roman" w:hAnsi="Times New Roman"/>
          <w:sz w:val="14"/>
          <w:szCs w:val="14"/>
          <w:color w:val="auto"/>
        </w:rPr>
        <w:t>(available May 13, 1988), as interpreted in the SEC’s letter to</w:t>
      </w:r>
      <w:r>
        <w:rPr>
          <w:rFonts w:ascii="Times New Roman" w:cs="Times New Roman" w:eastAsia="Times New Roman" w:hAnsi="Times New Roman"/>
          <w:sz w:val="14"/>
          <w:szCs w:val="14"/>
          <w:i w:val="1"/>
          <w:iCs w:val="1"/>
          <w:color w:val="auto"/>
        </w:rPr>
        <w:t xml:space="preserve"> Shearman &amp; Sterling</w:t>
      </w:r>
      <w:r>
        <w:rPr>
          <w:rFonts w:ascii="Times New Roman" w:cs="Times New Roman" w:eastAsia="Times New Roman" w:hAnsi="Times New Roman"/>
          <w:sz w:val="14"/>
          <w:szCs w:val="14"/>
          <w:color w:val="auto"/>
        </w:rPr>
        <w:t>, dated July 2, 1993, or similar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no-action letters;</w:t>
      </w:r>
    </w:p>
    <w:p>
      <w:pPr>
        <w:spacing w:after="0" w:line="70"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cannot tender your Outstanding Notes in the Exchange Offer; and</w:t>
      </w:r>
    </w:p>
    <w:p>
      <w:pPr>
        <w:spacing w:after="0" w:line="94" w:lineRule="exact"/>
        <w:rPr>
          <w:rFonts w:ascii="Times New Roman" w:cs="Times New Roman" w:eastAsia="Times New Roman" w:hAnsi="Times New Roman"/>
          <w:sz w:val="14"/>
          <w:szCs w:val="14"/>
          <w:color w:val="auto"/>
        </w:rPr>
      </w:pPr>
    </w:p>
    <w:p>
      <w:pPr>
        <w:jc w:val="both"/>
        <w:ind w:left="2220" w:right="419" w:hanging="334"/>
        <w:spacing w:after="0" w:line="254" w:lineRule="auto"/>
        <w:tabs>
          <w:tab w:leader="none" w:pos="2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absence of an exception from the position stated immediately above, you must comply with the registration and prospectus-delivery requirements of the Securities Act in connection with any resale of the Exchange Notes unless such sale or transfer is made pursuant to an exemption from such requirements.</w:t>
      </w:r>
    </w:p>
    <w:p>
      <w:pPr>
        <w:spacing w:after="0" w:line="142" w:lineRule="exact"/>
        <w:rPr>
          <w:sz w:val="20"/>
          <w:szCs w:val="20"/>
          <w:color w:val="auto"/>
        </w:rPr>
      </w:pPr>
    </w:p>
    <w:p>
      <w:pPr>
        <w:ind w:left="1480" w:right="499" w:firstLine="333"/>
        <w:spacing w:after="0" w:line="248" w:lineRule="auto"/>
        <w:rPr>
          <w:sz w:val="20"/>
          <w:szCs w:val="20"/>
          <w:color w:val="auto"/>
        </w:rPr>
      </w:pPr>
      <w:r>
        <w:rPr>
          <w:rFonts w:ascii="Times New Roman" w:cs="Times New Roman" w:eastAsia="Times New Roman" w:hAnsi="Times New Roman"/>
          <w:sz w:val="14"/>
          <w:szCs w:val="14"/>
          <w:color w:val="auto"/>
        </w:rPr>
        <w:t>This prospectus may be used for an offer to resell, or for the resale or other transfer of Exchange Notes only as specifically set forth in this prospectus. With regard to broker-dealers, only broker-dealers that acquired the Outstanding Notes as a result of market-making activities or other trading activities may participate in the Exchange Offer. Each broker-dealer that acquired Outstanding Notes as a result of market-making activities or other trading activities must acknowledge that it will deliver a prospectus in connection with any resale of the Exchange Notes. Please read “Plan of Distribution” for more details regarding the transfer of Exchange Notes.</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7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We do not intend to seek our own interpretation from the SEC staff regarding the Exchange Offer, and there can be no assurance that the SEC staff would make a similar determination with respect to the Exchange Notes as it has in other interpretations to other parties, although we have no reason to believe otherwise.</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Book-Entry Delivery Procedures</w:t>
      </w:r>
    </w:p>
    <w:p>
      <w:pPr>
        <w:spacing w:after="0" w:line="88" w:lineRule="exact"/>
        <w:rPr>
          <w:sz w:val="20"/>
          <w:szCs w:val="20"/>
          <w:color w:val="auto"/>
        </w:rPr>
      </w:pPr>
    </w:p>
    <w:p>
      <w:pPr>
        <w:jc w:val="both"/>
        <w:ind w:left="1480" w:right="359" w:firstLine="333"/>
        <w:spacing w:after="0" w:line="291" w:lineRule="auto"/>
        <w:rPr>
          <w:sz w:val="20"/>
          <w:szCs w:val="20"/>
          <w:color w:val="auto"/>
        </w:rPr>
      </w:pPr>
      <w:r>
        <w:rPr>
          <w:rFonts w:ascii="Times New Roman" w:cs="Times New Roman" w:eastAsia="Times New Roman" w:hAnsi="Times New Roman"/>
          <w:sz w:val="12"/>
          <w:szCs w:val="12"/>
          <w:color w:val="auto"/>
        </w:rPr>
        <w:t>The Exchange Agent will make a request to establish an account with respect to the Outstanding Notes at DTC for purposes of the Exchange Offer promptly after the date of this prospectus. Any financial institution that is a participant in DTC’s systems may make book-entry delivery of Outstanding Notes by causing DTC to transfer Outstanding Notes into the Exchange Agent’s account in accordance with DTC’s ATOP procedures for transfer.</w:t>
      </w:r>
    </w:p>
    <w:p>
      <w:pPr>
        <w:ind w:left="1480" w:right="379"/>
        <w:spacing w:after="0" w:line="245" w:lineRule="auto"/>
        <w:rPr>
          <w:sz w:val="20"/>
          <w:szCs w:val="20"/>
          <w:color w:val="auto"/>
        </w:rPr>
      </w:pPr>
      <w:r>
        <w:rPr>
          <w:rFonts w:ascii="Times New Roman" w:cs="Times New Roman" w:eastAsia="Times New Roman" w:hAnsi="Times New Roman"/>
          <w:sz w:val="14"/>
          <w:szCs w:val="14"/>
          <w:color w:val="auto"/>
        </w:rPr>
        <w:t>However, the exchange for the Outstanding Notes so tendered will only be made after timely confirmation of book-entry transfer of Outstanding Notes into the Exchange Agent’s account, and timely receipt by the Exchange Agent of an agent’s message, transmitted by DTC and received by the Exchange Agent and forming a part of a book-entry confirmation.</w:t>
      </w:r>
    </w:p>
    <w:p>
      <w:pPr>
        <w:spacing w:after="0" w:line="149"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If your Outstanding Notes are held through DTC, you must complete a form called “instructions to registered holder and/or book-entry participant,” which will instruct the DTC participant through whom you hold your Outstanding Notes of your intention to tender your Outstanding Notes or not tender your Outstanding Notes. To be timely, book-entry delivery of Outstanding Notes requires actual receipt by the Exchange Agent of a confirmation of a book-entry transfer, which we refer to as a “book-entry confirmation,” prior to the Expiration Date. Please note that delivery of documents to DTC in accordance with its procedures does not constitute delivery to the Exchange Agent and we will not be able to accept your tender of Outstanding Notes until the Exchange Agent receives an agent’s message and a book-entry confirmation from DTC with respect to your Outstanding Notes.</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Withdrawal Rights</w:t>
      </w:r>
    </w:p>
    <w:p>
      <w:pPr>
        <w:spacing w:after="0" w:line="88" w:lineRule="exact"/>
        <w:rPr>
          <w:sz w:val="20"/>
          <w:szCs w:val="20"/>
          <w:color w:val="auto"/>
        </w:rPr>
      </w:pPr>
    </w:p>
    <w:p>
      <w:pPr>
        <w:ind w:left="1480" w:right="379" w:firstLine="333"/>
        <w:spacing w:after="0" w:line="264" w:lineRule="auto"/>
        <w:rPr>
          <w:sz w:val="20"/>
          <w:szCs w:val="20"/>
          <w:color w:val="auto"/>
        </w:rPr>
      </w:pPr>
      <w:r>
        <w:rPr>
          <w:rFonts w:ascii="Times New Roman" w:cs="Times New Roman" w:eastAsia="Times New Roman" w:hAnsi="Times New Roman"/>
          <w:sz w:val="14"/>
          <w:szCs w:val="14"/>
          <w:color w:val="auto"/>
        </w:rPr>
        <w:t>Except as otherwise provided in this prospectus, you may withdraw your tender of Outstanding Notes at any time prior to the Expiration Date. For a withdrawal to be effective:</w:t>
      </w:r>
    </w:p>
    <w:p>
      <w:pPr>
        <w:spacing w:after="0" w:line="65" w:lineRule="exact"/>
        <w:rPr>
          <w:sz w:val="20"/>
          <w:szCs w:val="20"/>
          <w:color w:val="auto"/>
        </w:rPr>
      </w:pPr>
    </w:p>
    <w:p>
      <w:pPr>
        <w:ind w:left="2220" w:right="619" w:hanging="334"/>
        <w:spacing w:after="0" w:line="264" w:lineRule="auto"/>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Agent must receive a written notice, which may be by telegram, telex, facsimile or letter, of withdrawal at its address set forth below under “—Exchange Agent;” or</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must comply with the appropriate procedures of DTC’s ATOP system.</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Any notice of withdrawal must:</w:t>
      </w:r>
    </w:p>
    <w:p>
      <w:pPr>
        <w:spacing w:after="0" w:line="94" w:lineRule="exact"/>
        <w:rPr>
          <w:sz w:val="20"/>
          <w:szCs w:val="20"/>
          <w:color w:val="auto"/>
        </w:rPr>
      </w:pPr>
    </w:p>
    <w:p>
      <w:pPr>
        <w:ind w:left="2220" w:hanging="334"/>
        <w:spacing w:after="0"/>
        <w:tabs>
          <w:tab w:leader="none" w:pos="2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the name of the person who tendered the Outstanding Notes to be withdrawn;</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Outstanding Notes to be withdrawn, including the certificate numbers and principal amount of the Outstanding Notes; and</w:t>
      </w:r>
    </w:p>
    <w:p>
      <w:pPr>
        <w:spacing w:after="0" w:line="94" w:lineRule="exact"/>
        <w:rPr>
          <w:rFonts w:ascii="Times New Roman" w:cs="Times New Roman" w:eastAsia="Times New Roman" w:hAnsi="Times New Roman"/>
          <w:sz w:val="14"/>
          <w:szCs w:val="14"/>
          <w:color w:val="auto"/>
        </w:rPr>
      </w:pPr>
    </w:p>
    <w:p>
      <w:pPr>
        <w:ind w:left="2220" w:right="659" w:hanging="334"/>
        <w:spacing w:after="0" w:line="264" w:lineRule="auto"/>
        <w:tabs>
          <w:tab w:leader="none" w:pos="2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certificates for Outstanding Notes have been transmitted, specify the name in which such Outstanding Notes were registered, if different from that of the withdrawing holder.</w:t>
      </w:r>
    </w:p>
    <w:p>
      <w:pPr>
        <w:spacing w:after="0" w:line="136"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color w:val="auto"/>
        </w:rPr>
        <w:t>If Outstanding Notes have been tendered pursuant to the procedures for book-entry transfer described above, any notice of withdrawal must specify the name and number of the account at the book-entry transfer facility to be credited with the withdrawn Outstanding Notes and otherwise comply with the procedures of the facility. We will determine, in our reasonable discretion, all questions as to the validity, form and eligibility, including time of receipt of notices of withdrawal, and our determination will be final and binding on all parties. Any Outstanding Notes so withdrawn will be deemed not to have been validly tendered for exchange for purposes of the Exchange Offer. Any Outstanding Notes that have been tendered for exchange but that are not exchanged for any reason will be returned to their holder, without cost to the holder, or, in the case of book-entry transfer, the Outstanding Notes will be credited to an account at the book-entry transfer facility, promptly after withdrawal, rejection of</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7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spacing w:after="0" w:line="264" w:lineRule="auto"/>
        <w:rPr>
          <w:sz w:val="20"/>
          <w:szCs w:val="20"/>
          <w:color w:val="auto"/>
        </w:rPr>
      </w:pPr>
      <w:r>
        <w:rPr>
          <w:rFonts w:ascii="Times New Roman" w:cs="Times New Roman" w:eastAsia="Times New Roman" w:hAnsi="Times New Roman"/>
          <w:sz w:val="14"/>
          <w:szCs w:val="14"/>
          <w:color w:val="auto"/>
        </w:rPr>
        <w:t>tender or termination of the Exchange Offer. Properly withdrawn Outstanding Notes may be retendered by following the procedures described under “— Procedures for Tendering Outstanding Notes” above at any time on or prior to the Expiration Date.</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Exchange Agent</w:t>
      </w:r>
    </w:p>
    <w:p>
      <w:pPr>
        <w:spacing w:after="0" w:line="88" w:lineRule="exact"/>
        <w:rPr>
          <w:sz w:val="20"/>
          <w:szCs w:val="20"/>
          <w:color w:val="auto"/>
        </w:rPr>
      </w:pPr>
    </w:p>
    <w:p>
      <w:pPr>
        <w:ind w:left="1480" w:right="619" w:firstLine="333"/>
        <w:spacing w:after="0" w:line="254" w:lineRule="auto"/>
        <w:rPr>
          <w:sz w:val="20"/>
          <w:szCs w:val="20"/>
          <w:color w:val="auto"/>
        </w:rPr>
      </w:pPr>
      <w:r>
        <w:rPr>
          <w:rFonts w:ascii="Times New Roman" w:cs="Times New Roman" w:eastAsia="Times New Roman" w:hAnsi="Times New Roman"/>
          <w:sz w:val="14"/>
          <w:szCs w:val="14"/>
          <w:color w:val="auto"/>
        </w:rPr>
        <w:t>Wilmington Trust, National Association, has been appointed as the Exchange Agent for the Exchange Offer. Wilmington Trust, National Association, also acts as trustee under the Indenture governing the notes. You should direct all questions and requests for assistance and requests for additional copies of this prospectus to the Exchange Agent addressed as follows:</w:t>
      </w:r>
    </w:p>
    <w:p>
      <w:pPr>
        <w:spacing w:after="0" w:line="1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By Hand, Overnight Delivery or Mail</w:t>
      </w:r>
    </w:p>
    <w:p>
      <w:pPr>
        <w:spacing w:after="0" w:line="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(Registered or Certified Mail Recommended):</w:t>
      </w:r>
    </w:p>
    <w:p>
      <w:pPr>
        <w:spacing w:after="0" w:line="7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Wilmington Trust, National Association</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Rodney Square North</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1100 North Market Street</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Wilmington, DE 19890-1626</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Attention: Workflow Management, 5th Floor</w:t>
      </w:r>
    </w:p>
    <w:p>
      <w:pPr>
        <w:sectPr>
          <w:pgSz w:w="11900" w:h="16838" w:orient="portrait"/>
          <w:cols w:equalWidth="0" w:num="1">
            <w:col w:w="10159"/>
          </w:cols>
          <w:pgMar w:left="300" w:top="378" w:right="1440" w:bottom="1440" w:gutter="0" w:footer="0" w:header="0"/>
        </w:sectPr>
      </w:pPr>
    </w:p>
    <w:p>
      <w:pPr>
        <w:spacing w:after="0" w:line="17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2"/>
          <w:szCs w:val="12"/>
          <w:i w:val="1"/>
          <w:iCs w:val="1"/>
          <w:color w:val="auto"/>
        </w:rPr>
        <w:t>By Facsimile: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To Confirm by Email:</w:t>
      </w:r>
    </w:p>
    <w:p>
      <w:pPr>
        <w:spacing w:after="0" w:line="130" w:lineRule="exact"/>
        <w:rPr>
          <w:sz w:val="20"/>
          <w:szCs w:val="20"/>
          <w:color w:val="auto"/>
        </w:rPr>
      </w:pPr>
    </w:p>
    <w:p>
      <w:pPr>
        <w:sectPr>
          <w:pgSz w:w="11900" w:h="16838" w:orient="portrait"/>
          <w:cols w:equalWidth="0" w:num="2">
            <w:col w:w="6540" w:space="720"/>
            <w:col w:w="2899"/>
          </w:cols>
          <w:pgMar w:left="300" w:top="378" w:right="1440" w:bottom="1440" w:gutter="0" w:footer="0" w:header="0"/>
          <w:type w:val="continuous"/>
        </w:sectPr>
      </w:pPr>
    </w:p>
    <w:p>
      <w:pPr>
        <w:jc w:val="center"/>
        <w:ind w:left="1260"/>
        <w:spacing w:after="0"/>
        <w:rPr>
          <w:sz w:val="20"/>
          <w:szCs w:val="20"/>
          <w:color w:val="auto"/>
        </w:rPr>
      </w:pPr>
      <w:r>
        <w:rPr>
          <w:rFonts w:ascii="Times New Roman" w:cs="Times New Roman" w:eastAsia="Times New Roman" w:hAnsi="Times New Roman"/>
          <w:sz w:val="14"/>
          <w:szCs w:val="14"/>
          <w:color w:val="auto"/>
        </w:rPr>
        <w:t>(302) 636-4139</w:t>
      </w:r>
    </w:p>
    <w:p>
      <w:pPr>
        <w:spacing w:after="0" w:line="14" w:lineRule="exact"/>
        <w:rPr>
          <w:sz w:val="20"/>
          <w:szCs w:val="20"/>
          <w:color w:val="auto"/>
        </w:rPr>
      </w:pPr>
    </w:p>
    <w:p>
      <w:pPr>
        <w:jc w:val="center"/>
        <w:ind w:left="1260"/>
        <w:spacing w:after="0"/>
        <w:rPr>
          <w:sz w:val="20"/>
          <w:szCs w:val="20"/>
          <w:color w:val="auto"/>
        </w:rPr>
      </w:pPr>
      <w:r>
        <w:rPr>
          <w:rFonts w:ascii="Times New Roman" w:cs="Times New Roman" w:eastAsia="Times New Roman" w:hAnsi="Times New Roman"/>
          <w:sz w:val="12"/>
          <w:szCs w:val="12"/>
          <w:color w:val="auto"/>
        </w:rPr>
        <w:t>Attention: Workflow Management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DL-DTC-Transfer_Agent_Team@mtb.com</w:t>
      </w:r>
    </w:p>
    <w:p>
      <w:pPr>
        <w:spacing w:after="0" w:line="352" w:lineRule="exact"/>
        <w:rPr>
          <w:sz w:val="20"/>
          <w:szCs w:val="20"/>
          <w:color w:val="auto"/>
        </w:rPr>
      </w:pPr>
    </w:p>
    <w:p>
      <w:pPr>
        <w:sectPr>
          <w:pgSz w:w="11900" w:h="16838" w:orient="portrait"/>
          <w:cols w:equalWidth="0" w:num="2">
            <w:col w:w="5940" w:space="720"/>
            <w:col w:w="3499"/>
          </w:cols>
          <w:pgMar w:left="300" w:top="378" w:right="1440" w:bottom="1440" w:gutter="0" w:footer="0" w:header="0"/>
          <w:type w:val="continuous"/>
        </w:sectPr>
      </w:pPr>
    </w:p>
    <w:p>
      <w:pPr>
        <w:ind w:left="1480" w:right="659" w:firstLine="333"/>
        <w:spacing w:after="0" w:line="264" w:lineRule="auto"/>
        <w:rPr>
          <w:sz w:val="20"/>
          <w:szCs w:val="20"/>
          <w:color w:val="auto"/>
        </w:rPr>
      </w:pPr>
      <w:r>
        <w:rPr>
          <w:rFonts w:ascii="Times New Roman" w:cs="Times New Roman" w:eastAsia="Times New Roman" w:hAnsi="Times New Roman"/>
          <w:sz w:val="14"/>
          <w:szCs w:val="14"/>
          <w:color w:val="auto"/>
        </w:rPr>
        <w:t>If you transmit instructions via facsimile other than the one set forth above, that delivery or those instructions will not be effective. Fax cover sheets should provide a call-back number.</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88"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The registration rights agreement provides that we will bear all expenses in connection with the performance of our obligations relating to the registration of the Exchange Notes and the conduct of the Exchange Offer. These expenses include registration and filing fees, accounting and legal fees and printing costs, among others. We will pay the Exchange Agent reasonable and customary fees for its services and reasonable out-of-pocket expenses. We will also reimburse brokerage houses and other custodians, nominees and fiduciaries for customary mailing and handling expenses incurred by them in forwarding this prospectus and related documents to their clients that are holders of Outstanding Notes and for handling or tendering for such clients.</w:t>
      </w:r>
    </w:p>
    <w:p>
      <w:pPr>
        <w:spacing w:after="0" w:line="150" w:lineRule="exact"/>
        <w:rPr>
          <w:sz w:val="20"/>
          <w:szCs w:val="20"/>
          <w:color w:val="auto"/>
        </w:rPr>
      </w:pPr>
    </w:p>
    <w:p>
      <w:pPr>
        <w:ind w:left="1480" w:right="579" w:firstLine="333"/>
        <w:spacing w:after="0" w:line="264" w:lineRule="auto"/>
        <w:rPr>
          <w:sz w:val="20"/>
          <w:szCs w:val="20"/>
          <w:color w:val="auto"/>
        </w:rPr>
      </w:pPr>
      <w:r>
        <w:rPr>
          <w:rFonts w:ascii="Times New Roman" w:cs="Times New Roman" w:eastAsia="Times New Roman" w:hAnsi="Times New Roman"/>
          <w:sz w:val="14"/>
          <w:szCs w:val="14"/>
          <w:color w:val="auto"/>
        </w:rPr>
        <w:t>We have not retained any dealer-manager in connection with the Exchange Offer and will not pay any fee or commission to any broker, dealer, nominee or other person for soliciting tenders of Outstanding Notes pursuant to the Exchange Offer.</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Accounting Treatment</w:t>
      </w:r>
    </w:p>
    <w:p>
      <w:pPr>
        <w:spacing w:after="0" w:line="88" w:lineRule="exact"/>
        <w:rPr>
          <w:sz w:val="20"/>
          <w:szCs w:val="20"/>
          <w:color w:val="auto"/>
        </w:rPr>
      </w:pPr>
    </w:p>
    <w:p>
      <w:pPr>
        <w:ind w:left="1480" w:right="859" w:firstLine="333"/>
        <w:spacing w:after="0" w:line="264" w:lineRule="auto"/>
        <w:rPr>
          <w:sz w:val="20"/>
          <w:szCs w:val="20"/>
          <w:color w:val="auto"/>
        </w:rPr>
      </w:pPr>
      <w:r>
        <w:rPr>
          <w:rFonts w:ascii="Times New Roman" w:cs="Times New Roman" w:eastAsia="Times New Roman" w:hAnsi="Times New Roman"/>
          <w:sz w:val="14"/>
          <w:szCs w:val="14"/>
          <w:color w:val="auto"/>
        </w:rPr>
        <w:t>We will record the Exchange Notes in our accounting records at the same carrying value as the Outstanding Notes, which is the aggregate principal amount as reflected in our accounting records on the date of exchange.</w:t>
      </w:r>
    </w:p>
    <w:p>
      <w:pPr>
        <w:spacing w:after="0" w:line="136" w:lineRule="exact"/>
        <w:rPr>
          <w:sz w:val="20"/>
          <w:szCs w:val="20"/>
          <w:color w:val="auto"/>
        </w:rPr>
      </w:pPr>
    </w:p>
    <w:p>
      <w:pPr>
        <w:ind w:left="1480" w:right="379" w:firstLine="333"/>
        <w:spacing w:after="0" w:line="264" w:lineRule="auto"/>
        <w:rPr>
          <w:sz w:val="20"/>
          <w:szCs w:val="20"/>
          <w:color w:val="auto"/>
        </w:rPr>
      </w:pPr>
      <w:r>
        <w:rPr>
          <w:rFonts w:ascii="Times New Roman" w:cs="Times New Roman" w:eastAsia="Times New Roman" w:hAnsi="Times New Roman"/>
          <w:sz w:val="14"/>
          <w:szCs w:val="14"/>
          <w:color w:val="auto"/>
        </w:rPr>
        <w:t>Accordingly, we will not recognize any gain or loss for accounting purposes upon the consummation of the Exchange Offer. We will capitalize the expenses of the Exchange Offer and amortize them over the life of the Exchange Notes.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78" w:right="1440"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Transfer Taxes</w:t>
      </w:r>
    </w:p>
    <w:p>
      <w:pPr>
        <w:spacing w:after="0" w:line="88" w:lineRule="exact"/>
        <w:rPr>
          <w:sz w:val="20"/>
          <w:szCs w:val="20"/>
          <w:color w:val="auto"/>
        </w:rPr>
      </w:pPr>
    </w:p>
    <w:p>
      <w:pPr>
        <w:ind w:left="1480" w:right="419" w:firstLine="333"/>
        <w:spacing w:after="0" w:line="264" w:lineRule="auto"/>
        <w:rPr>
          <w:sz w:val="20"/>
          <w:szCs w:val="20"/>
          <w:color w:val="auto"/>
        </w:rPr>
      </w:pPr>
      <w:r>
        <w:rPr>
          <w:rFonts w:ascii="Times New Roman" w:cs="Times New Roman" w:eastAsia="Times New Roman" w:hAnsi="Times New Roman"/>
          <w:sz w:val="14"/>
          <w:szCs w:val="14"/>
          <w:color w:val="auto"/>
        </w:rPr>
        <w:t>We will pay all transfer taxes, if any, applicable to the exchanges of Outstanding Notes under the Exchange Offer. The tendering holder, however, will be required to pay any transfer taxes, whether imposed on the registered holder or any other person, if:</w:t>
      </w:r>
    </w:p>
    <w:p>
      <w:pPr>
        <w:spacing w:after="0" w:line="65" w:lineRule="exact"/>
        <w:rPr>
          <w:sz w:val="20"/>
          <w:szCs w:val="20"/>
          <w:color w:val="auto"/>
        </w:rPr>
      </w:pPr>
    </w:p>
    <w:p>
      <w:pPr>
        <w:ind w:left="2220" w:right="419" w:hanging="334"/>
        <w:spacing w:after="0" w:line="264" w:lineRule="auto"/>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certificates representing Outstanding Notes for principal amounts not tendered or accepted for exchange are to be delivered to, or are to be issued in the name of, any person other than the registered holder of Outstanding Notes tendered;</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tendering holder instructs us to register the Exchange Notes in the name of a person other than the registered holder; or</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transfer tax is imposed for any reason other than the exchange of Outstanding Notes under the Exchange Offer.</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88" w:lineRule="exact"/>
        <w:rPr>
          <w:sz w:val="20"/>
          <w:szCs w:val="20"/>
          <w:color w:val="auto"/>
        </w:rPr>
      </w:pPr>
    </w:p>
    <w:p>
      <w:pPr>
        <w:ind w:left="1480" w:right="419" w:firstLine="333"/>
        <w:spacing w:after="0" w:line="264" w:lineRule="auto"/>
        <w:rPr>
          <w:sz w:val="20"/>
          <w:szCs w:val="20"/>
          <w:color w:val="auto"/>
        </w:rPr>
      </w:pPr>
      <w:r>
        <w:rPr>
          <w:rFonts w:ascii="Times New Roman" w:cs="Times New Roman" w:eastAsia="Times New Roman" w:hAnsi="Times New Roman"/>
          <w:sz w:val="14"/>
          <w:szCs w:val="14"/>
          <w:color w:val="auto"/>
        </w:rPr>
        <w:t>Participating in the Exchange Offer is voluntary, and you should carefully consider whether to participate. You are urged to consult your financial and tax advisors in making your own decision on what action to take.</w:t>
      </w:r>
    </w:p>
    <w:p>
      <w:pPr>
        <w:spacing w:after="0" w:line="136" w:lineRule="exact"/>
        <w:rPr>
          <w:sz w:val="20"/>
          <w:szCs w:val="20"/>
          <w:color w:val="auto"/>
        </w:rPr>
      </w:pPr>
    </w:p>
    <w:p>
      <w:pPr>
        <w:ind w:left="1480" w:right="739" w:firstLine="333"/>
        <w:spacing w:after="0" w:line="254" w:lineRule="auto"/>
        <w:rPr>
          <w:sz w:val="20"/>
          <w:szCs w:val="20"/>
          <w:color w:val="auto"/>
        </w:rPr>
      </w:pPr>
      <w:r>
        <w:rPr>
          <w:rFonts w:ascii="Times New Roman" w:cs="Times New Roman" w:eastAsia="Times New Roman" w:hAnsi="Times New Roman"/>
          <w:sz w:val="14"/>
          <w:szCs w:val="14"/>
          <w:color w:val="auto"/>
        </w:rPr>
        <w:t>We may in the future seek to acquire untendered Outstanding Notes in open market or privately negotiated transactions, through subsequent exchange offers or otherwise. We have no present plans to acquire any Outstanding Notes that are not tendered in the Exchange Offer or to file a registration statement to permit resales of any untendered Outstanding Notes.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78"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EXCHANGE NOTES</w:t>
      </w:r>
    </w:p>
    <w:p>
      <w:pPr>
        <w:spacing w:after="0" w:line="170"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The following description is a summary of the material terms of the Exchange Notes offered hereby and does not purport to be complete. Although for convenience the 2035 Notes and 2036 Notes are referred to as the “Exchange Notes,” each of the 2035 Notes and the 2036 Notes will be issued as a separate series and will not together have any class voting rights. Accordingly, for purposes of this Description of Exchange Notes, unless the context otherwise requires, references to the “Exchange Notes” shall be deemed to refer to each series of notes separately, and not to the 2035 Notes and the 2036 Notes on any combined basis.</w:t>
      </w:r>
    </w:p>
    <w:p>
      <w:pPr>
        <w:spacing w:after="0" w:line="149" w:lineRule="exact"/>
        <w:rPr>
          <w:sz w:val="20"/>
          <w:szCs w:val="20"/>
          <w:color w:val="auto"/>
        </w:rPr>
      </w:pPr>
    </w:p>
    <w:p>
      <w:pPr>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As used in the following description, the terms “Issuer,” “we,” “our” and “us” refer to Broadcom Inc., a Delaware corporation (“Broadcom”), and not any of its subsidiaries, unless the context requires otherwise. In addition, the term “Outstanding Notes” refers collectively to the $3,249,984,000 3.137% Senior Notes due 2035 and $2,750,000,000 3.187% Senior Notes due 2036.</w:t>
      </w:r>
    </w:p>
    <w:p>
      <w:pPr>
        <w:spacing w:after="0" w:line="142" w:lineRule="exact"/>
        <w:rPr>
          <w:sz w:val="20"/>
          <w:szCs w:val="20"/>
          <w:color w:val="auto"/>
        </w:rPr>
      </w:pPr>
    </w:p>
    <w:p>
      <w:pPr>
        <w:jc w:val="both"/>
        <w:ind w:left="1480" w:right="419" w:firstLine="333"/>
        <w:spacing w:after="0" w:line="250" w:lineRule="auto"/>
        <w:rPr>
          <w:sz w:val="20"/>
          <w:szCs w:val="20"/>
          <w:color w:val="auto"/>
        </w:rPr>
      </w:pPr>
      <w:r>
        <w:rPr>
          <w:rFonts w:ascii="Times New Roman" w:cs="Times New Roman" w:eastAsia="Times New Roman" w:hAnsi="Times New Roman"/>
          <w:sz w:val="14"/>
          <w:szCs w:val="14"/>
          <w:color w:val="auto"/>
        </w:rPr>
        <w:t>On September 30, 2021, we issued the Outstanding Notes under that certain Indenture, dated September 30, 2021 (the “Base Indenture”) between us and Wilmington Trust, National Association, as Trustee (the Base Indenture as amended by that certain Supplemental Indenture No. 1, dated June 3, 2026, the “Indenture”). The following description of the Exchange Notes offered hereby is subject to, and is qualified in its entirety by reference to, the Indenture, including definitions therein of certain terms.</w:t>
      </w:r>
    </w:p>
    <w:p>
      <w:pPr>
        <w:spacing w:after="0" w:line="146" w:lineRule="exact"/>
        <w:rPr>
          <w:sz w:val="20"/>
          <w:szCs w:val="20"/>
          <w:color w:val="auto"/>
        </w:rPr>
      </w:pPr>
    </w:p>
    <w:p>
      <w:pPr>
        <w:ind w:left="1480" w:right="399" w:firstLine="333"/>
        <w:spacing w:after="0" w:line="245" w:lineRule="auto"/>
        <w:rPr>
          <w:sz w:val="20"/>
          <w:szCs w:val="20"/>
          <w:color w:val="auto"/>
        </w:rPr>
      </w:pPr>
      <w:r>
        <w:rPr>
          <w:rFonts w:ascii="Times New Roman" w:cs="Times New Roman" w:eastAsia="Times New Roman" w:hAnsi="Times New Roman"/>
          <w:sz w:val="14"/>
          <w:szCs w:val="14"/>
          <w:color w:val="auto"/>
        </w:rPr>
        <w:t>The Issuer will issue in exchange for the Outstanding Notes up to $5,999,984,000 aggregate principal amount of Exchange Notes that have been registered under the Securities Act. The form and terms of the Exchange Notes are identical in all material respects to the form and terms of the respective series of Outstanding Notes, which include those stated in the Indenture and those made part of the Indenture by reference to the Trust Indenture Act, except that the offer and sale of the Exchange Notes will be registered under the Securities Act and the Exchange Notes will have a different CUSIP number and will not contain terms with respect to transfer restrictions, registration rights and additional payments upon a failure to fulfill certain obligations under the registration rights agreement. For the avoidance of doubt, notwithstanding anything to the contrary in this Description of Exchange Notes, the Exchange Notes of each series, any additional Exchange Notes of the same series issued as described below under “—General” and the Outstanding Notes of the respective series shall constitute a single series for all purposes under the Indenture, and references to the “Exchange Notes” in this Description of Exchange Notes shall be deemed to include any such additional Exchange Notes and Outstanding Notes, as applicable, where the context requires.</w:t>
      </w:r>
    </w:p>
    <w:p>
      <w:pPr>
        <w:spacing w:after="0" w:line="154" w:lineRule="exact"/>
        <w:rPr>
          <w:sz w:val="20"/>
          <w:szCs w:val="20"/>
          <w:color w:val="auto"/>
        </w:rPr>
      </w:pPr>
    </w:p>
    <w:p>
      <w:pPr>
        <w:jc w:val="both"/>
        <w:ind w:left="1480" w:right="579" w:firstLine="333"/>
        <w:spacing w:after="0" w:line="254" w:lineRule="auto"/>
        <w:rPr>
          <w:sz w:val="20"/>
          <w:szCs w:val="20"/>
          <w:color w:val="auto"/>
        </w:rPr>
      </w:pPr>
      <w:r>
        <w:rPr>
          <w:rFonts w:ascii="Times New Roman" w:cs="Times New Roman" w:eastAsia="Times New Roman" w:hAnsi="Times New Roman"/>
          <w:sz w:val="14"/>
          <w:szCs w:val="14"/>
          <w:color w:val="auto"/>
        </w:rPr>
        <w:t>We urge you to read the Indenture (including definitions of terms used therein) because it, and not this description, will define your rights as a beneficial holder of the Exchange Notes. You may request copies of the Indenture from us at our address set forth under “Where You Can Find More Information” in this prospectus.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ind w:left="1480" w:right="499" w:firstLine="333"/>
        <w:spacing w:after="0" w:line="349" w:lineRule="auto"/>
        <w:rPr>
          <w:sz w:val="20"/>
          <w:szCs w:val="20"/>
          <w:color w:val="auto"/>
        </w:rPr>
      </w:pPr>
      <w:r>
        <w:rPr>
          <w:rFonts w:ascii="Times New Roman" w:cs="Times New Roman" w:eastAsia="Times New Roman" w:hAnsi="Times New Roman"/>
          <w:sz w:val="12"/>
          <w:szCs w:val="12"/>
          <w:color w:val="auto"/>
        </w:rPr>
        <w:t>The Exchange Notes will be our senior unsecured obligations issued under the Indenture. The Trustee will also act as registrar, paying agent and authenticating agent and perform administrative duties for us, such as sending out interest payments and certain notices under the Indenture.</w:t>
      </w:r>
    </w:p>
    <w:p>
      <w:pPr>
        <w:spacing w:after="0" w:line="89" w:lineRule="exact"/>
        <w:rPr>
          <w:sz w:val="20"/>
          <w:szCs w:val="20"/>
          <w:color w:val="auto"/>
        </w:rPr>
      </w:pPr>
    </w:p>
    <w:p>
      <w:pPr>
        <w:ind w:left="1480" w:right="979" w:firstLine="333"/>
        <w:spacing w:after="0" w:line="264" w:lineRule="auto"/>
        <w:rPr>
          <w:sz w:val="20"/>
          <w:szCs w:val="20"/>
          <w:color w:val="auto"/>
        </w:rPr>
      </w:pPr>
      <w:r>
        <w:rPr>
          <w:rFonts w:ascii="Times New Roman" w:cs="Times New Roman" w:eastAsia="Times New Roman" w:hAnsi="Times New Roman"/>
          <w:sz w:val="14"/>
          <w:szCs w:val="14"/>
          <w:color w:val="auto"/>
        </w:rPr>
        <w:t>We will issue up to $3,249,984,000 aggregate principal amount of the 2035 Notes, which will mature on November 15, 2035, and up to $2,750,000,000 aggregate principal amount of the 2036 Notes, which will mature on November 15, 2036.</w:t>
      </w:r>
    </w:p>
    <w:p>
      <w:pPr>
        <w:spacing w:after="0" w:line="136" w:lineRule="exact"/>
        <w:rPr>
          <w:sz w:val="20"/>
          <w:szCs w:val="20"/>
          <w:color w:val="auto"/>
        </w:rPr>
      </w:pPr>
    </w:p>
    <w:p>
      <w:pPr>
        <w:ind w:left="1480" w:right="379" w:firstLine="333"/>
        <w:spacing w:after="0" w:line="264" w:lineRule="auto"/>
        <w:rPr>
          <w:sz w:val="20"/>
          <w:szCs w:val="20"/>
          <w:color w:val="auto"/>
        </w:rPr>
      </w:pPr>
      <w:r>
        <w:rPr>
          <w:rFonts w:ascii="Times New Roman" w:cs="Times New Roman" w:eastAsia="Times New Roman" w:hAnsi="Times New Roman"/>
          <w:sz w:val="14"/>
          <w:szCs w:val="14"/>
          <w:color w:val="auto"/>
        </w:rPr>
        <w:t>The Exchange Notes will be issued only in fully registered form without coupons, in minimum denominations of $2,000 with integral multiples of $1,000 in excess thereof.</w:t>
      </w:r>
    </w:p>
    <w:p>
      <w:pPr>
        <w:spacing w:after="0" w:line="136" w:lineRule="exact"/>
        <w:rPr>
          <w:sz w:val="20"/>
          <w:szCs w:val="20"/>
          <w:color w:val="auto"/>
        </w:rPr>
      </w:pPr>
    </w:p>
    <w:p>
      <w:pPr>
        <w:ind w:left="1480" w:right="559" w:firstLine="333"/>
        <w:spacing w:after="0" w:line="264" w:lineRule="auto"/>
        <w:rPr>
          <w:sz w:val="20"/>
          <w:szCs w:val="20"/>
          <w:color w:val="auto"/>
        </w:rPr>
      </w:pPr>
      <w:r>
        <w:rPr>
          <w:rFonts w:ascii="Times New Roman" w:cs="Times New Roman" w:eastAsia="Times New Roman" w:hAnsi="Times New Roman"/>
          <w:sz w:val="14"/>
          <w:szCs w:val="14"/>
          <w:color w:val="auto"/>
        </w:rPr>
        <w:t>The Exchange Notes will be senior unsecured obligations of the Issuer and rank equal in right of payment with all of the Issuer’s other existing and future senior unsecured indebtedness. The Exchange Notes will rank</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7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599"/>
        <w:spacing w:after="0" w:line="264" w:lineRule="auto"/>
        <w:rPr>
          <w:sz w:val="20"/>
          <w:szCs w:val="20"/>
          <w:color w:val="auto"/>
        </w:rPr>
      </w:pPr>
      <w:r>
        <w:rPr>
          <w:rFonts w:ascii="Times New Roman" w:cs="Times New Roman" w:eastAsia="Times New Roman" w:hAnsi="Times New Roman"/>
          <w:sz w:val="14"/>
          <w:szCs w:val="14"/>
          <w:color w:val="auto"/>
        </w:rPr>
        <w:t>senior in right of payment to all of the Issuer’s existing and future subordinated indebtedness, and effectively subordinated in right of payment to the Issuer’s existing and future secured obligations, to the extent of the assets securing such obligations.</w:t>
      </w:r>
    </w:p>
    <w:p>
      <w:pPr>
        <w:spacing w:after="0" w:line="136" w:lineRule="exact"/>
        <w:rPr>
          <w:sz w:val="20"/>
          <w:szCs w:val="20"/>
          <w:color w:val="auto"/>
        </w:rPr>
      </w:pPr>
    </w:p>
    <w:p>
      <w:pPr>
        <w:ind w:left="1480" w:right="399" w:firstLine="333"/>
        <w:spacing w:after="0" w:line="247" w:lineRule="auto"/>
        <w:rPr>
          <w:sz w:val="20"/>
          <w:szCs w:val="20"/>
          <w:color w:val="auto"/>
        </w:rPr>
      </w:pPr>
      <w:r>
        <w:rPr>
          <w:rFonts w:ascii="Times New Roman" w:cs="Times New Roman" w:eastAsia="Times New Roman" w:hAnsi="Times New Roman"/>
          <w:sz w:val="14"/>
          <w:szCs w:val="14"/>
          <w:color w:val="auto"/>
        </w:rPr>
        <w:t>As of May 3, 2026, (i) the Issuer had approximately $61,437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money of such subsidiaries would be structurally senior to the Exchange Notes with respect to claims on the assets and cash flows of the Issuer’s subsidiaries. The Exchange Notes will not be guaranteed by any of our subsidiaries and thus will rank structurally subordinated in right of payment to all existing or future indebtedness or other liabilities, including trade payables, of our subsidiaries.</w:t>
      </w:r>
    </w:p>
    <w:p>
      <w:pPr>
        <w:spacing w:after="0" w:line="15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Exchange Notes will not be subject to, and will not have the benefit of, any sinking fund.</w:t>
      </w:r>
    </w:p>
    <w:p>
      <w:pPr>
        <w:spacing w:after="0" w:line="166" w:lineRule="exact"/>
        <w:rPr>
          <w:sz w:val="20"/>
          <w:szCs w:val="20"/>
          <w:color w:val="auto"/>
        </w:rPr>
      </w:pPr>
    </w:p>
    <w:p>
      <w:pPr>
        <w:ind w:left="1480" w:right="359" w:firstLine="333"/>
        <w:spacing w:after="0" w:line="305" w:lineRule="auto"/>
        <w:rPr>
          <w:sz w:val="20"/>
          <w:szCs w:val="20"/>
          <w:color w:val="auto"/>
        </w:rPr>
      </w:pPr>
      <w:r>
        <w:rPr>
          <w:rFonts w:ascii="Times New Roman" w:cs="Times New Roman" w:eastAsia="Times New Roman" w:hAnsi="Times New Roman"/>
          <w:sz w:val="12"/>
          <w:szCs w:val="12"/>
          <w:color w:val="auto"/>
        </w:rPr>
        <w:t>The 2035 Notes bear interest at a fixed rate per year of 3.137%, starting on May 15, 2026 and ending November 15, 2035. The 2036 Notes bear interest at a fixed rate per year of 3.187%, starting on May 15, 2026 and ending November 15, 2036. Interest on the Exchange Notes will be payable semiannually on May 15 and November 15, starting on November 15, 2026. All payments of interest on the Exchange Notes will be made to the persons in whose names the Exchange Notes are registered on the May 1 or November 1 immediately preceding the applicable interest payment date.</w:t>
      </w:r>
    </w:p>
    <w:p>
      <w:pPr>
        <w:spacing w:after="0" w:line="116" w:lineRule="exact"/>
        <w:rPr>
          <w:sz w:val="20"/>
          <w:szCs w:val="20"/>
          <w:color w:val="auto"/>
        </w:rPr>
      </w:pPr>
    </w:p>
    <w:p>
      <w:pPr>
        <w:ind w:left="1480" w:right="399" w:firstLine="333"/>
        <w:spacing w:after="0" w:line="264" w:lineRule="auto"/>
        <w:rPr>
          <w:sz w:val="20"/>
          <w:szCs w:val="20"/>
          <w:color w:val="auto"/>
        </w:rPr>
      </w:pPr>
      <w:r>
        <w:rPr>
          <w:rFonts w:ascii="Times New Roman" w:cs="Times New Roman" w:eastAsia="Times New Roman" w:hAnsi="Times New Roman"/>
          <w:sz w:val="14"/>
          <w:szCs w:val="14"/>
          <w:color w:val="auto"/>
        </w:rPr>
        <w:t>Interest on the Exchange Notes will be calculated on the basis of a 360-day year comprised of twelve 30-day months. All dollar amounts resulting from this calculation are rounded to the nearest cent.</w:t>
      </w:r>
    </w:p>
    <w:p>
      <w:pPr>
        <w:spacing w:after="0" w:line="136" w:lineRule="exact"/>
        <w:rPr>
          <w:sz w:val="20"/>
          <w:szCs w:val="20"/>
          <w:color w:val="auto"/>
        </w:rPr>
      </w:pPr>
    </w:p>
    <w:p>
      <w:pPr>
        <w:ind w:left="1480" w:right="499" w:firstLine="333"/>
        <w:spacing w:after="0" w:line="250" w:lineRule="auto"/>
        <w:rPr>
          <w:sz w:val="20"/>
          <w:szCs w:val="20"/>
          <w:color w:val="auto"/>
        </w:rPr>
      </w:pPr>
      <w:r>
        <w:rPr>
          <w:rFonts w:ascii="Times New Roman" w:cs="Times New Roman" w:eastAsia="Times New Roman" w:hAnsi="Times New Roman"/>
          <w:sz w:val="14"/>
          <w:szCs w:val="14"/>
          <w:color w:val="auto"/>
        </w:rPr>
        <w:t>The Exchange Notes will be evidenced by one or more global notes deposited with a custodian for, and registered in the name of Cede &amp; Co, as nominee of DTC. Except as described herein, beneficial interests in the global notes are shown on, and transfers thereof are effected only through, records maintained by DTC and its direct and indirect participants. We do not intend to list the Exchange Notes on any national securities exchange or include the Exchange Notes in any automated quotation system.</w:t>
      </w:r>
    </w:p>
    <w:p>
      <w:pPr>
        <w:spacing w:after="0" w:line="146" w:lineRule="exact"/>
        <w:rPr>
          <w:sz w:val="20"/>
          <w:szCs w:val="20"/>
          <w:color w:val="auto"/>
        </w:rPr>
      </w:pPr>
    </w:p>
    <w:p>
      <w:pPr>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Payments of principal of and interest on the Exchange Notes issued in book-entry form are made as described below under “—Book-Entry, Delivery and Form—Depositary Procedures.” Payments of principal of and interest on the Exchange Notes issued in definitive form, if any, are made as described below under “—Book-Entry, Delivery and Form—Payment and Paying Agents.”</w:t>
      </w:r>
    </w:p>
    <w:p>
      <w:pPr>
        <w:spacing w:after="0" w:line="142" w:lineRule="exact"/>
        <w:rPr>
          <w:sz w:val="20"/>
          <w:szCs w:val="20"/>
          <w:color w:val="auto"/>
        </w:rPr>
      </w:pPr>
    </w:p>
    <w:p>
      <w:pPr>
        <w:ind w:left="1480" w:right="359" w:firstLine="333"/>
        <w:spacing w:after="0" w:line="297" w:lineRule="auto"/>
        <w:rPr>
          <w:sz w:val="20"/>
          <w:szCs w:val="20"/>
          <w:color w:val="auto"/>
        </w:rPr>
      </w:pPr>
      <w:r>
        <w:rPr>
          <w:rFonts w:ascii="Times New Roman" w:cs="Times New Roman" w:eastAsia="Times New Roman" w:hAnsi="Times New Roman"/>
          <w:sz w:val="12"/>
          <w:szCs w:val="12"/>
          <w:color w:val="auto"/>
        </w:rPr>
        <w:t>Interest payable on any interest payment date or the maturity date is the amount of interest accrued from, and including, the next preceding interest payment date in respect of which interest has been paid or duly provided for (or from and including the issue date, if no interest has been paid or duly provided for with respect to the Exchange Notes) to, but excluding, such interest payment date or maturity date, as the case may be. If an interest payment date or the maturity date falls on a day that is not a Business Day (as defined below), the related payment of principal or interest will be made on the next succeeding Business Day as if made on the date the payment was due. No interest will accrue on such payment for the period from and after such interest payment date or the maturity date, as the case may be, to the date of such payment on the next succeeding Business Day.</w:t>
      </w:r>
    </w:p>
    <w:p>
      <w:pPr>
        <w:spacing w:after="0" w:line="119" w:lineRule="exact"/>
        <w:rPr>
          <w:sz w:val="20"/>
          <w:szCs w:val="20"/>
          <w:color w:val="auto"/>
        </w:rPr>
      </w:pPr>
    </w:p>
    <w:p>
      <w:pPr>
        <w:ind w:left="1480" w:right="539" w:firstLine="333"/>
        <w:spacing w:after="0" w:line="247" w:lineRule="auto"/>
        <w:rPr>
          <w:sz w:val="20"/>
          <w:szCs w:val="20"/>
          <w:color w:val="auto"/>
        </w:rPr>
      </w:pPr>
      <w:r>
        <w:rPr>
          <w:rFonts w:ascii="Times New Roman" w:cs="Times New Roman" w:eastAsia="Times New Roman" w:hAnsi="Times New Roman"/>
          <w:sz w:val="14"/>
          <w:szCs w:val="14"/>
          <w:color w:val="auto"/>
        </w:rPr>
        <w:t>We may, without notice to or consent of the holders or beneficial owners of the Exchange Notes, issue additional Exchange Notes of the same series having the same ranking, interest rate, maturity and/or other terms as a series of Exchange Notes offered hereby (except for the issue price, the date of issuance and, in certain circumstances, the date interest begins to accrue and the first interest payment date). Any such additional Exchange Notes issued would be considered part of the same series of Exchange Notes under the Indenture as the applicable series of Exchange Notes offered hereby and may (but are not required to) bear the same CUSIP number as the applicable series of Exchange Notes offered hereby; provided that if the additional Exchange Notes are not fungible</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7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39"/>
        <w:spacing w:after="0" w:line="254" w:lineRule="auto"/>
        <w:rPr>
          <w:sz w:val="20"/>
          <w:szCs w:val="20"/>
          <w:color w:val="auto"/>
        </w:rPr>
      </w:pPr>
      <w:r>
        <w:rPr>
          <w:rFonts w:ascii="Times New Roman" w:cs="Times New Roman" w:eastAsia="Times New Roman" w:hAnsi="Times New Roman"/>
          <w:sz w:val="14"/>
          <w:szCs w:val="14"/>
          <w:color w:val="auto"/>
        </w:rPr>
        <w:t>with the applicable series of Exchange Notes for United States federal income tax purposes, the additional Exchange Notes will have a separate CUSIP number. Unless the context otherwise requires, references to “Exchange Notes” for all purposes under the Indenture and this description include any additional Exchange Notes that may be issued.</w:t>
      </w:r>
    </w:p>
    <w:p>
      <w:pPr>
        <w:spacing w:after="0" w:line="142" w:lineRule="exact"/>
        <w:rPr>
          <w:sz w:val="20"/>
          <w:szCs w:val="20"/>
          <w:color w:val="auto"/>
        </w:rPr>
      </w:pPr>
    </w:p>
    <w:p>
      <w:pPr>
        <w:ind w:left="1480" w:right="759" w:firstLine="333"/>
        <w:spacing w:after="0" w:line="264" w:lineRule="auto"/>
        <w:rPr>
          <w:sz w:val="20"/>
          <w:szCs w:val="20"/>
          <w:color w:val="auto"/>
        </w:rPr>
      </w:pPr>
      <w:r>
        <w:rPr>
          <w:rFonts w:ascii="Times New Roman" w:cs="Times New Roman" w:eastAsia="Times New Roman" w:hAnsi="Times New Roman"/>
          <w:sz w:val="14"/>
          <w:szCs w:val="14"/>
          <w:color w:val="auto"/>
        </w:rPr>
        <w:t>The Indenture does not contain any provisions that would limit the Issuer’s ability to incur additional unsecured indebtedness or require the maintenance of financial ratios or specified levels of net worth or liquidity.</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Guarantees</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Outstanding Notes are not, and the Exchange Notes will not be, guaranteed.</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88"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Prior to August 15, 2035 (three months prior to maturity) (the “2035 Par Call Date”), the 2035 Notes may be redeemed or repurchased, and prior to August 15, 2036 (three months prior to maturity) (the “2036 Par Call Date”), the 2036 Notes may be redeemed or repurchased, in each case in whole or in part at our option at any time or from time to time at a redemption price equal to the greater of: (1) 100% of the aggregate principal amount of the Exchange Notes to be redeemed and (2) the sum of the present values of the Remaining Scheduled Payments of the Exchange Notes to be redeemed, discounted to the date of redemption on a semi-annual basis (assuming a 360-day year consisting of twelve 30-day months) at the Treasury Rate, plus 25 basis points, plus, in each case, accrued and unpaid interest thereon to, but excluding, the redemption date. The Trustee has no duty to calculate or verify the calculation of the redemption price.</w:t>
      </w:r>
    </w:p>
    <w:p>
      <w:pPr>
        <w:spacing w:after="0" w:line="147" w:lineRule="exact"/>
        <w:rPr>
          <w:sz w:val="20"/>
          <w:szCs w:val="20"/>
          <w:color w:val="auto"/>
        </w:rPr>
      </w:pPr>
    </w:p>
    <w:p>
      <w:pPr>
        <w:ind w:left="1480" w:right="459" w:firstLine="333"/>
        <w:spacing w:after="0" w:line="316" w:lineRule="auto"/>
        <w:rPr>
          <w:sz w:val="20"/>
          <w:szCs w:val="20"/>
          <w:color w:val="auto"/>
        </w:rPr>
      </w:pPr>
      <w:r>
        <w:rPr>
          <w:rFonts w:ascii="Times New Roman" w:cs="Times New Roman" w:eastAsia="Times New Roman" w:hAnsi="Times New Roman"/>
          <w:sz w:val="12"/>
          <w:szCs w:val="12"/>
          <w:color w:val="auto"/>
        </w:rPr>
        <w:t>On or after the 2035 Par Call Date and the 2036 Par Call Date (together, the “Par Call Dates”), as applicable, such series of Exchange Notes may be redeemed or repurchased in whole or in part at our option at any time or from time to time at a redemption price equal to 100% of the aggregate principal amount of the Exchange Notes to be redeemed, plus accrued and unpaid interest thereon to, but excluding, the redemption date.</w:t>
      </w:r>
    </w:p>
    <w:p>
      <w:pPr>
        <w:spacing w:after="0" w:line="1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Definitions</w:t>
      </w:r>
    </w:p>
    <w:p>
      <w:pPr>
        <w:spacing w:after="0" w:line="86" w:lineRule="exact"/>
        <w:rPr>
          <w:sz w:val="20"/>
          <w:szCs w:val="20"/>
          <w:color w:val="auto"/>
        </w:rPr>
      </w:pPr>
    </w:p>
    <w:p>
      <w:pPr>
        <w:ind w:left="1480" w:right="399" w:firstLine="333"/>
        <w:spacing w:after="0" w:line="349" w:lineRule="auto"/>
        <w:rPr>
          <w:sz w:val="20"/>
          <w:szCs w:val="20"/>
          <w:color w:val="auto"/>
        </w:rPr>
      </w:pPr>
      <w:r>
        <w:rPr>
          <w:rFonts w:ascii="Times New Roman" w:cs="Times New Roman" w:eastAsia="Times New Roman" w:hAnsi="Times New Roman"/>
          <w:sz w:val="12"/>
          <w:szCs w:val="12"/>
          <w:color w:val="auto"/>
        </w:rPr>
        <w:t>“Business Day” means, unless otherwise provided for a particular series of Exchange Notes, any day except a Saturday, Sunday or a legal holiday in The City of New York or a place of payment on which banking institutions are authorized or required by law, regulation or executive order to close.</w:t>
      </w:r>
    </w:p>
    <w:p>
      <w:pPr>
        <w:spacing w:after="0" w:line="89" w:lineRule="exact"/>
        <w:rPr>
          <w:sz w:val="20"/>
          <w:szCs w:val="20"/>
          <w:color w:val="auto"/>
        </w:rPr>
      </w:pPr>
    </w:p>
    <w:p>
      <w:pPr>
        <w:ind w:left="1480" w:right="499" w:firstLine="333"/>
        <w:spacing w:after="0" w:line="250" w:lineRule="auto"/>
        <w:rPr>
          <w:sz w:val="20"/>
          <w:szCs w:val="20"/>
          <w:color w:val="auto"/>
        </w:rPr>
      </w:pPr>
      <w:r>
        <w:rPr>
          <w:rFonts w:ascii="Times New Roman" w:cs="Times New Roman" w:eastAsia="Times New Roman" w:hAnsi="Times New Roman"/>
          <w:sz w:val="14"/>
          <w:szCs w:val="14"/>
          <w:color w:val="auto"/>
        </w:rPr>
        <w:t>“Comparable Treasury Issue” means the United States Treasury security selected by an Independent Investment Banker as having an actual or interpolated maturity comparable to the remaining term of the Exchange Notes to be redeemed, as if such Exchange Notes matured on their applicable Par Call Date, that would be utilized, at the time of selection and in accordance with customary financial practice, in pricing new issues of corporate debt securities of comparable maturity to the remaining term of the Exchange Notes to be redeemed.</w:t>
      </w:r>
    </w:p>
    <w:p>
      <w:pPr>
        <w:spacing w:after="0" w:line="146" w:lineRule="exact"/>
        <w:rPr>
          <w:sz w:val="20"/>
          <w:szCs w:val="20"/>
          <w:color w:val="auto"/>
        </w:rPr>
      </w:pPr>
    </w:p>
    <w:p>
      <w:pPr>
        <w:ind w:left="1480" w:right="439" w:firstLine="333"/>
        <w:spacing w:after="0" w:line="250" w:lineRule="auto"/>
        <w:rPr>
          <w:sz w:val="20"/>
          <w:szCs w:val="20"/>
          <w:color w:val="auto"/>
        </w:rPr>
      </w:pPr>
      <w:r>
        <w:rPr>
          <w:rFonts w:ascii="Times New Roman" w:cs="Times New Roman" w:eastAsia="Times New Roman" w:hAnsi="Times New Roman"/>
          <w:sz w:val="14"/>
          <w:szCs w:val="14"/>
          <w:color w:val="auto"/>
        </w:rPr>
        <w:t>“Comparable Treasury Price” means, with respect to any redemption date (1) the average of the Reference Treasury Dealer Quotations for such redemption date, after excluding the highest and lowest of the Reference Treasury Dealer Quotations, (2) if the Independent Investment Banker obtains fewer than four Reference Treasury Dealer Quotations, the average of all of these quotations or (3) if only one Reference Treasury Dealer Quotation is received, such quotation.</w:t>
      </w:r>
    </w:p>
    <w:p>
      <w:pPr>
        <w:spacing w:after="0" w:line="14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“Independent Investment Banker” means one of the Reference Treasury Dealers appointed by us.</w:t>
      </w:r>
    </w:p>
    <w:p>
      <w:pPr>
        <w:spacing w:after="0" w:line="166" w:lineRule="exact"/>
        <w:rPr>
          <w:sz w:val="20"/>
          <w:szCs w:val="20"/>
          <w:color w:val="auto"/>
        </w:rPr>
      </w:pPr>
    </w:p>
    <w:p>
      <w:pPr>
        <w:ind w:left="1480" w:right="799" w:firstLine="333"/>
        <w:spacing w:after="0" w:line="264" w:lineRule="auto"/>
        <w:rPr>
          <w:sz w:val="20"/>
          <w:szCs w:val="20"/>
          <w:color w:val="auto"/>
        </w:rPr>
      </w:pPr>
      <w:r>
        <w:rPr>
          <w:rFonts w:ascii="Times New Roman" w:cs="Times New Roman" w:eastAsia="Times New Roman" w:hAnsi="Times New Roman"/>
          <w:sz w:val="14"/>
          <w:szCs w:val="14"/>
          <w:color w:val="auto"/>
        </w:rPr>
        <w:t>“Reference Treasury Dealer” means (a) BNP Paribas Securities Corp., J.P. Morgan Securities LLC and TD Securities (USA) LLC (or their respective affiliates that are primary U.S. Government securities dealers) and</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78"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39"/>
        <w:spacing w:after="0" w:line="254" w:lineRule="auto"/>
        <w:rPr>
          <w:sz w:val="20"/>
          <w:szCs w:val="20"/>
          <w:color w:val="auto"/>
        </w:rPr>
      </w:pPr>
      <w:r>
        <w:rPr>
          <w:rFonts w:ascii="Times New Roman" w:cs="Times New Roman" w:eastAsia="Times New Roman" w:hAnsi="Times New Roman"/>
          <w:sz w:val="14"/>
          <w:szCs w:val="14"/>
          <w:color w:val="auto"/>
        </w:rPr>
        <w:t>their respective successors; provided, however, that if any of the foregoing ceases to be a primary U.S. Government securities dealer, we will substitute another primary U.S. Government securities dealer and (b) two other nationally recognized investment banking firms selected by us that are primary U.S. Government securities dealers.</w:t>
      </w:r>
    </w:p>
    <w:p>
      <w:pPr>
        <w:spacing w:after="0" w:line="142" w:lineRule="exact"/>
        <w:rPr>
          <w:sz w:val="20"/>
          <w:szCs w:val="20"/>
          <w:color w:val="auto"/>
        </w:rPr>
      </w:pPr>
    </w:p>
    <w:p>
      <w:pPr>
        <w:ind w:left="1480" w:right="419" w:firstLine="333"/>
        <w:spacing w:after="0" w:line="250" w:lineRule="auto"/>
        <w:rPr>
          <w:sz w:val="20"/>
          <w:szCs w:val="20"/>
          <w:color w:val="auto"/>
        </w:rPr>
      </w:pPr>
      <w:r>
        <w:rPr>
          <w:rFonts w:ascii="Times New Roman" w:cs="Times New Roman" w:eastAsia="Times New Roman" w:hAnsi="Times New Roman"/>
          <w:sz w:val="14"/>
          <w:szCs w:val="14"/>
          <w:color w:val="auto"/>
        </w:rPr>
        <w:t>“Reference Treasury Dealer Quotations” means, with respect to each Reference Treasury Dealer and any redemption date, the average, as determined by the Independent Investment Banker, of the bid and ask prices for the Comparable Treasury Issue (expressed as a percentage of its principal amount) quoted in writing to the Independent Investment Banker by such Reference Treasury Dealer at 5:00 p.m., New York City time, on the third Business Day preceding such redemption date.</w:t>
      </w:r>
    </w:p>
    <w:p>
      <w:pPr>
        <w:spacing w:after="0" w:line="146" w:lineRule="exact"/>
        <w:rPr>
          <w:sz w:val="20"/>
          <w:szCs w:val="20"/>
          <w:color w:val="auto"/>
        </w:rPr>
      </w:pPr>
    </w:p>
    <w:p>
      <w:pPr>
        <w:ind w:left="1480" w:right="379" w:firstLine="333"/>
        <w:spacing w:after="0" w:line="305" w:lineRule="auto"/>
        <w:rPr>
          <w:sz w:val="20"/>
          <w:szCs w:val="20"/>
          <w:color w:val="auto"/>
        </w:rPr>
      </w:pPr>
      <w:r>
        <w:rPr>
          <w:rFonts w:ascii="Times New Roman" w:cs="Times New Roman" w:eastAsia="Times New Roman" w:hAnsi="Times New Roman"/>
          <w:sz w:val="12"/>
          <w:szCs w:val="12"/>
          <w:color w:val="auto"/>
        </w:rPr>
        <w:t>“Remaining Scheduled Payments” means, with respect to each Exchange Note to be redeemed, the remaining scheduled payments of the principal thereof and interest thereon that would be due after the related redemption date for such redemption as if such Exchange Note matured on its applicable Par Call Date; provided, however, that if such redemption date is not an interest payment date with respect to such Exchange Note, the amount of the next succeeding scheduled interest payment thereon will be reduced by the amount of interest accrued thereon to such redemption date.</w:t>
      </w:r>
    </w:p>
    <w:p>
      <w:pPr>
        <w:spacing w:after="0" w:line="116" w:lineRule="exact"/>
        <w:rPr>
          <w:sz w:val="20"/>
          <w:szCs w:val="20"/>
          <w:color w:val="auto"/>
        </w:rPr>
      </w:pPr>
    </w:p>
    <w:p>
      <w:pPr>
        <w:jc w:val="both"/>
        <w:ind w:left="1480" w:right="399" w:firstLine="333"/>
        <w:spacing w:after="0" w:line="250" w:lineRule="auto"/>
        <w:rPr>
          <w:sz w:val="20"/>
          <w:szCs w:val="20"/>
          <w:color w:val="auto"/>
        </w:rPr>
      </w:pPr>
      <w:r>
        <w:rPr>
          <w:rFonts w:ascii="Times New Roman" w:cs="Times New Roman" w:eastAsia="Times New Roman" w:hAnsi="Times New Roman"/>
          <w:sz w:val="14"/>
          <w:szCs w:val="14"/>
          <w:color w:val="auto"/>
        </w:rPr>
        <w:t>“Treasury Rate” means, for any redemption date, the rate per annum equal to the semi-annual equivalent yield to maturity or interpolated maturity (on a day count basis), computed as of the third Business Day immediately preceding that redemption date, of the Comparable Treasury Issue, assuming a price for the Comparable Treasury Issue (expressed as a percentage of its principal amount) equal to the Comparable Treasury Price for that Business Day.</w:t>
      </w:r>
    </w:p>
    <w:p>
      <w:pPr>
        <w:spacing w:after="0" w:line="14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Except as described above, the Exchange Notes will not be redeemable by us prior to maturity.</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Selection and Notice of Redemption</w:t>
      </w:r>
    </w:p>
    <w:p>
      <w:pPr>
        <w:spacing w:after="0" w:line="88" w:lineRule="exact"/>
        <w:rPr>
          <w:sz w:val="20"/>
          <w:szCs w:val="20"/>
          <w:color w:val="auto"/>
        </w:rPr>
      </w:pPr>
    </w:p>
    <w:p>
      <w:pPr>
        <w:jc w:val="both"/>
        <w:ind w:left="1480" w:right="679" w:firstLine="333"/>
        <w:spacing w:after="0" w:line="305" w:lineRule="auto"/>
        <w:rPr>
          <w:sz w:val="20"/>
          <w:szCs w:val="20"/>
          <w:color w:val="auto"/>
        </w:rPr>
      </w:pPr>
      <w:r>
        <w:rPr>
          <w:rFonts w:ascii="Times New Roman" w:cs="Times New Roman" w:eastAsia="Times New Roman" w:hAnsi="Times New Roman"/>
          <w:sz w:val="12"/>
          <w:szCs w:val="12"/>
          <w:color w:val="auto"/>
        </w:rPr>
        <w:t>The notice of redemption will state the amount of Exchange Notes to be redeemed and the redemption date. At our request given at least five Business Days prior to the date such notice is to be sent, the Trustee shall give the notice of redemption in our name. In the event that we choose to redeem less than all of the Exchange Notes, selection of the Exchange Notes for redemption will be made by the Trustee pro rata, by lot or by such method as the Trustee shall deem fair and appropriate (and in the case of global notes, in accordance with the applicable procedures of DTC).</w:t>
      </w:r>
    </w:p>
    <w:p>
      <w:pPr>
        <w:spacing w:after="0" w:line="116" w:lineRule="exact"/>
        <w:rPr>
          <w:sz w:val="20"/>
          <w:szCs w:val="20"/>
          <w:color w:val="auto"/>
        </w:rPr>
      </w:pPr>
    </w:p>
    <w:p>
      <w:pPr>
        <w:ind w:left="1480" w:right="439" w:firstLine="333"/>
        <w:spacing w:after="0" w:line="246" w:lineRule="auto"/>
        <w:rPr>
          <w:sz w:val="20"/>
          <w:szCs w:val="20"/>
          <w:color w:val="auto"/>
        </w:rPr>
      </w:pPr>
      <w:r>
        <w:rPr>
          <w:rFonts w:ascii="Times New Roman" w:cs="Times New Roman" w:eastAsia="Times New Roman" w:hAnsi="Times New Roman"/>
          <w:sz w:val="14"/>
          <w:szCs w:val="14"/>
          <w:color w:val="auto"/>
        </w:rPr>
        <w:t>Notice of any redemption of any series of Exchange Notes may, at the Issuer’s discretion, be subject to one or more conditions precedent with respect to completion of a corporate transaction (including, but not limited to, any merger, acquisition, disposition, asset sale or corporate restructuring or reorganization) or financing (including, but not limited to, any incurrence of indebtedness (or entering into a commitment with respect thereto), sale and leaseback transaction, issuance of securities, equity offering or contribution, liability management transaction or other capital raise) and may be given prior to the completion thereof. If such redemption or purchase is so subject to satisfaction of one or more conditions precedent, such notice shall describe each such condition, and such notice may be rescinded in the event that any or all such conditions shall not have been satisfied by the redemption date. In addition, the Issuer may provide in such notice that payment of the redemption price and performance of the Issuer’s obligations with respect to such redemption may be performed by another person.</w:t>
      </w:r>
    </w:p>
    <w:p>
      <w:pPr>
        <w:spacing w:after="0" w:line="150"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No Exchange Notes of a principal amount of $2,000 or less shall be redeemed in part. Notice of redemption will be delivered at least 10 but not more than 60 days before the redemption date to each registered holder of Exchange Notes to be redeemed. Unless we default in payment of the redemption price, on and after the redemption date, interest will cease to accrue on Exchange Notes or portions thereof called for redemption. Additionally, at any time, we may repurchase Exchange Notes in the open market and may hold such Exchange Notes or surrender such Exchange Notes to the Trustee for cancellation.</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78"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Redemption for Taxation Reasons</w:t>
      </w:r>
    </w:p>
    <w:p>
      <w:pPr>
        <w:spacing w:after="0" w:line="88"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color w:val="auto"/>
        </w:rPr>
        <w:t>The Issuer may redeem the Exchange Notes of a series, at its option, in whole, but not in part, at a redemption price equal to 100% of the principal amount thereof, upon not less than 10 nor more than 60 days’ prior notice to the holders of Exchange Notes (which notice shall be irrevocable), together with accrued and unpaid interest, if any, to (but not including) the date fixed for redemption (a “Tax Redemption Date”) (subject to the right of holders of record on the relevant record date to receive interest due on the relevant interest payment date falling prior to the Tax Redemption Date) and all Additional Amounts (as defined under “—Additional Amounts”), if any, then due or that will become due on the Tax Redemption Date as a result of the redemption or otherwise, if any, if the Issuer determines in good faith that, as a result of:</w:t>
      </w:r>
    </w:p>
    <w:p>
      <w:pPr>
        <w:spacing w:after="0" w:line="78" w:lineRule="exact"/>
        <w:rPr>
          <w:sz w:val="20"/>
          <w:szCs w:val="20"/>
          <w:color w:val="auto"/>
        </w:rPr>
      </w:pPr>
    </w:p>
    <w:p>
      <w:pPr>
        <w:ind w:left="2220" w:right="419" w:hanging="416"/>
        <w:spacing w:after="0" w:line="264" w:lineRule="auto"/>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or amendment to, the law or treaties (or any regulations, protocols or rulings promulgated thereunder) of a Relevant Taxing Jurisdiction (as defined under “—Additional Amounts”) affecting taxation; or</w:t>
      </w:r>
    </w:p>
    <w:p>
      <w:pPr>
        <w:spacing w:after="0" w:line="64" w:lineRule="exact"/>
        <w:rPr>
          <w:rFonts w:ascii="Times New Roman" w:cs="Times New Roman" w:eastAsia="Times New Roman" w:hAnsi="Times New Roman"/>
          <w:sz w:val="14"/>
          <w:szCs w:val="14"/>
          <w:color w:val="auto"/>
        </w:rPr>
      </w:pPr>
    </w:p>
    <w:p>
      <w:pPr>
        <w:ind w:left="2220" w:right="379" w:hanging="416"/>
        <w:spacing w:after="0" w:line="250" w:lineRule="auto"/>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or amendment to, an official position or the introduction of an official position regarding the application, administration or interpretation of such laws, treaties, regulations, protocols or rulings (including a holding, judgment or order by a government agency or court of competent jurisdiction or a change in published administrative practice) (each of the foregoing in clauses (1) and (2), a “Change in Tax Law”),</w:t>
      </w:r>
    </w:p>
    <w:p>
      <w:pPr>
        <w:spacing w:after="0" w:line="146" w:lineRule="exact"/>
        <w:rPr>
          <w:sz w:val="20"/>
          <w:szCs w:val="20"/>
          <w:color w:val="auto"/>
        </w:rPr>
      </w:pPr>
    </w:p>
    <w:p>
      <w:pPr>
        <w:ind w:left="1480" w:right="399"/>
        <w:spacing w:after="0" w:line="250" w:lineRule="auto"/>
        <w:rPr>
          <w:sz w:val="20"/>
          <w:szCs w:val="20"/>
          <w:color w:val="auto"/>
        </w:rPr>
      </w:pPr>
      <w:r>
        <w:rPr>
          <w:rFonts w:ascii="Times New Roman" w:cs="Times New Roman" w:eastAsia="Times New Roman" w:hAnsi="Times New Roman"/>
          <w:sz w:val="14"/>
          <w:szCs w:val="14"/>
          <w:color w:val="auto"/>
        </w:rPr>
        <w:t>any non-U.S. Payor (as defined under “—Additional Amounts”), with respect to the Exchange Notes is, or on the next date on which any amount would be payable in respect of the Exchange Notes would be, required to pay any Additional Amounts, and such obligation cannot be avoided by taking reasonable measures available to such non-U.S. Payor (including the appointment of a new paying agent or the payment through another non-U.S. Payor).</w:t>
      </w:r>
    </w:p>
    <w:p>
      <w:pPr>
        <w:spacing w:after="0" w:line="146" w:lineRule="exact"/>
        <w:rPr>
          <w:sz w:val="20"/>
          <w:szCs w:val="20"/>
          <w:color w:val="auto"/>
        </w:rPr>
      </w:pPr>
    </w:p>
    <w:p>
      <w:pPr>
        <w:ind w:left="1480" w:right="379" w:firstLine="333"/>
        <w:spacing w:after="0" w:line="246" w:lineRule="auto"/>
        <w:rPr>
          <w:sz w:val="20"/>
          <w:szCs w:val="20"/>
          <w:color w:val="auto"/>
        </w:rPr>
      </w:pPr>
      <w:r>
        <w:rPr>
          <w:rFonts w:ascii="Times New Roman" w:cs="Times New Roman" w:eastAsia="Times New Roman" w:hAnsi="Times New Roman"/>
          <w:sz w:val="14"/>
          <w:szCs w:val="14"/>
          <w:color w:val="auto"/>
        </w:rPr>
        <w:t>In the case of any non-U.S. Payor, the Change in Tax Law must have become effective on or after September 13, 2021 (or, if the applicable Relevant Taxing Jurisdiction becomes a Relevant Taxing Jurisdiction after September 13, 2021, such a change that occurs after such later date). Notwithstanding the foregoing, no such notice of redemption will be given earlier than 90 days prior to the earliest date on which the non-U.S. Payor would be obligated to make such payment of Additional Amounts. Prior to the publication, mailing or delivery of any notice of redemption of the Exchange Notes pursuant to the foregoing, the Issuer will deliver to the Trustee (a) an officer’s certificate stating that it is entitled to effect such redemption and setting forth a statement of facts showing that the conditions precedent to its right so to redeem have been satisfied and (b) an opinion of an independent tax counsel of recognized standing to the effect that the non-U.S. Payor would be obligated to pay Additional Amounts as a result of a Change in Tax Law. The Trustee will accept such officer’s certificate and opinion as sufficient evidence of the satisfaction of the conditions precedent described above, in which event it will be conclusive and binding on the holders.</w:t>
      </w:r>
    </w:p>
    <w:p>
      <w:pPr>
        <w:spacing w:after="0" w:line="14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color w:val="auto"/>
        </w:rPr>
        <w:t xml:space="preserve">The foregoing provisions will apply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 xml:space="preserve"> to the laws and official positions of any jurisdiction in which any successor to a non-U.S.</w:t>
      </w:r>
    </w:p>
    <w:p>
      <w:pPr>
        <w:spacing w:after="0" w:line="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Payor is organized or otherwise considered to be a resident for tax purposes or any political subdivision or taxing authority or agency thereof or therein.</w:t>
      </w:r>
    </w:p>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foregoing provisions will survive any termination, defeasance or discharge of the Indenture.</w:t>
      </w:r>
    </w:p>
    <w:p>
      <w:pPr>
        <w:spacing w:after="0" w:line="2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Additional Amounts</w:t>
      </w:r>
    </w:p>
    <w:p>
      <w:pPr>
        <w:spacing w:after="0" w:line="88" w:lineRule="exact"/>
        <w:rPr>
          <w:sz w:val="20"/>
          <w:szCs w:val="20"/>
          <w:color w:val="auto"/>
        </w:rPr>
      </w:pPr>
    </w:p>
    <w:p>
      <w:pPr>
        <w:ind w:left="1480" w:right="559" w:firstLine="333"/>
        <w:spacing w:after="0" w:line="250" w:lineRule="auto"/>
        <w:rPr>
          <w:sz w:val="20"/>
          <w:szCs w:val="20"/>
          <w:color w:val="auto"/>
        </w:rPr>
      </w:pPr>
      <w:r>
        <w:rPr>
          <w:rFonts w:ascii="Times New Roman" w:cs="Times New Roman" w:eastAsia="Times New Roman" w:hAnsi="Times New Roman"/>
          <w:sz w:val="14"/>
          <w:szCs w:val="14"/>
          <w:color w:val="auto"/>
        </w:rPr>
        <w:t>After the occurrence of a Non-U.S. Domicile Transaction (as defined below) with respect to the Issuer or any successor in interest to the Issuer (each such Issuer or successor, a “non-U.S. Payor”), all payments made by a non-U.S. Payor on or with respect to the Exchange Notes will be made without withholding or deduction for, or on account of, any present or future tax, duty, levy, impost, assessment or other similar governmental charge (collectively, “Taxes”) unless such withholding or deduction is required by law or by the interpretation or</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78"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administration of law. If any deduction or withholding for, or on account of, any Taxes imposed or levied by or on behalf of:</w:t>
      </w:r>
    </w:p>
    <w:p>
      <w:pPr>
        <w:spacing w:after="0" w:line="94" w:lineRule="exact"/>
        <w:rPr>
          <w:sz w:val="20"/>
          <w:szCs w:val="20"/>
          <w:color w:val="auto"/>
        </w:rPr>
      </w:pPr>
    </w:p>
    <w:p>
      <w:pPr>
        <w:ind w:left="2220" w:right="379" w:hanging="416"/>
        <w:spacing w:after="0" w:line="254" w:lineRule="auto"/>
        <w:tabs>
          <w:tab w:leader="none" w:pos="2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jurisdiction (other than the United States or any political subdivision or governmental authority thereof or therein having power to tax) from or through which payment on the Exchange Notes is made by or on behalf of a non-U.S. Payor, or any political subdivision or governmental authority thereof or therein having the power to tax; or</w:t>
      </w:r>
    </w:p>
    <w:p>
      <w:pPr>
        <w:spacing w:after="0" w:line="70" w:lineRule="exact"/>
        <w:rPr>
          <w:rFonts w:ascii="Times New Roman" w:cs="Times New Roman" w:eastAsia="Times New Roman" w:hAnsi="Times New Roman"/>
          <w:sz w:val="14"/>
          <w:szCs w:val="14"/>
          <w:color w:val="auto"/>
        </w:rPr>
      </w:pPr>
    </w:p>
    <w:p>
      <w:pPr>
        <w:jc w:val="both"/>
        <w:ind w:left="2220" w:right="399" w:hanging="416"/>
        <w:spacing w:after="0" w:line="254" w:lineRule="auto"/>
        <w:tabs>
          <w:tab w:leader="none" w:pos="2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jurisdiction (other than the United States or any political subdivision or governmental authority thereof or therein having the power to tax) in which a non-U.S. Payor that actually makes a payment on the Exchange Notes is organized or otherwise considered to be a resident for tax purposes, or any political subdivision or governmental authority thereof or therein having the power to tax</w:t>
      </w:r>
    </w:p>
    <w:p>
      <w:pPr>
        <w:spacing w:after="0" w:line="142" w:lineRule="exact"/>
        <w:rPr>
          <w:sz w:val="20"/>
          <w:szCs w:val="20"/>
          <w:color w:val="auto"/>
        </w:rPr>
      </w:pPr>
    </w:p>
    <w:p>
      <w:pPr>
        <w:ind w:left="1480" w:right="359"/>
        <w:spacing w:after="0" w:line="247" w:lineRule="auto"/>
        <w:rPr>
          <w:sz w:val="20"/>
          <w:szCs w:val="20"/>
          <w:color w:val="auto"/>
        </w:rPr>
      </w:pPr>
      <w:r>
        <w:rPr>
          <w:rFonts w:ascii="Times New Roman" w:cs="Times New Roman" w:eastAsia="Times New Roman" w:hAnsi="Times New Roman"/>
          <w:sz w:val="14"/>
          <w:szCs w:val="14"/>
          <w:color w:val="auto"/>
        </w:rPr>
        <w:t>(each of clauses (1) and (2), a “Relevant Taxing Jurisdiction”), will at any time be required from any payments made with respect to the Exchange Notes, including payments of principal, redemption price, interest or premium, if any, the non-U.S. Payor will pay (together with such payments) such additional amounts (the “Additional Amounts”) as may be necessary in order that the net amounts received in respect of such payments by the holder after such withholding or deduction (including any such deduction or withholding from such Additional Amounts), will not be less than the amounts that would have been received in respect of such payments on the Exchange Notes in the absence of such withholding or deduction; provided, however, that no such Additional Amounts will be payable for or on account of:</w:t>
      </w:r>
    </w:p>
    <w:p>
      <w:pPr>
        <w:spacing w:after="0" w:line="78" w:lineRule="exact"/>
        <w:rPr>
          <w:sz w:val="20"/>
          <w:szCs w:val="20"/>
          <w:color w:val="auto"/>
        </w:rPr>
      </w:pPr>
    </w:p>
    <w:p>
      <w:pPr>
        <w:ind w:left="2220" w:right="539" w:hanging="416"/>
        <w:spacing w:after="0" w:line="297" w:lineRule="auto"/>
        <w:tabs>
          <w:tab w:leader="none" w:pos="22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Taxes that would not have been so imposed or levied but for the existence of any present or former connection between the relevant holder (or between a fiduciary, settlor, beneficiary, partner, member or shareholder of, or possessor of power over, the relevant holder, if such holder is an estate, nominee, trust, partnership, limited liability company or corporation) and the Relevant Taxing Jurisdiction (including being a citizen or resident or national of, or carrying on a business or maintaining a permanent establishment in, or being physically present in, the Relevant Taxing Jurisdiction) but excluding, in each case, any connection arising solely from the acquisition, ownership or holding of such Exchange Notes or the enforcement or receipt of any payment in respect thereof;</w:t>
      </w:r>
    </w:p>
    <w:p>
      <w:pPr>
        <w:spacing w:after="0" w:line="47" w:lineRule="exact"/>
        <w:rPr>
          <w:rFonts w:ascii="Times New Roman" w:cs="Times New Roman" w:eastAsia="Times New Roman" w:hAnsi="Times New Roman"/>
          <w:sz w:val="12"/>
          <w:szCs w:val="12"/>
          <w:color w:val="auto"/>
        </w:rPr>
      </w:pPr>
    </w:p>
    <w:p>
      <w:pPr>
        <w:ind w:left="2220" w:right="419" w:hanging="416"/>
        <w:spacing w:after="0" w:line="247" w:lineRule="auto"/>
        <w:tabs>
          <w:tab w:leader="none" w:pos="2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that would not have been so imposed or levied if the holder of the Exchange Note had complied with a reasonable request in writing of the non-U.S. Payor (such request being made at a time that would enable such holder acting reasonably to comply with that request) to make a declaration of nonresidence or any other claim or filing or satisfy any certification, identification, information or reporting requirement for exemption from, or reduction in the rate of, withholding to which it is entitled (provided that such declaration of nonresidence or other claim, filing or requirement is required by the applicable law, treaty, regulation or official administrative practice of the Relevant Taxing Jurisdiction as a precondition to exemption from, or reduction in the rate of deduction or withholding of, any such Taxes);</w:t>
      </w:r>
    </w:p>
    <w:p>
      <w:pPr>
        <w:spacing w:after="0" w:line="75"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that are payable otherwise than by withholding from a payment on or with respect to the Exchange Notes;</w:t>
      </w:r>
    </w:p>
    <w:p>
      <w:pPr>
        <w:spacing w:after="0" w:line="9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estate, inheritance, gift, sales, excise, transfer, personal property or similar Taxes;</w:t>
      </w:r>
    </w:p>
    <w:p>
      <w:pPr>
        <w:spacing w:after="0" w:line="94" w:lineRule="exact"/>
        <w:rPr>
          <w:rFonts w:ascii="Times New Roman" w:cs="Times New Roman" w:eastAsia="Times New Roman" w:hAnsi="Times New Roman"/>
          <w:sz w:val="14"/>
          <w:szCs w:val="14"/>
          <w:color w:val="auto"/>
        </w:rPr>
      </w:pPr>
    </w:p>
    <w:p>
      <w:pPr>
        <w:ind w:left="2220" w:right="619" w:hanging="416"/>
        <w:spacing w:after="0" w:line="254" w:lineRule="auto"/>
        <w:tabs>
          <w:tab w:leader="none" w:pos="2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imposed in connection with an Exchange Note presented for payment (where presentation is required for payment) by or on behalf of a holder or beneficial owner who would have been able to avoid such Tax by presenting the relevant Exchange Note to, or otherwise accepting payment from, another paying agent;</w:t>
      </w:r>
    </w:p>
    <w:p>
      <w:pPr>
        <w:spacing w:after="0" w:line="70" w:lineRule="exact"/>
        <w:rPr>
          <w:rFonts w:ascii="Times New Roman" w:cs="Times New Roman" w:eastAsia="Times New Roman" w:hAnsi="Times New Roman"/>
          <w:sz w:val="14"/>
          <w:szCs w:val="14"/>
          <w:color w:val="auto"/>
        </w:rPr>
      </w:pPr>
    </w:p>
    <w:p>
      <w:pPr>
        <w:ind w:left="2220" w:right="599" w:hanging="416"/>
        <w:spacing w:after="0" w:line="316" w:lineRule="auto"/>
        <w:tabs>
          <w:tab w:leader="none" w:pos="22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Taxes payable under Sections 1471 through 1474 of the U.S. Internal Revenue Code of 1986, as amended (the “Code”), as of September 13, 2021 (or any amended or successor version that is substantively comparable and not materially more onerous to comply with), any current or future regulations or official interpretations thereof, any agreements entered into pursuant thereto, and any</w:t>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7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1019"/>
        <w:spacing w:after="0" w:line="264" w:lineRule="auto"/>
        <w:rPr>
          <w:sz w:val="20"/>
          <w:szCs w:val="20"/>
          <w:color w:val="auto"/>
        </w:rPr>
      </w:pPr>
      <w:r>
        <w:rPr>
          <w:rFonts w:ascii="Times New Roman" w:cs="Times New Roman" w:eastAsia="Times New Roman" w:hAnsi="Times New Roman"/>
          <w:sz w:val="14"/>
          <w:szCs w:val="14"/>
          <w:color w:val="auto"/>
        </w:rPr>
        <w:t>intergovernmental agreements implementing the foregoing (including any legislation or other official guidance relating to such intergovernmental agreements); or</w:t>
      </w:r>
    </w:p>
    <w:p>
      <w:pPr>
        <w:spacing w:after="0" w:line="65" w:lineRule="exact"/>
        <w:rPr>
          <w:sz w:val="20"/>
          <w:szCs w:val="20"/>
          <w:color w:val="auto"/>
        </w:rPr>
      </w:pPr>
    </w:p>
    <w:p>
      <w:pPr>
        <w:ind w:left="2220" w:hanging="416"/>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combination of the above.</w:t>
      </w:r>
    </w:p>
    <w:p>
      <w:pPr>
        <w:spacing w:after="0" w:line="166"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Such Additional Amounts will also not be payable (x) if the payment could have been made without such deduction or withholding if the beneficiary of the payment had presented the Exchange Note for payment (where presentation is required) within 30 days after the relevant payment was due and first made available for payment to the holder (provided that notice of such payment is given to the holders), except to the extent that the holder or beneficial owner or other such person would have been entitled to Additional Amounts on presenting the Exchange Note for payment on any date during such 30-day period or (y) where, had the beneficial owner of the Exchange Note been the holder of the Exchange Note, such beneficial owner would not have been entitled to payment of Additional Amounts by reason of any of clauses (1) to (7) inclusive above.</w:t>
      </w:r>
    </w:p>
    <w:p>
      <w:pPr>
        <w:spacing w:after="0" w:line="150"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color w:val="auto"/>
        </w:rPr>
        <w:t>The non-U.S. Payor will (i) make or cause to be made any required withholding or deduction and (ii) remit or cause to be remitted the full amount deducted or withheld to the relevant taxing authority of the Relevant Taxing Jurisdiction in accordance with applicable law. The non-U.S. Payor will use reasonable efforts to obtain certified copies of tax receipts evidencing the payment of any Taxes so deducted or withheld from each relevant taxing authority of each Relevant Taxing Jurisdiction imposing such Taxes and will provide such certified copies to the Trustee and the holders. If, notwithstanding the efforts of such non-U.S. Payor to obtain such receipts, the same are not obtainable, such non-U.S. Payor will provide the Trustee and the holders with other reasonable evidence.</w:t>
      </w:r>
    </w:p>
    <w:p>
      <w:pPr>
        <w:spacing w:after="0" w:line="150" w:lineRule="exact"/>
        <w:rPr>
          <w:sz w:val="20"/>
          <w:szCs w:val="20"/>
          <w:color w:val="auto"/>
        </w:rPr>
      </w:pPr>
    </w:p>
    <w:p>
      <w:pPr>
        <w:ind w:left="1480" w:right="359" w:firstLine="333"/>
        <w:spacing w:after="0" w:line="297" w:lineRule="auto"/>
        <w:rPr>
          <w:sz w:val="20"/>
          <w:szCs w:val="20"/>
          <w:color w:val="auto"/>
        </w:rPr>
      </w:pPr>
      <w:r>
        <w:rPr>
          <w:rFonts w:ascii="Times New Roman" w:cs="Times New Roman" w:eastAsia="Times New Roman" w:hAnsi="Times New Roman"/>
          <w:sz w:val="12"/>
          <w:szCs w:val="12"/>
          <w:color w:val="auto"/>
        </w:rPr>
        <w:t>If the non-U.S. Payor will be obligated to pay Additional Amounts under or with respect to any payment made on the Exchange Notes, at least 30 days prior to the date of such payment, the non-U.S. Payor will deliver to the Trustee an officer’s certificate stating the fact that Additional Amounts will be payable and the amount so payable and such other information necessary to enable the paying agent to pay Additional Amounts to holders on the relevant payment date (unless such obligation to pay Additional Amounts arises less than 45 days prior to the relevant payment date, in which case the non-U.S. Payor shall deliver such officer’s certificate and such other information as promptly as practicable after the date that is 30 days prior to the payment date). The Trustee shall be entitled to rely solely on such officer’s certificate as conclusive proof that such payments are necessary.</w:t>
      </w:r>
    </w:p>
    <w:p>
      <w:pPr>
        <w:spacing w:after="0" w:line="11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Wherever in the Indenture, the Exchange Notes, or this “Description of Exchange Notes” there is mention of, in any context:</w:t>
      </w:r>
    </w:p>
    <w:p>
      <w:pPr>
        <w:spacing w:after="0" w:line="94" w:lineRule="exact"/>
        <w:rPr>
          <w:sz w:val="20"/>
          <w:szCs w:val="20"/>
          <w:color w:val="auto"/>
        </w:rPr>
      </w:pPr>
    </w:p>
    <w:p>
      <w:pPr>
        <w:ind w:left="2220" w:hanging="416"/>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principal;</w:t>
      </w:r>
    </w:p>
    <w:p>
      <w:pPr>
        <w:spacing w:after="0" w:line="9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prices or purchase prices in connection with a redemption or purchase of Exchange Notes;</w:t>
      </w:r>
    </w:p>
    <w:p>
      <w:pPr>
        <w:spacing w:after="0" w:line="9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or</w:t>
      </w:r>
    </w:p>
    <w:p>
      <w:pPr>
        <w:spacing w:after="0" w:line="9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amount payable on or with respect to any of the Exchange Notes,</w:t>
      </w:r>
    </w:p>
    <w:p>
      <w:pPr>
        <w:spacing w:after="0" w:line="166" w:lineRule="exact"/>
        <w:rPr>
          <w:sz w:val="20"/>
          <w:szCs w:val="20"/>
          <w:color w:val="auto"/>
        </w:rPr>
      </w:pPr>
    </w:p>
    <w:p>
      <w:pPr>
        <w:ind w:left="1480" w:right="379"/>
        <w:spacing w:after="0" w:line="264" w:lineRule="auto"/>
        <w:rPr>
          <w:sz w:val="20"/>
          <w:szCs w:val="20"/>
          <w:color w:val="auto"/>
        </w:rPr>
      </w:pPr>
      <w:r>
        <w:rPr>
          <w:rFonts w:ascii="Times New Roman" w:cs="Times New Roman" w:eastAsia="Times New Roman" w:hAnsi="Times New Roman"/>
          <w:sz w:val="14"/>
          <w:szCs w:val="14"/>
          <w:color w:val="auto"/>
        </w:rPr>
        <w:t>such reference shall be deemed to include payment of Additional Amounts as described under this heading to the extent that, in such context, Additional Amounts are, were or would be payable in respect thereof.</w:t>
      </w:r>
    </w:p>
    <w:p>
      <w:pPr>
        <w:spacing w:after="0" w:line="136" w:lineRule="exact"/>
        <w:rPr>
          <w:sz w:val="20"/>
          <w:szCs w:val="20"/>
          <w:color w:val="auto"/>
        </w:rPr>
      </w:pPr>
    </w:p>
    <w:p>
      <w:pPr>
        <w:ind w:left="1480" w:right="419" w:firstLine="333"/>
        <w:spacing w:after="0" w:line="300" w:lineRule="auto"/>
        <w:rPr>
          <w:sz w:val="20"/>
          <w:szCs w:val="20"/>
          <w:color w:val="auto"/>
        </w:rPr>
      </w:pPr>
      <w:r>
        <w:rPr>
          <w:rFonts w:ascii="Times New Roman" w:cs="Times New Roman" w:eastAsia="Times New Roman" w:hAnsi="Times New Roman"/>
          <w:sz w:val="12"/>
          <w:szCs w:val="12"/>
          <w:color w:val="auto"/>
        </w:rPr>
        <w:t xml:space="preserve">The non-U.S. Payor will pay any present or future stamp, court or documentary Taxes, or any other excise, property or similar Taxes that arise in any Relevant Taxing Jurisdiction from the execution, delivery, issuance, initial resale, registration or enforcement of any Exchange Notes, the Indenture or any other document or instrument in relation thereto (other than a transfer of the Exchange Notes). The foregoing obligations will survive any termination, defeasance or discharge of the Indenture and will apply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 xml:space="preserve"> to any jurisdiction in which any successor to a non-U.S. Payor is organized or otherwise considered to be a resident for tax purposes or any political subdivision or taxing authority or agency thereof or therein.</w:t>
      </w:r>
    </w:p>
    <w:p>
      <w:pPr>
        <w:spacing w:after="0" w:line="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7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Purchase of Notes upon a Change of Control Triggering Event</w:t>
      </w:r>
    </w:p>
    <w:p>
      <w:pPr>
        <w:spacing w:after="0" w:line="88" w:lineRule="exact"/>
        <w:rPr>
          <w:sz w:val="20"/>
          <w:szCs w:val="20"/>
          <w:color w:val="auto"/>
        </w:rPr>
      </w:pPr>
    </w:p>
    <w:p>
      <w:pPr>
        <w:ind w:left="1480" w:right="399" w:firstLine="333"/>
        <w:spacing w:after="0" w:line="247" w:lineRule="auto"/>
        <w:rPr>
          <w:sz w:val="20"/>
          <w:szCs w:val="20"/>
          <w:color w:val="auto"/>
        </w:rPr>
      </w:pPr>
      <w:r>
        <w:rPr>
          <w:rFonts w:ascii="Times New Roman" w:cs="Times New Roman" w:eastAsia="Times New Roman" w:hAnsi="Times New Roman"/>
          <w:sz w:val="14"/>
          <w:szCs w:val="14"/>
          <w:color w:val="auto"/>
        </w:rPr>
        <w:t>Upon the occurrence of a Change of Control Triggering Event, unless we have exercised our option to redeem the Exchange Notes as described above under “—Optional Redemption”, each holder of Exchange Notes will have the right to require that we purchase all or a portion (equal to $2,000 or an integral multiple of $1,000 in excess thereof) of such holder’s Exchange Notes pursuant to the offer described below (the “Change of Control Offer”), at a purchase price equal to 101% of the aggregate principal amount thereof plus accrued and unpaid interest, if any, to, but excluding, the date of purchase (the “Change of Control Payment”), subject to the rights of holders of Exchange Notes on the relevant record date to receive interest due on the relevant interest payment date.</w:t>
      </w:r>
    </w:p>
    <w:p>
      <w:pPr>
        <w:spacing w:after="0" w:line="150" w:lineRule="exact"/>
        <w:rPr>
          <w:sz w:val="20"/>
          <w:szCs w:val="20"/>
          <w:color w:val="auto"/>
        </w:rPr>
      </w:pPr>
    </w:p>
    <w:p>
      <w:pPr>
        <w:ind w:left="1480" w:right="379" w:firstLine="333"/>
        <w:spacing w:after="0" w:line="245" w:lineRule="auto"/>
        <w:rPr>
          <w:sz w:val="20"/>
          <w:szCs w:val="20"/>
          <w:color w:val="auto"/>
        </w:rPr>
      </w:pPr>
      <w:r>
        <w:rPr>
          <w:rFonts w:ascii="Times New Roman" w:cs="Times New Roman" w:eastAsia="Times New Roman" w:hAnsi="Times New Roman"/>
          <w:sz w:val="14"/>
          <w:szCs w:val="14"/>
          <w:color w:val="auto"/>
        </w:rPr>
        <w:t>Within 30 days following the date upon which the Change of Control Triggering Event occurred or, at our option, prior to and conditioned on the occurrence of, any Change of Control, but after public announcement of the transaction that constitutes or may constitute the Change of Control, we must deliver a notice to each holder of Exchange Notes, with a copy to the Trustee, which notice shall govern the terms of the Change of Control Offer. Such notice shall state, among other things, the purchase date, which must be no earlier than 30 days nor later than 60 days from the date such notice is sent and, if the notice is sent prior to the Change of Control, no earlier than the date of the occurrence of the Change of Control, other than as may be required by law (the “Change of Control Payment Date”). The notice will, if sent prior to the date of consummation of the Change of Control, state that the Change of Control Offer is conditioned on the Change of Control Triggering Event occurring on or prior to the Change of Control Payment Date. Holders of definitive Exchange Notes electing to have an Exchange Note repurchased pursuant to a Change of Control Offer will be required to surrender the Exchange Note, with the form entitled “Option of Holder to Elect Purchase” on the reverse of the Exchange Note completed, to the paying agent at the address specified in the notice. Holders of global notes must transfer their Exchange Notes to the paying agent by book-entry transfer pursuant to the applicable procedures of the paying agent and DTC (in the case of global notes), in each case prior to the close of business on the third Business Day prior to the Change of Control Payment Date.</w:t>
      </w:r>
    </w:p>
    <w:p>
      <w:pPr>
        <w:spacing w:after="0" w:line="152" w:lineRule="exact"/>
        <w:rPr>
          <w:sz w:val="20"/>
          <w:szCs w:val="20"/>
          <w:color w:val="auto"/>
        </w:rPr>
      </w:pPr>
    </w:p>
    <w:p>
      <w:pPr>
        <w:ind w:left="1480" w:right="379" w:firstLine="333"/>
        <w:spacing w:after="0" w:line="264" w:lineRule="auto"/>
        <w:rPr>
          <w:sz w:val="20"/>
          <w:szCs w:val="20"/>
          <w:color w:val="auto"/>
        </w:rPr>
      </w:pPr>
      <w:r>
        <w:rPr>
          <w:rFonts w:ascii="Times New Roman" w:cs="Times New Roman" w:eastAsia="Times New Roman" w:hAnsi="Times New Roman"/>
          <w:sz w:val="14"/>
          <w:szCs w:val="14"/>
          <w:color w:val="auto"/>
        </w:rPr>
        <w:t>Our ability to pay cash to the holders of Exchange Notes following the occurrence of a Change of Control Triggering Event may be limited by our then-existing financial resources and, accordingly, sufficient funds may not be available when necessary to make any required purchases.</w:t>
      </w:r>
    </w:p>
    <w:p>
      <w:pPr>
        <w:spacing w:after="0" w:line="136" w:lineRule="exact"/>
        <w:rPr>
          <w:sz w:val="20"/>
          <w:szCs w:val="20"/>
          <w:color w:val="auto"/>
        </w:rPr>
      </w:pPr>
    </w:p>
    <w:p>
      <w:pPr>
        <w:ind w:left="1480" w:right="439" w:firstLine="333"/>
        <w:spacing w:after="0" w:line="248" w:lineRule="auto"/>
        <w:rPr>
          <w:sz w:val="20"/>
          <w:szCs w:val="20"/>
          <w:color w:val="auto"/>
        </w:rPr>
      </w:pPr>
      <w:r>
        <w:rPr>
          <w:rFonts w:ascii="Times New Roman" w:cs="Times New Roman" w:eastAsia="Times New Roman" w:hAnsi="Times New Roman"/>
          <w:sz w:val="14"/>
          <w:szCs w:val="14"/>
          <w:color w:val="auto"/>
        </w:rPr>
        <w:t>We will not be required to make a Change of Control Offer if a third party makes such an offer in the manner and at the times required and otherwise in compliance with the requirements applicable to such an offer had it been made by us, and such third party purchases all Exchange Notes properly tendered and not withdrawn under its offer. In addition, we may not repurchase any Exchange Notes if there has occurred and is continuing on the Change of Control Payment Date an event of default under the Indenture, other than a default in the payment of the Change of Control Payment upon a Change of Control Triggering Event.</w:t>
      </w:r>
    </w:p>
    <w:p>
      <w:pPr>
        <w:spacing w:after="0" w:line="149"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We will comply with the requirements of Rule 14e-1 under the Exchange Act, and any other securities laws and regulations thereunder to the extent such laws and regulations are applicable in connection with the purchase of Exchange Notes pursuant to a Change of Control Offer. To the extent that the provisions of any such securities laws or regulations conflict with the “Change of Control Triggering Event” provisions of the Indenture, we will comply with those securities laws and regulations and shall not be deemed to have breached our obligations under the “Change of Control Triggering Event” provisions of the Indenture by virtue of any such conflict.</w:t>
      </w:r>
    </w:p>
    <w:p>
      <w:pPr>
        <w:spacing w:after="0" w:line="14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“Capital Stock” means:</w:t>
      </w:r>
    </w:p>
    <w:p>
      <w:pPr>
        <w:spacing w:after="0" w:line="94" w:lineRule="exact"/>
        <w:rPr>
          <w:sz w:val="20"/>
          <w:szCs w:val="20"/>
          <w:color w:val="auto"/>
        </w:rPr>
      </w:pPr>
    </w:p>
    <w:p>
      <w:pPr>
        <w:ind w:left="2220" w:hanging="416"/>
        <w:spacing w:after="0"/>
        <w:tabs>
          <w:tab w:leader="none" w:pos="2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corporation, corporate stock;</w:t>
      </w:r>
    </w:p>
    <w:p>
      <w:pPr>
        <w:spacing w:after="0" w:line="94" w:lineRule="exact"/>
        <w:rPr>
          <w:rFonts w:ascii="Times New Roman" w:cs="Times New Roman" w:eastAsia="Times New Roman" w:hAnsi="Times New Roman"/>
          <w:sz w:val="14"/>
          <w:szCs w:val="14"/>
          <w:color w:val="auto"/>
        </w:rPr>
      </w:pPr>
    </w:p>
    <w:p>
      <w:pPr>
        <w:ind w:left="2220" w:right="419" w:hanging="416"/>
        <w:spacing w:after="0" w:line="349" w:lineRule="auto"/>
        <w:tabs>
          <w:tab w:leader="none" w:pos="22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association or business entity, any and all shares, interests, participations, rights or other equivalents (however designated and whether or not voting) of corporate stock, including each class of common stock and preferred stock of such person; and</w:t>
      </w:r>
    </w:p>
    <w:p>
      <w:pPr>
        <w:spacing w:after="0" w:line="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7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hanging="416"/>
        <w:spacing w:after="0"/>
        <w:tabs>
          <w:tab w:leader="none" w:pos="2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partnership or limited liability company, partnership or membership interests (whether general or limited).</w:t>
      </w:r>
    </w:p>
    <w:p>
      <w:pPr>
        <w:spacing w:after="0" w:line="18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“Changeof Control” means the occurrence of any of the following:</w:t>
      </w:r>
    </w:p>
    <w:p>
      <w:pPr>
        <w:spacing w:after="0" w:line="94" w:lineRule="exact"/>
        <w:rPr>
          <w:sz w:val="20"/>
          <w:szCs w:val="20"/>
          <w:color w:val="auto"/>
        </w:rPr>
      </w:pPr>
    </w:p>
    <w:p>
      <w:pPr>
        <w:ind w:left="2220" w:right="379" w:hanging="416"/>
        <w:spacing w:after="0" w:line="254" w:lineRule="auto"/>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 or indirect sale, transfer, conveyance or other disposition (other than by way of merger or consolidation), in one or more series of related transactions, of all or substantially all of the assets of the Issuer and the assets of its subsidiaries taken as a whole to any “person” (as that term is defined in Section 13(d)(3) of the Exchange Act) (other than to us or one of our subsidiaries);</w:t>
      </w:r>
    </w:p>
    <w:p>
      <w:pPr>
        <w:spacing w:after="0" w:line="70" w:lineRule="exact"/>
        <w:rPr>
          <w:rFonts w:ascii="Times New Roman" w:cs="Times New Roman" w:eastAsia="Times New Roman" w:hAnsi="Times New Roman"/>
          <w:sz w:val="14"/>
          <w:szCs w:val="14"/>
          <w:color w:val="auto"/>
        </w:rPr>
      </w:pPr>
    </w:p>
    <w:p>
      <w:pPr>
        <w:ind w:left="2220" w:right="459" w:hanging="416"/>
        <w:spacing w:after="0" w:line="297" w:lineRule="auto"/>
        <w:tabs>
          <w:tab w:leader="none" w:pos="22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consummation of any transaction (including, without limitation, any merger or consolidation) the result of which is that any “person” or “group” of related persons (as such terms are defined in Section 13(d)(3) of the Exchange Act) other than (a) the Issuer or one of its subsidiaries or (b) any employee benefit plan of such person or its subsidiaries, and any person or entity acting in its capacity as trustee, agent or other fiduciary or administrator of any such plan becomes the “beneficial owner” (as defined in Rules 13d-3 and 13d-5 under the Exchange Act), directly or indirectly, of more than 50% of the Issuer’s Voting Stock or other Voting Stock into which its Voting Stock is reclassified, consolidated, exchanged or changed, measured by voting power rather than number of shares;</w:t>
      </w:r>
    </w:p>
    <w:p>
      <w:pPr>
        <w:spacing w:after="0" w:line="47" w:lineRule="exact"/>
        <w:rPr>
          <w:rFonts w:ascii="Times New Roman" w:cs="Times New Roman" w:eastAsia="Times New Roman" w:hAnsi="Times New Roman"/>
          <w:sz w:val="12"/>
          <w:szCs w:val="12"/>
          <w:color w:val="auto"/>
        </w:rPr>
      </w:pPr>
    </w:p>
    <w:p>
      <w:pPr>
        <w:ind w:left="2220" w:right="519" w:hanging="416"/>
        <w:spacing w:after="0" w:line="254" w:lineRule="auto"/>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consolidates with or merges with or into, any person, or any person consolidates with or merges with or into, the Issuer, in any such event pursuant to a transaction in which any of the Issuer’s outstanding Voting Stock or of such other person is converted into or exchanged for cash, securities or other property; or</w:t>
      </w:r>
    </w:p>
    <w:p>
      <w:pPr>
        <w:spacing w:after="0" w:line="70"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of a plan relating to the liquidation or dissolution of the Issuer in connection with a bankruptcy or insolvency proceeding.</w:t>
      </w:r>
    </w:p>
    <w:p>
      <w:pPr>
        <w:spacing w:after="0" w:line="166" w:lineRule="exact"/>
        <w:rPr>
          <w:sz w:val="20"/>
          <w:szCs w:val="20"/>
          <w:color w:val="auto"/>
        </w:rPr>
      </w:pPr>
    </w:p>
    <w:p>
      <w:pPr>
        <w:ind w:left="1480" w:right="499" w:firstLine="333"/>
        <w:spacing w:after="0" w:line="291" w:lineRule="auto"/>
        <w:rPr>
          <w:sz w:val="20"/>
          <w:szCs w:val="20"/>
          <w:color w:val="auto"/>
        </w:rPr>
      </w:pPr>
      <w:r>
        <w:rPr>
          <w:rFonts w:ascii="Times New Roman" w:cs="Times New Roman" w:eastAsia="Times New Roman" w:hAnsi="Times New Roman"/>
          <w:sz w:val="12"/>
          <w:szCs w:val="12"/>
          <w:color w:val="auto"/>
        </w:rPr>
        <w:t>Notwithstanding the foregoing, a transaction will not be deemed to involve a Change of Control if (A) the Issuer becomes a direct or indirect wholly-owned subsidiary of another person and (B) (i) the shares of the Issuer’s Voting Stock outstanding immediately prior to such transaction constitute, or are converted into or exchanged for, a majority of the Voting Stock of such person immediately after giving effect to such transaction; or</w:t>
      </w:r>
    </w:p>
    <w:p>
      <w:pPr>
        <w:ind w:left="1480" w:right="359" w:hanging="3"/>
        <w:spacing w:after="0" w:line="247" w:lineRule="auto"/>
        <w:tabs>
          <w:tab w:leader="none" w:pos="16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following that transaction no person (other than a person satisfying the requirements of this sentence) is the beneficial owner, directly or indirectly, of more than 50% of the Voting Stock of such person.</w:t>
      </w:r>
    </w:p>
    <w:p>
      <w:pPr>
        <w:spacing w:after="0" w:line="14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“Change of Control Triggering Event” means the occurrence of both a Change of Control and a Rating Event.</w:t>
      </w:r>
    </w:p>
    <w:p>
      <w:pPr>
        <w:spacing w:after="0" w:line="166" w:lineRule="exact"/>
        <w:rPr>
          <w:sz w:val="20"/>
          <w:szCs w:val="20"/>
          <w:color w:val="auto"/>
        </w:rPr>
      </w:pPr>
    </w:p>
    <w:p>
      <w:pPr>
        <w:jc w:val="both"/>
        <w:ind w:left="1480" w:right="419" w:firstLine="333"/>
        <w:spacing w:after="0" w:line="254" w:lineRule="auto"/>
        <w:rPr>
          <w:sz w:val="20"/>
          <w:szCs w:val="20"/>
          <w:color w:val="auto"/>
        </w:rPr>
      </w:pPr>
      <w:r>
        <w:rPr>
          <w:rFonts w:ascii="Times New Roman" w:cs="Times New Roman" w:eastAsia="Times New Roman" w:hAnsi="Times New Roman"/>
          <w:sz w:val="14"/>
          <w:szCs w:val="14"/>
          <w:color w:val="auto"/>
        </w:rPr>
        <w:t>“Investment Grade” means a rating of Baa3 or better by Moody’s (or its equivalent under any successor rating category of Moody’s) and a rating of BBB- or better by S&amp;P (or its equivalent under any successor rating category of S&amp;P), or, if applicable, the equivalent investment grade credit rating from any Substitute Rating Agency.</w:t>
      </w:r>
    </w:p>
    <w:p>
      <w:pPr>
        <w:spacing w:after="0" w:line="14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“Moody’s” means Moody’s Investors Service, Inc., a subsidiary of Moody’s Corporation, and its successors.</w:t>
      </w:r>
    </w:p>
    <w:p>
      <w:pPr>
        <w:spacing w:after="0" w:line="166" w:lineRule="exact"/>
        <w:rPr>
          <w:sz w:val="20"/>
          <w:szCs w:val="20"/>
          <w:color w:val="auto"/>
        </w:rPr>
      </w:pPr>
    </w:p>
    <w:p>
      <w:pPr>
        <w:ind w:left="1480" w:right="379" w:firstLine="333"/>
        <w:spacing w:after="0" w:line="264" w:lineRule="auto"/>
        <w:rPr>
          <w:sz w:val="20"/>
          <w:szCs w:val="20"/>
          <w:color w:val="auto"/>
        </w:rPr>
      </w:pPr>
      <w:r>
        <w:rPr>
          <w:rFonts w:ascii="Times New Roman" w:cs="Times New Roman" w:eastAsia="Times New Roman" w:hAnsi="Times New Roman"/>
          <w:sz w:val="14"/>
          <w:szCs w:val="14"/>
          <w:color w:val="auto"/>
        </w:rPr>
        <w:t>“Rating Agency” means each of Moody’s and S&amp;P, and if either of Moody’s or S&amp;P ceases to rate the Exchange Notes or fails to make a rating of the Exchange Notes publicly available for reasons outside of our control, a Substitute Rating Agency in lieu thereof.</w:t>
      </w:r>
    </w:p>
    <w:p>
      <w:pPr>
        <w:spacing w:after="0" w:line="136" w:lineRule="exact"/>
        <w:rPr>
          <w:sz w:val="20"/>
          <w:szCs w:val="20"/>
          <w:color w:val="auto"/>
        </w:rPr>
      </w:pPr>
    </w:p>
    <w:p>
      <w:pPr>
        <w:ind w:left="1480" w:right="379" w:firstLine="333"/>
        <w:spacing w:after="0" w:line="250" w:lineRule="auto"/>
        <w:rPr>
          <w:sz w:val="20"/>
          <w:szCs w:val="20"/>
          <w:color w:val="auto"/>
        </w:rPr>
      </w:pPr>
      <w:r>
        <w:rPr>
          <w:rFonts w:ascii="Times New Roman" w:cs="Times New Roman" w:eastAsia="Times New Roman" w:hAnsi="Times New Roman"/>
          <w:sz w:val="14"/>
          <w:szCs w:val="14"/>
          <w:color w:val="auto"/>
        </w:rPr>
        <w:t>“Rating Event” means the Exchange Notes cease to be rated Investment Grade by both Rating Agencies on any day during the period (the “Trigger Period”) commencing on the earlier of (a) the first public notice of the occurrence of a Change of Control or (b) the public announcement by us of our intention to effect a Change of Control, and ending 60 days following consummation of such Change of Control (which period shall be extended so long as the rating of the Exchange Notes is under publicly announced consideration for a possible rating</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7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599"/>
        <w:spacing w:after="0" w:line="349" w:lineRule="auto"/>
        <w:rPr>
          <w:sz w:val="20"/>
          <w:szCs w:val="20"/>
          <w:color w:val="auto"/>
        </w:rPr>
      </w:pPr>
      <w:r>
        <w:rPr>
          <w:rFonts w:ascii="Times New Roman" w:cs="Times New Roman" w:eastAsia="Times New Roman" w:hAnsi="Times New Roman"/>
          <w:sz w:val="12"/>
          <w:szCs w:val="12"/>
          <w:color w:val="auto"/>
        </w:rPr>
        <w:t>downgrade by either of the Rating Agencies). If either Rating Agency is not providing a rating of the Exchange Notes on any day during the Trigger Period for any reason, the rating of such Rating Agency shall be deemed to have ceased to be rated Investment Grade during the Trigger Period.</w:t>
      </w:r>
    </w:p>
    <w:p>
      <w:pPr>
        <w:spacing w:after="0" w:line="8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“S&amp;P” means S&amp;P Global Ratings, a division of S&amp;P Global Inc., and its successors.</w:t>
      </w:r>
    </w:p>
    <w:p>
      <w:pPr>
        <w:spacing w:after="0" w:line="166" w:lineRule="exact"/>
        <w:rPr>
          <w:sz w:val="20"/>
          <w:szCs w:val="20"/>
          <w:color w:val="auto"/>
        </w:rPr>
      </w:pPr>
    </w:p>
    <w:p>
      <w:pPr>
        <w:ind w:left="1480" w:right="639" w:firstLine="333"/>
        <w:spacing w:after="0" w:line="254" w:lineRule="auto"/>
        <w:rPr>
          <w:sz w:val="20"/>
          <w:szCs w:val="20"/>
          <w:color w:val="auto"/>
        </w:rPr>
      </w:pPr>
      <w:r>
        <w:rPr>
          <w:rFonts w:ascii="Times New Roman" w:cs="Times New Roman" w:eastAsia="Times New Roman" w:hAnsi="Times New Roman"/>
          <w:sz w:val="14"/>
          <w:szCs w:val="14"/>
          <w:color w:val="auto"/>
        </w:rPr>
        <w:t>“Substitute Rating Agency” means a “nationally recognized statistical rating organization” within the meaning of Section 3(a)(62) of the Exchange Act, selected by us (as certified by a resolution of the board of directors of the Issuer or a committee thereof) as a replacement agency for Moody’s or S&amp;P, or both of them, as the case may be.</w:t>
      </w:r>
    </w:p>
    <w:p>
      <w:pPr>
        <w:spacing w:after="0" w:line="142" w:lineRule="exact"/>
        <w:rPr>
          <w:sz w:val="20"/>
          <w:szCs w:val="20"/>
          <w:color w:val="auto"/>
        </w:rPr>
      </w:pPr>
    </w:p>
    <w:p>
      <w:pPr>
        <w:jc w:val="both"/>
        <w:ind w:left="1480" w:right="559" w:firstLine="333"/>
        <w:spacing w:after="0" w:line="254" w:lineRule="auto"/>
        <w:rPr>
          <w:sz w:val="20"/>
          <w:szCs w:val="20"/>
          <w:color w:val="auto"/>
        </w:rPr>
      </w:pPr>
      <w:r>
        <w:rPr>
          <w:rFonts w:ascii="Times New Roman" w:cs="Times New Roman" w:eastAsia="Times New Roman" w:hAnsi="Times New Roman"/>
          <w:sz w:val="14"/>
          <w:szCs w:val="14"/>
          <w:color w:val="auto"/>
        </w:rPr>
        <w:t>“Voting Stock” of any specified person as of any date means the Capital Stock of such person that is at the time entitled to vote generally in the election of the board of directors or managers of such person (or, if such person is a partnership, the board of directors or other governing body of the general partner of such person).</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Certain Covenants</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Indenture contains the following covenants:</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Limitation on Secured Debt</w:t>
      </w:r>
    </w:p>
    <w:p>
      <w:pPr>
        <w:spacing w:after="0" w:line="88" w:lineRule="exact"/>
        <w:rPr>
          <w:sz w:val="20"/>
          <w:szCs w:val="20"/>
          <w:color w:val="auto"/>
        </w:rPr>
      </w:pPr>
    </w:p>
    <w:p>
      <w:pPr>
        <w:ind w:left="1480" w:right="499" w:firstLine="333"/>
        <w:spacing w:after="0" w:line="349" w:lineRule="auto"/>
        <w:rPr>
          <w:sz w:val="20"/>
          <w:szCs w:val="20"/>
          <w:color w:val="auto"/>
        </w:rPr>
      </w:pPr>
      <w:r>
        <w:rPr>
          <w:rFonts w:ascii="Times New Roman" w:cs="Times New Roman" w:eastAsia="Times New Roman" w:hAnsi="Times New Roman"/>
          <w:sz w:val="12"/>
          <w:szCs w:val="12"/>
          <w:color w:val="auto"/>
        </w:rPr>
        <w:t>The Issuer will not (nor will the Issuer permit any of its subsidiaries to) create, assume, or guarantee any Secured Debt without making effective provision for securing the Exchange Notes equally and ratably with such Secured Debt. This covenant does not apply to debt secured by:</w:t>
      </w:r>
    </w:p>
    <w:p>
      <w:pPr>
        <w:spacing w:after="0" w:line="17" w:lineRule="exact"/>
        <w:rPr>
          <w:sz w:val="20"/>
          <w:szCs w:val="20"/>
          <w:color w:val="auto"/>
        </w:rPr>
      </w:pPr>
    </w:p>
    <w:p>
      <w:pPr>
        <w:ind w:left="2220" w:right="339" w:hanging="416"/>
        <w:spacing w:after="0" w:line="248" w:lineRule="auto"/>
        <w:tabs>
          <w:tab w:leader="none" w:pos="2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money mortgages created to secure payment for the acquisition, construction or improvement of any property including, but not limited to, any Indebtedness incurred by the Issuer or a subsidiary of the Issuer prior to, at the time of, or within 18 months after the later of the acquisition, the completion of construction (including any improvements on an existing property) or the commencement of commercial operations of such property, which Indebtedness is incurred for the purpose of financing all or any part of the purchase price of such property or construction or improvements on such property;</w:t>
      </w:r>
    </w:p>
    <w:p>
      <w:pPr>
        <w:spacing w:after="0" w:line="77" w:lineRule="exact"/>
        <w:rPr>
          <w:rFonts w:ascii="Times New Roman" w:cs="Times New Roman" w:eastAsia="Times New Roman" w:hAnsi="Times New Roman"/>
          <w:sz w:val="14"/>
          <w:szCs w:val="14"/>
          <w:color w:val="auto"/>
        </w:rPr>
      </w:pPr>
    </w:p>
    <w:p>
      <w:pPr>
        <w:ind w:left="2220" w:right="439" w:hanging="416"/>
        <w:spacing w:after="0" w:line="316" w:lineRule="auto"/>
        <w:tabs>
          <w:tab w:leader="none" w:pos="22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mortgages, pledges, liens, security interests or encumbrances (collectively referred to as security interests) on property, or any conditional sales agreement or any title retention with respect to property, existing at the time of acquisition thereof, whether or not assumed by the Issuer or a subsidiary of the Issuer, provided such security interests are not created in anticipation or in furtherance of such acquisition;</w:t>
      </w:r>
    </w:p>
    <w:p>
      <w:pPr>
        <w:spacing w:after="0" w:line="37" w:lineRule="exact"/>
        <w:rPr>
          <w:rFonts w:ascii="Times New Roman" w:cs="Times New Roman" w:eastAsia="Times New Roman" w:hAnsi="Times New Roman"/>
          <w:sz w:val="12"/>
          <w:szCs w:val="12"/>
          <w:color w:val="auto"/>
        </w:rPr>
      </w:pPr>
    </w:p>
    <w:p>
      <w:pPr>
        <w:ind w:left="2220" w:hanging="416"/>
        <w:spacing w:after="0"/>
        <w:tabs>
          <w:tab w:leader="none" w:pos="2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interests on property of any person existing at the time such person becomes a subsidiary;</w:t>
      </w:r>
    </w:p>
    <w:p>
      <w:pPr>
        <w:spacing w:after="0" w:line="94" w:lineRule="exact"/>
        <w:rPr>
          <w:rFonts w:ascii="Times New Roman" w:cs="Times New Roman" w:eastAsia="Times New Roman" w:hAnsi="Times New Roman"/>
          <w:sz w:val="14"/>
          <w:szCs w:val="14"/>
          <w:color w:val="auto"/>
        </w:rPr>
      </w:pPr>
    </w:p>
    <w:p>
      <w:pPr>
        <w:ind w:left="2220" w:right="539" w:hanging="416"/>
        <w:spacing w:after="0" w:line="248" w:lineRule="auto"/>
        <w:tabs>
          <w:tab w:leader="none" w:pos="2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interests on property of a person existing at the time such person is merged or amalgamated into or otherwise consolidated with the Issuer or a subsidiary of the Issuer or at the time of a sale, lease, or other disposition of the properties of a person as an entirety or substantially as an entirety to the Issuer or a subsidiary of the Issuer; provided that no such security interests shall extend to any other Principal Property (as defined below) of the Issuer or such subsidiary prior to such acquisition or to other Principal Property thereafter acquired other than additions or improvements to the acquired property;</w:t>
      </w:r>
    </w:p>
    <w:p>
      <w:pPr>
        <w:spacing w:after="0" w:line="77" w:lineRule="exact"/>
        <w:rPr>
          <w:rFonts w:ascii="Times New Roman" w:cs="Times New Roman" w:eastAsia="Times New Roman" w:hAnsi="Times New Roman"/>
          <w:sz w:val="14"/>
          <w:szCs w:val="14"/>
          <w:color w:val="auto"/>
        </w:rPr>
      </w:pPr>
    </w:p>
    <w:p>
      <w:pPr>
        <w:ind w:left="2220" w:right="379" w:hanging="416"/>
        <w:spacing w:after="0" w:line="247" w:lineRule="auto"/>
        <w:tabs>
          <w:tab w:leader="none" w:pos="2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interests on property of the Issuer or property of a subsidiary of the Issuer in favor of the United States of America or any state thereof, or in favor of any other country, or any department, agency, instrumentality or political subdivision thereof (including, without limitation, security interests to secure Indebtedness of the pollution control or industrial revenue type) in order to permit the Issuer or any subsidiary of the Issuer to perform a contract or to secure Indebtedness incurred for the purpose of financing all or any part of the purchase price for the cost of constructing or improving the property subject to such security interests or which is required by law or regulation as a condition to the transaction of any business or the exercise of any privilege, franchise or license;</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78"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479" w:hanging="416"/>
        <w:spacing w:after="0" w:line="264" w:lineRule="auto"/>
        <w:tabs>
          <w:tab w:leader="none" w:pos="2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interests on any property or assets of the Issuer or any subsidiary of the Issuer to secure Indebtedness owing by it to the Issuer or any subsidiary of the Issuer;</w:t>
      </w:r>
    </w:p>
    <w:p>
      <w:pPr>
        <w:spacing w:after="0" w:line="64" w:lineRule="exact"/>
        <w:rPr>
          <w:rFonts w:ascii="Times New Roman" w:cs="Times New Roman" w:eastAsia="Times New Roman" w:hAnsi="Times New Roman"/>
          <w:sz w:val="14"/>
          <w:szCs w:val="14"/>
          <w:color w:val="auto"/>
        </w:rPr>
      </w:pPr>
    </w:p>
    <w:p>
      <w:pPr>
        <w:jc w:val="both"/>
        <w:ind w:left="2220" w:right="679" w:hanging="416"/>
        <w:spacing w:after="0" w:line="349" w:lineRule="auto"/>
        <w:tabs>
          <w:tab w:leader="none" w:pos="22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securing reimbursement obligations with respect to letters of credit related to trade payables and issued in the ordinary course of business, which liens encumber documents and other property relating to such letters of credit and the products and proceeds thereof;</w:t>
      </w:r>
    </w:p>
    <w:p>
      <w:pPr>
        <w:spacing w:after="0" w:line="17" w:lineRule="exact"/>
        <w:rPr>
          <w:rFonts w:ascii="Times New Roman" w:cs="Times New Roman" w:eastAsia="Times New Roman" w:hAnsi="Times New Roman"/>
          <w:sz w:val="12"/>
          <w:szCs w:val="12"/>
          <w:color w:val="auto"/>
        </w:rPr>
      </w:pPr>
    </w:p>
    <w:p>
      <w:pPr>
        <w:ind w:left="2220" w:right="439" w:hanging="416"/>
        <w:spacing w:after="0" w:line="250" w:lineRule="auto"/>
        <w:tabs>
          <w:tab w:leader="none" w:pos="2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encumbering customary initial deposits and margin deposits and other liens in the ordinary course of business, in each case securing Indebtedness under any interest swap obligations and currency agreements and forward contracts, options, futures contracts, futures options or similar agreements or arrangements designed to protect the Issuer or any of its subsidiaries from fluctuations in interest rates or currencies; or</w:t>
      </w:r>
    </w:p>
    <w:p>
      <w:pPr>
        <w:spacing w:after="0" w:line="74" w:lineRule="exact"/>
        <w:rPr>
          <w:rFonts w:ascii="Times New Roman" w:cs="Times New Roman" w:eastAsia="Times New Roman" w:hAnsi="Times New Roman"/>
          <w:sz w:val="14"/>
          <w:szCs w:val="14"/>
          <w:color w:val="auto"/>
        </w:rPr>
      </w:pPr>
    </w:p>
    <w:p>
      <w:pPr>
        <w:ind w:left="2220" w:right="519" w:hanging="416"/>
        <w:spacing w:after="0" w:line="250" w:lineRule="auto"/>
        <w:tabs>
          <w:tab w:leader="none" w:pos="2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extension, renewal or replacement, or successive extensions, renewals or replacements, in whole or in part, of any security interest referred to in the foregoing clauses (1)-(8); to the extent that the principal amount thereof is not increased other than by transaction costs and premiums, if any, and no additional Principal Property other than Principal Property permitted to be so secured under the foregoing clauses (1)-(8) is subject thereto.</w:t>
      </w:r>
    </w:p>
    <w:p>
      <w:pPr>
        <w:spacing w:after="0" w:line="146"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For the purposes of determining compliance with this covenant, in the event that any Secured Debt meets the criteria of more than one of the types of Secured Debt described above, the Issuer, in its sole discretion, will classify such Secured Debt and only be required to include the amount and type of such Secured Debt in one of clauses (1) through (9) above or under the provision described in “—Exempted Indebtedness” below, and Secured Debt may be divided and classified at the time of incurrence into more than one of the types of Secured Debt described above or under the provision described in “—Exempted Indebtedness” below.</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Limitation on Sale and Lease-Back Transactions</w:t>
      </w:r>
    </w:p>
    <w:p>
      <w:pPr>
        <w:spacing w:after="0" w:line="88" w:lineRule="exact"/>
        <w:rPr>
          <w:sz w:val="20"/>
          <w:szCs w:val="20"/>
          <w:color w:val="auto"/>
        </w:rPr>
      </w:pPr>
    </w:p>
    <w:p>
      <w:pPr>
        <w:jc w:val="both"/>
        <w:ind w:left="1480" w:right="379" w:firstLine="333"/>
        <w:spacing w:after="0" w:line="254" w:lineRule="auto"/>
        <w:rPr>
          <w:sz w:val="20"/>
          <w:szCs w:val="20"/>
          <w:color w:val="auto"/>
        </w:rPr>
      </w:pPr>
      <w:r>
        <w:rPr>
          <w:rFonts w:ascii="Times New Roman" w:cs="Times New Roman" w:eastAsia="Times New Roman" w:hAnsi="Times New Roman"/>
          <w:sz w:val="14"/>
          <w:szCs w:val="14"/>
          <w:color w:val="auto"/>
        </w:rPr>
        <w:t>The Issuer will not (nor will the Issuer permit any of its subsidiaries to) enter into any sale and lease-back transaction for the sale and leasing back of any Principal Property (a “Sale and Lease-Back Transaction”), whether now owned or hereafter acquired, of the Issuer or any subsidiary of the Issuer, unless:</w:t>
      </w:r>
    </w:p>
    <w:p>
      <w:pPr>
        <w:spacing w:after="0" w:line="71" w:lineRule="exact"/>
        <w:rPr>
          <w:sz w:val="20"/>
          <w:szCs w:val="20"/>
          <w:color w:val="auto"/>
        </w:rPr>
      </w:pPr>
    </w:p>
    <w:p>
      <w:pPr>
        <w:ind w:left="2220" w:hanging="416"/>
        <w:spacing w:after="0"/>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transaction was entered into prior to the issue date of the Exchange Notes;</w:t>
      </w:r>
    </w:p>
    <w:p>
      <w:pPr>
        <w:spacing w:after="0" w:line="9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transaction involves a lease for less than three years;</w:t>
      </w:r>
    </w:p>
    <w:p>
      <w:pPr>
        <w:spacing w:after="0" w:line="94" w:lineRule="exact"/>
        <w:rPr>
          <w:rFonts w:ascii="Times New Roman" w:cs="Times New Roman" w:eastAsia="Times New Roman" w:hAnsi="Times New Roman"/>
          <w:sz w:val="14"/>
          <w:szCs w:val="14"/>
          <w:color w:val="auto"/>
        </w:rPr>
      </w:pPr>
    </w:p>
    <w:p>
      <w:pPr>
        <w:ind w:left="2220" w:right="559" w:hanging="416"/>
        <w:spacing w:after="0" w:line="254"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transaction involves the sale and leasing back to the Issuer of any Principal Property by one of its subsidiaries, the sale and leasing back to one of the Issuer’s subsidiaries by the Issuer or the sale and leasing back to one of the Issuer’s subsidiaries by another of the Issuer’s subsidiaries;</w:t>
      </w:r>
    </w:p>
    <w:p>
      <w:pPr>
        <w:spacing w:after="0" w:line="70" w:lineRule="exact"/>
        <w:rPr>
          <w:rFonts w:ascii="Times New Roman" w:cs="Times New Roman" w:eastAsia="Times New Roman" w:hAnsi="Times New Roman"/>
          <w:sz w:val="14"/>
          <w:szCs w:val="14"/>
          <w:color w:val="auto"/>
        </w:rPr>
      </w:pPr>
    </w:p>
    <w:p>
      <w:pPr>
        <w:ind w:left="2220" w:right="479" w:hanging="416"/>
        <w:spacing w:after="0" w:line="254"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or such subsidiary would be entitled to incur Secured Debt on the Principal Property to be leased in an amount at least equal to the Attributable Liens (as defined below) with respect to such sale and lease-back transaction without equally and ratably securing the Exchange Notes pursuant to the covenant described under the caption “—Limitation on Secured Debt” above; or</w:t>
      </w:r>
    </w:p>
    <w:p>
      <w:pPr>
        <w:spacing w:after="0" w:line="70" w:lineRule="exact"/>
        <w:rPr>
          <w:rFonts w:ascii="Times New Roman" w:cs="Times New Roman" w:eastAsia="Times New Roman" w:hAnsi="Times New Roman"/>
          <w:sz w:val="14"/>
          <w:szCs w:val="14"/>
          <w:color w:val="auto"/>
        </w:rPr>
      </w:pPr>
    </w:p>
    <w:p>
      <w:pPr>
        <w:ind w:left="2220" w:right="479" w:hanging="416"/>
        <w:spacing w:after="0" w:line="305" w:lineRule="auto"/>
        <w:tabs>
          <w:tab w:leader="none" w:pos="22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 applies an amount equal to the fair market value of the Principal Property sold, within 180 days of such sale and lease-back transaction, to any of (or a combination of) (a) the prepayment or retirement of the Exchange Notes, (b) the prepayment or retirement of Indebtedness for borrowed money of the Issuer or a subsidiary of the Issuer (other than Indebtedness that is contractually subordinated to the Exchange Notes) or (c) the purchase, construction, development, expansion or improvement of Principal Property.</w:t>
      </w:r>
    </w:p>
    <w:p>
      <w:pPr>
        <w:spacing w:after="0" w:line="1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Exempted Indebtedness</w:t>
      </w:r>
    </w:p>
    <w:p>
      <w:pPr>
        <w:spacing w:after="0" w:line="88" w:lineRule="exact"/>
        <w:rPr>
          <w:sz w:val="20"/>
          <w:szCs w:val="20"/>
          <w:color w:val="auto"/>
        </w:rPr>
      </w:pPr>
    </w:p>
    <w:p>
      <w:pPr>
        <w:ind w:left="1480" w:right="579" w:firstLine="333"/>
        <w:spacing w:after="0" w:line="264" w:lineRule="auto"/>
        <w:rPr>
          <w:sz w:val="20"/>
          <w:szCs w:val="20"/>
          <w:color w:val="auto"/>
        </w:rPr>
      </w:pPr>
      <w:r>
        <w:rPr>
          <w:rFonts w:ascii="Times New Roman" w:cs="Times New Roman" w:eastAsia="Times New Roman" w:hAnsi="Times New Roman"/>
          <w:sz w:val="14"/>
          <w:szCs w:val="14"/>
          <w:color w:val="auto"/>
        </w:rPr>
        <w:t>Notwithstanding the limitations on Secured Debt and Sale and Lease-Back Transactions described above, the Issuer and any one or more of its subsidiaries may, without securing the Exchange Notes, issue, assume, or</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78"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79"/>
        <w:spacing w:after="0" w:line="247" w:lineRule="auto"/>
        <w:rPr>
          <w:sz w:val="20"/>
          <w:szCs w:val="20"/>
          <w:color w:val="auto"/>
        </w:rPr>
      </w:pPr>
      <w:r>
        <w:rPr>
          <w:rFonts w:ascii="Times New Roman" w:cs="Times New Roman" w:eastAsia="Times New Roman" w:hAnsi="Times New Roman"/>
          <w:sz w:val="14"/>
          <w:szCs w:val="14"/>
          <w:color w:val="auto"/>
        </w:rPr>
        <w:t>guarantee Secured Debt or enter into any Sale and Lease-Back Transaction that would otherwise be subject to the foregoing restrictions, provided that, after giving effect thereto, the aggregate amount of such Secured Debt then outstanding (other than Secured Debt permitted under the foregoing exceptions) and the Attributable Liens of Sale and Lease-Back Transactions, other than Sale and Lease-Back Transactions described in the preceding paragraph, at such time does not exceed the greater of (i) 15% of the Consolidated Net Tangible Assets of the Issuer calculated as of the date of the creation or incurrence of such Secured Debt or Sale and Lease-Back Transactions and (ii) $2,000 million, in each case after giving effect to such incurrence and the application of the proceeds therefrom.</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Limitation on Mergers and Other Transactions</w:t>
      </w:r>
    </w:p>
    <w:p>
      <w:pPr>
        <w:spacing w:after="0" w:line="88" w:lineRule="exact"/>
        <w:rPr>
          <w:sz w:val="20"/>
          <w:szCs w:val="20"/>
          <w:color w:val="auto"/>
        </w:rPr>
      </w:pPr>
    </w:p>
    <w:p>
      <w:pPr>
        <w:ind w:left="1480" w:right="559" w:firstLine="333"/>
        <w:spacing w:after="0" w:line="264" w:lineRule="auto"/>
        <w:rPr>
          <w:sz w:val="20"/>
          <w:szCs w:val="20"/>
          <w:color w:val="auto"/>
        </w:rPr>
      </w:pPr>
      <w:r>
        <w:rPr>
          <w:rFonts w:ascii="Times New Roman" w:cs="Times New Roman" w:eastAsia="Times New Roman" w:hAnsi="Times New Roman"/>
          <w:sz w:val="14"/>
          <w:szCs w:val="14"/>
          <w:color w:val="auto"/>
        </w:rPr>
        <w:t>The Issuer may not consolidate with or merge with or into, or convey, transfer or lease all or substantially all of its properties and assets to, any person, which we refer to as a “successor person,” unless:</w:t>
      </w:r>
    </w:p>
    <w:p>
      <w:pPr>
        <w:spacing w:after="0" w:line="65" w:lineRule="exact"/>
        <w:rPr>
          <w:sz w:val="20"/>
          <w:szCs w:val="20"/>
          <w:color w:val="auto"/>
        </w:rPr>
      </w:pPr>
    </w:p>
    <w:p>
      <w:pPr>
        <w:ind w:left="2220" w:right="379" w:hanging="416"/>
        <w:spacing w:after="0" w:line="248" w:lineRule="auto"/>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is the surviving person or the successor person (if other than the Issuer) is a person organized and validly existing under the laws of any U.S. domestic jurisdiction, any current or former member state of the European Union, Canada or any province of Canada, the United Kingdom, Switzerland, the Republic of Singapore, Bermuda or the Cayman Islands and expressly assumes by supplemental indenture the Issuer’s obligations on the Exchange Notes and under the Indenture (any such transaction resulting in an entity organized or existing under the laws of any jurisdiction other than a U.S. domestic jurisdiction, a “Non-U.S. Domicile Transaction”);</w:t>
      </w:r>
    </w:p>
    <w:p>
      <w:pPr>
        <w:spacing w:after="0" w:line="77" w:lineRule="exact"/>
        <w:rPr>
          <w:rFonts w:ascii="Times New Roman" w:cs="Times New Roman" w:eastAsia="Times New Roman" w:hAnsi="Times New Roman"/>
          <w:sz w:val="14"/>
          <w:szCs w:val="14"/>
          <w:color w:val="auto"/>
        </w:rPr>
      </w:pPr>
    </w:p>
    <w:p>
      <w:pPr>
        <w:ind w:left="2220" w:right="399" w:hanging="416"/>
        <w:spacing w:after="0" w:line="264" w:lineRule="auto"/>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 under the Indenture; and</w:t>
      </w:r>
    </w:p>
    <w:p>
      <w:pPr>
        <w:spacing w:after="0" w:line="64" w:lineRule="exact"/>
        <w:rPr>
          <w:rFonts w:ascii="Times New Roman" w:cs="Times New Roman" w:eastAsia="Times New Roman" w:hAnsi="Times New Roman"/>
          <w:sz w:val="14"/>
          <w:szCs w:val="14"/>
          <w:color w:val="auto"/>
        </w:rPr>
      </w:pPr>
    </w:p>
    <w:p>
      <w:pPr>
        <w:ind w:left="2220" w:right="479" w:hanging="416"/>
        <w:spacing w:after="0" w:line="264" w:lineRule="auto"/>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prior to the consummation of the proposed transaction an officer’s certificate to the foregoing effect and an opinion of counsel stating that the proposed transaction and the supplemental indenture comply with the Indenture.</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Reports</w:t>
      </w:r>
    </w:p>
    <w:p>
      <w:pPr>
        <w:spacing w:after="0" w:line="88" w:lineRule="exact"/>
        <w:rPr>
          <w:sz w:val="20"/>
          <w:szCs w:val="20"/>
          <w:color w:val="auto"/>
        </w:rPr>
      </w:pPr>
    </w:p>
    <w:p>
      <w:pPr>
        <w:ind w:left="1480" w:right="359" w:firstLine="333"/>
        <w:spacing w:after="0" w:line="295" w:lineRule="auto"/>
        <w:rPr>
          <w:sz w:val="20"/>
          <w:szCs w:val="20"/>
          <w:color w:val="auto"/>
        </w:rPr>
      </w:pPr>
      <w:r>
        <w:rPr>
          <w:rFonts w:ascii="Times New Roman" w:cs="Times New Roman" w:eastAsia="Times New Roman" w:hAnsi="Times New Roman"/>
          <w:sz w:val="12"/>
          <w:szCs w:val="12"/>
          <w:color w:val="auto"/>
        </w:rPr>
        <w:t>The Indenture provides that a copy of any document or report that the Issuer is required to file with the SEC pursuant to Section 13 or 15(d) of the Exchange Act will be delivered to the Trustee within 30 days after such document or report is required to be filed with the SEC. Documents filed by us with the SEC via the EDGAR system (or any successor thereto) will be deemed to be delivered to the Trustee as of the time such documents are filed via EDGAR, it being understood that the Trustee shall not be responsible for determining whether such filings have been made. Delivery of the information, documents and other reports described above to the Trustee is for informational purposes only, and the Trustee’s receipt of such shall not constitute constructive or actual notice of any information contained therein or determinable from information contained therein, including the Issuer’s compliance with any of the covenants under the Indenture (as to which the Trustee is entitled to conclusively rely on an officer’s certificate).</w:t>
      </w:r>
    </w:p>
    <w:p>
      <w:pPr>
        <w:spacing w:after="0" w:line="19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Certain Definitions</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As used in this section, the following terms have the meanings set forth below.</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“Attributable Liens” means, in connection with a Sale and Lease-Back Transaction, the lesser of:</w:t>
      </w:r>
    </w:p>
    <w:p>
      <w:pPr>
        <w:spacing w:after="0" w:line="94" w:lineRule="exact"/>
        <w:rPr>
          <w:sz w:val="20"/>
          <w:szCs w:val="20"/>
          <w:color w:val="auto"/>
        </w:rPr>
      </w:pPr>
    </w:p>
    <w:p>
      <w:pPr>
        <w:ind w:left="2220" w:right="759" w:hanging="416"/>
        <w:spacing w:after="0" w:line="264" w:lineRule="auto"/>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market value of the assets subject to such transaction (as determined in good faith by the board of directors of the Issuer or a committee thereof); and</w:t>
      </w:r>
    </w:p>
    <w:p>
      <w:pPr>
        <w:spacing w:after="0" w:line="64" w:lineRule="exact"/>
        <w:rPr>
          <w:rFonts w:ascii="Times New Roman" w:cs="Times New Roman" w:eastAsia="Times New Roman" w:hAnsi="Times New Roman"/>
          <w:sz w:val="14"/>
          <w:szCs w:val="14"/>
          <w:color w:val="auto"/>
        </w:rPr>
      </w:pPr>
    </w:p>
    <w:p>
      <w:pPr>
        <w:ind w:left="2220" w:right="399" w:hanging="416"/>
        <w:spacing w:after="0" w:line="254" w:lineRule="auto"/>
        <w:tabs>
          <w:tab w:leader="none" w:pos="2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 value (discounted at a rate per annum equal to the average interest borne by all outstanding debt securities issued under the Indenture (which may include debt securities in addition to the Exchange Notes) determined on a weighted average basis and compounded semi-annually) of the obligations of the lessee for rental payments during the term of the related lease.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78"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519" w:firstLine="333"/>
        <w:spacing w:after="0" w:line="300" w:lineRule="auto"/>
        <w:rPr>
          <w:sz w:val="20"/>
          <w:szCs w:val="20"/>
          <w:color w:val="auto"/>
        </w:rPr>
      </w:pPr>
      <w:r>
        <w:rPr>
          <w:rFonts w:ascii="Times New Roman" w:cs="Times New Roman" w:eastAsia="Times New Roman" w:hAnsi="Times New Roman"/>
          <w:sz w:val="12"/>
          <w:szCs w:val="12"/>
          <w:color w:val="auto"/>
        </w:rPr>
        <w:t>“Consolidated Net Tangible Assets” of any specified person means, as of any date on which we effect a transaction requiring such Consolidated Net Tangible Assets to be measured hereunder, the aggregate amount of all assets of such person and its subsidiaries on a consolidated basis (less applicable reserves) after deducting therefrom: (a) all current liabilities, except for current maturities of long-term debt and obligations under Finance Leases; and (b) intangible assets, to the extent included in said aggregate amount of assets, as of the end of our most recently completed accounting period for which financial statements are then available and computed in accordance with GAAP applied on a consistent basis.</w:t>
      </w:r>
    </w:p>
    <w:p>
      <w:pPr>
        <w:spacing w:after="0" w:line="118" w:lineRule="exact"/>
        <w:rPr>
          <w:sz w:val="20"/>
          <w:szCs w:val="20"/>
          <w:color w:val="auto"/>
        </w:rPr>
      </w:pPr>
    </w:p>
    <w:p>
      <w:pPr>
        <w:ind w:left="1480" w:right="819" w:firstLine="333"/>
        <w:spacing w:after="0" w:line="349" w:lineRule="auto"/>
        <w:rPr>
          <w:sz w:val="20"/>
          <w:szCs w:val="20"/>
          <w:color w:val="auto"/>
        </w:rPr>
      </w:pPr>
      <w:r>
        <w:rPr>
          <w:rFonts w:ascii="Times New Roman" w:cs="Times New Roman" w:eastAsia="Times New Roman" w:hAnsi="Times New Roman"/>
          <w:sz w:val="12"/>
          <w:szCs w:val="12"/>
          <w:color w:val="auto"/>
        </w:rPr>
        <w:t>“Finance Lease” means any Indebtedness represented by a lease obligation of a person incurred with respect to real property or equipment acquired or leased by such person and used in its business that is required to be recorded as a finance lease in accordance with GAAP.</w:t>
      </w:r>
    </w:p>
    <w:p>
      <w:pPr>
        <w:spacing w:after="0" w:line="89"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“GAAP”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issue date.</w:t>
      </w:r>
    </w:p>
    <w:p>
      <w:pPr>
        <w:spacing w:after="0" w:line="146" w:lineRule="exact"/>
        <w:rPr>
          <w:sz w:val="20"/>
          <w:szCs w:val="20"/>
          <w:color w:val="auto"/>
        </w:rPr>
      </w:pPr>
    </w:p>
    <w:p>
      <w:pPr>
        <w:ind w:left="1480" w:right="379" w:firstLine="333"/>
        <w:spacing w:after="0" w:line="246" w:lineRule="auto"/>
        <w:rPr>
          <w:sz w:val="20"/>
          <w:szCs w:val="20"/>
          <w:color w:val="auto"/>
        </w:rPr>
      </w:pPr>
      <w:r>
        <w:rPr>
          <w:rFonts w:ascii="Times New Roman" w:cs="Times New Roman" w:eastAsia="Times New Roman" w:hAnsi="Times New Roman"/>
          <w:sz w:val="14"/>
          <w:szCs w:val="14"/>
          <w:color w:val="auto"/>
        </w:rPr>
        <w:t>“Indebtedness” of any specified person means, without duplication, any indebtedness in respect of borrowed money or that is evidenced by bonds, notes, debentures or similar instruments or letters of credit (or reimbursement agreements with respect thereto (other than obligations with respect to letters of credit securing obligations entered into in the ordinary course of business of such person to the extent such letters of credit are not drawn upon or, if and to the extent drawn upon, such drawing is reimbursed no later than the fifth business day following receipt by such person of a demand for reimbursement following payment on the letter of credit)) or representing the balance deferred and unpaid of the purchase price of any Property (including pursuant to Finance Leases), except any such balance that constitutes an accrued expense or trade payable, if and to the extent any of the foregoing indebtedness would appear as a liability upon a balance sheet of such person prepared in accordance with GAAP (but does not include contingent liabilities which appear only in a footnote to a balance sheet). In addition, the term “Indebtedness” includes all of the following items, whether or not any such items would appear as a liability on a balance sheet of the specified person in accordance with GAAP:</w:t>
      </w:r>
    </w:p>
    <w:p>
      <w:pPr>
        <w:spacing w:after="0" w:line="77" w:lineRule="exact"/>
        <w:rPr>
          <w:sz w:val="20"/>
          <w:szCs w:val="20"/>
          <w:color w:val="auto"/>
        </w:rPr>
      </w:pPr>
    </w:p>
    <w:p>
      <w:pPr>
        <w:ind w:left="2220" w:right="739" w:hanging="416"/>
        <w:spacing w:after="0" w:line="264" w:lineRule="auto"/>
        <w:tabs>
          <w:tab w:leader="none" w:pos="2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Indebtedness of others secured by a lien on any asset of the specified person (whether or not such Indebtedness is assumed by the specified person); and</w:t>
      </w:r>
    </w:p>
    <w:p>
      <w:pPr>
        <w:spacing w:after="0" w:line="64"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not otherwise included, any guarantee by the specified person of Indebtedness of any other person.</w:t>
      </w:r>
    </w:p>
    <w:p>
      <w:pPr>
        <w:spacing w:after="0" w:line="166" w:lineRule="exact"/>
        <w:rPr>
          <w:sz w:val="20"/>
          <w:szCs w:val="20"/>
          <w:color w:val="auto"/>
        </w:rPr>
      </w:pPr>
    </w:p>
    <w:p>
      <w:pPr>
        <w:ind w:left="1480" w:right="399" w:firstLine="333"/>
        <w:spacing w:after="0" w:line="264" w:lineRule="auto"/>
        <w:rPr>
          <w:sz w:val="20"/>
          <w:szCs w:val="20"/>
          <w:color w:val="auto"/>
        </w:rPr>
      </w:pPr>
      <w:r>
        <w:rPr>
          <w:rFonts w:ascii="Times New Roman" w:cs="Times New Roman" w:eastAsia="Times New Roman" w:hAnsi="Times New Roman"/>
          <w:sz w:val="14"/>
          <w:szCs w:val="14"/>
          <w:color w:val="auto"/>
        </w:rPr>
        <w:t>Notwithstanding the foregoing, the term “Indebtedness” excludes any indebtedness of the Issuer or any of the Issuer’s subsidiaries to the Issuer or a subsidiary of the Issuer.</w:t>
      </w:r>
    </w:p>
    <w:p>
      <w:pPr>
        <w:spacing w:after="0" w:line="136" w:lineRule="exact"/>
        <w:rPr>
          <w:sz w:val="20"/>
          <w:szCs w:val="20"/>
          <w:color w:val="auto"/>
        </w:rPr>
      </w:pPr>
    </w:p>
    <w:p>
      <w:pPr>
        <w:ind w:left="1480" w:right="419" w:firstLine="333"/>
        <w:spacing w:after="0" w:line="287" w:lineRule="auto"/>
        <w:rPr>
          <w:sz w:val="20"/>
          <w:szCs w:val="20"/>
          <w:color w:val="auto"/>
        </w:rPr>
      </w:pPr>
      <w:r>
        <w:rPr>
          <w:rFonts w:ascii="Times New Roman" w:cs="Times New Roman" w:eastAsia="Times New Roman" w:hAnsi="Times New Roman"/>
          <w:sz w:val="12"/>
          <w:szCs w:val="12"/>
          <w:color w:val="auto"/>
        </w:rPr>
        <w:t>“Principal Property” means the land, improvements, buildings, fixtures and/or equipment (including any leasehold interest therein) constituting any manufacturing, assembly or test plant, distribution center, research facility, design facility, administrative facility, or sales and marketing facility (in each case, whether now owned or hereafter acquired) which is owned or leased by the Issuer or any of its subsidiaries, unless such plant, center or facility has a fair market value of less than $10 million or unless the board of directors of the Issuer or a committee thereof has determined in good faith that such office, plant, center or facility is not of material importance to the total business conducted by the Issuer and its subsidiaries taken as a whole. Notwithstanding the foregoing, the land, improvements, buildings, fixtures and/or equipment (including any leasehold interest therein) constituting</w:t>
      </w:r>
    </w:p>
    <w:p>
      <w:pPr>
        <w:spacing w:after="0" w:line="2" w:lineRule="exact"/>
        <w:rPr>
          <w:sz w:val="20"/>
          <w:szCs w:val="20"/>
          <w:color w:val="auto"/>
        </w:rPr>
      </w:pPr>
    </w:p>
    <w:p>
      <w:pPr>
        <w:ind w:left="1480" w:right="439" w:hanging="3"/>
        <w:spacing w:after="0" w:line="247" w:lineRule="auto"/>
        <w:tabs>
          <w:tab w:leader="none" w:pos="164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corporate offices or primary campuses of the Issuer (whether owned or leased by the Issuer or a wholly-owned subsidiary of the Issuer) and (ii) the office campus located in Irvine, California, in each case shall not constitute Principal Property.</w:t>
      </w:r>
    </w:p>
    <w:p>
      <w:pPr>
        <w:spacing w:after="0" w:line="14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“Property” means any property or asset, whether real, personal or mixed, or tangible or intangible, including shares of capital stock.</w:t>
      </w:r>
    </w:p>
    <w:p>
      <w:pPr>
        <w:spacing w:after="0" w:line="1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78"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“Secured Debt” means indebtedness for borrowed money that is secured by a security interest in any Principal Property.</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Each of the following is an “event of default” with respect to the Exchange Notes:</w:t>
      </w:r>
    </w:p>
    <w:p>
      <w:pPr>
        <w:spacing w:after="0" w:line="94" w:lineRule="exact"/>
        <w:rPr>
          <w:sz w:val="20"/>
          <w:szCs w:val="20"/>
          <w:color w:val="auto"/>
        </w:rPr>
      </w:pPr>
    </w:p>
    <w:p>
      <w:pPr>
        <w:ind w:left="2220" w:right="579" w:hanging="416"/>
        <w:spacing w:after="0" w:line="254" w:lineRule="auto"/>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including any additional interest, on the Exchange Notes of such series when it becomes due and payable, and continuance of that default for a period of 30 days (unless the entire amount of such payment is deposited by us with the Trustee or with a paying agent prior to the expiration of such 30-day period);</w:t>
      </w:r>
    </w:p>
    <w:p>
      <w:pPr>
        <w:spacing w:after="0" w:line="70"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the Exchange Notes of such series when due and payable;</w:t>
      </w:r>
    </w:p>
    <w:p>
      <w:pPr>
        <w:spacing w:after="0" w:line="94" w:lineRule="exact"/>
        <w:rPr>
          <w:rFonts w:ascii="Times New Roman" w:cs="Times New Roman" w:eastAsia="Times New Roman" w:hAnsi="Times New Roman"/>
          <w:sz w:val="14"/>
          <w:szCs w:val="14"/>
          <w:color w:val="auto"/>
        </w:rPr>
      </w:pPr>
    </w:p>
    <w:p>
      <w:pPr>
        <w:ind w:left="2220" w:right="439" w:hanging="416"/>
        <w:spacing w:after="0" w:line="248" w:lineRule="auto"/>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other covenant or warranty by us in the Indenture (other than a covenant or warranty that has been included in the Indenture solely for the benefit of a series of debt securities other than the Exchange Notes of such series), which default continues uncured for a period of 60 days after we receive written notice from the Trustee or we and the Trustee receive written notice from the holders of not less than 25% in principal amount of the Exchange Notes then outstanding of such series as provided in the Indenture; and</w:t>
      </w:r>
    </w:p>
    <w:p>
      <w:pPr>
        <w:spacing w:after="0" w:line="77" w:lineRule="exact"/>
        <w:rPr>
          <w:rFonts w:ascii="Times New Roman" w:cs="Times New Roman" w:eastAsia="Times New Roman" w:hAnsi="Times New Roman"/>
          <w:sz w:val="14"/>
          <w:szCs w:val="14"/>
          <w:color w:val="auto"/>
        </w:rPr>
      </w:pPr>
    </w:p>
    <w:p>
      <w:pPr>
        <w:ind w:left="2220" w:hanging="416"/>
        <w:spacing w:after="0"/>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the Issuer.</w:t>
      </w:r>
    </w:p>
    <w:p>
      <w:pPr>
        <w:spacing w:after="0" w:line="166" w:lineRule="exact"/>
        <w:rPr>
          <w:sz w:val="20"/>
          <w:szCs w:val="20"/>
          <w:color w:val="auto"/>
        </w:rPr>
      </w:pPr>
    </w:p>
    <w:p>
      <w:pPr>
        <w:ind w:left="1480" w:right="359" w:firstLine="333"/>
        <w:spacing w:after="0" w:line="305" w:lineRule="auto"/>
        <w:rPr>
          <w:sz w:val="20"/>
          <w:szCs w:val="20"/>
          <w:color w:val="auto"/>
        </w:rPr>
      </w:pPr>
      <w:r>
        <w:rPr>
          <w:rFonts w:ascii="Times New Roman" w:cs="Times New Roman" w:eastAsia="Times New Roman" w:hAnsi="Times New Roman"/>
          <w:sz w:val="12"/>
          <w:szCs w:val="12"/>
          <w:color w:val="auto"/>
        </w:rPr>
        <w:t>No event of default with respect to a series of Exchange Notes (except as to certain events of bankruptcy, insolvency or reorganization) necessarily constitutes an event of default with respect to any other series of debt securities. The occurrence of an event of default may constitute an event of default under any bank credit agreements that may be in existence from time to time. In addition, the occurrence of certain events of default or acceleration under the Indenture may constitute an event of default under certain of the Issuer’s other indebtedness that may be outstanding from time to time.</w:t>
      </w:r>
    </w:p>
    <w:p>
      <w:pPr>
        <w:spacing w:after="0" w:line="116" w:lineRule="exact"/>
        <w:rPr>
          <w:sz w:val="20"/>
          <w:szCs w:val="20"/>
          <w:color w:val="auto"/>
        </w:rPr>
      </w:pPr>
    </w:p>
    <w:p>
      <w:pPr>
        <w:ind w:left="1480" w:right="399" w:firstLine="333"/>
        <w:spacing w:after="0" w:line="290" w:lineRule="auto"/>
        <w:rPr>
          <w:sz w:val="20"/>
          <w:szCs w:val="20"/>
          <w:color w:val="auto"/>
        </w:rPr>
      </w:pPr>
      <w:r>
        <w:rPr>
          <w:rFonts w:ascii="Times New Roman" w:cs="Times New Roman" w:eastAsia="Times New Roman" w:hAnsi="Times New Roman"/>
          <w:sz w:val="12"/>
          <w:szCs w:val="12"/>
          <w:color w:val="auto"/>
        </w:rPr>
        <w:t>If an event of default with respect to a series of Exchange Notes occurs and is continuing (other than an event of default regarding certain events of bankruptcy, insolvency or reorganization of the Issuer), then the Trustee or the holders of not less than 25% in principal amount of the Exchange Notes then outstanding of that series may declare the principal amount of and accrued and unpaid interest, if any, on all Exchange Notes of that series to be due and payable immediately, by a notice in writing to us (and to the Trustee if given by the holders), and upon such declaration such principal amount and accrued and unpaid interest, if any, shall become immediately due and payable. In the case of an event of default resulting from certain events of bankruptcy, insolvency or reorganization of the Issuer, the principal of and accrued and unpaid interest, if any, on all Exchange Notes then outstanding will become and be immediately due and payable without any declaration or other act on the part of the Trustee or any holder of Exchange Notes then outstanding. At any time after such a declaration of acceleration with respect to a series of Exchange Notes has been made and before a judgment or decree for payment of the money due has been obtained by the Trustee as provided in the Indenture, the holders of a majority in principal amount of the Exchange Notes then outstanding of that series, by written notice to us and the Trustee, may rescind and annul such a declaration and its consequences if all events of default with respect to the Exchange Notes of that series, other than the non-payment of accelerated principal and interest, if any, with respect to the Exchange Notes of that series, have been cured or waived as provided in the Indenture.</w:t>
      </w:r>
    </w:p>
    <w:p>
      <w:pPr>
        <w:spacing w:after="0" w:line="290" w:lineRule="exact"/>
        <w:rPr>
          <w:sz w:val="20"/>
          <w:szCs w:val="20"/>
          <w:color w:val="auto"/>
        </w:rPr>
      </w:pPr>
    </w:p>
    <w:p>
      <w:pPr>
        <w:ind w:left="1480" w:right="479" w:firstLine="333"/>
        <w:spacing w:after="0" w:line="247" w:lineRule="auto"/>
        <w:rPr>
          <w:sz w:val="20"/>
          <w:szCs w:val="20"/>
          <w:color w:val="auto"/>
        </w:rPr>
      </w:pPr>
      <w:r>
        <w:rPr>
          <w:rFonts w:ascii="Times New Roman" w:cs="Times New Roman" w:eastAsia="Times New Roman" w:hAnsi="Times New Roman"/>
          <w:sz w:val="14"/>
          <w:szCs w:val="14"/>
          <w:color w:val="auto"/>
        </w:rPr>
        <w:t>The Indenture provides that the Trustee shall be under no obligation to exercise any of the rights or powers vested in it by the Indenture at the request or direction of any of the holders of Exchange Notes, unless such holders have offered (and if requested, provided) the Trustee security or indemnity satisfactory to the Trustee against the costs, expenses and liabilities which might be incurred by it in compliance with such request or direction. Subject to certain rights of the Trustee, the holders of a majority in principal amount of the Exchange Notes then outstanding of the affected series shall have the right to direct the time, method and place of conducting any proceeding for any remedy available to the Trustee, or exercising any trust or power conferred on the Trustee, with respect to the Exchange Notes of such series.</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78"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19" w:firstLine="333"/>
        <w:spacing w:after="0" w:line="264" w:lineRule="auto"/>
        <w:rPr>
          <w:sz w:val="20"/>
          <w:szCs w:val="20"/>
          <w:color w:val="auto"/>
        </w:rPr>
      </w:pPr>
      <w:r>
        <w:rPr>
          <w:rFonts w:ascii="Times New Roman" w:cs="Times New Roman" w:eastAsia="Times New Roman" w:hAnsi="Times New Roman"/>
          <w:sz w:val="14"/>
          <w:szCs w:val="14"/>
          <w:color w:val="auto"/>
        </w:rPr>
        <w:t>No holder of any Exchange Note of any series has any right to institute any proceeding, judicial or otherwise, with respect to the Indenture, or for the appointment of a receiver or Trustee, or for any remedy under the Indenture, unless:</w:t>
      </w:r>
    </w:p>
    <w:p>
      <w:pPr>
        <w:spacing w:after="0" w:line="65" w:lineRule="exact"/>
        <w:rPr>
          <w:sz w:val="20"/>
          <w:szCs w:val="20"/>
          <w:color w:val="auto"/>
        </w:rPr>
      </w:pPr>
    </w:p>
    <w:p>
      <w:pPr>
        <w:ind w:left="2220" w:right="539" w:hanging="334"/>
        <w:spacing w:after="0" w:line="264" w:lineRule="auto"/>
        <w:tabs>
          <w:tab w:leader="none" w:pos="2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written notice to the Trustee of a continuing event of default with respect to the Exchange Notes of that series; and</w:t>
      </w:r>
    </w:p>
    <w:p>
      <w:pPr>
        <w:spacing w:after="0" w:line="64" w:lineRule="exact"/>
        <w:rPr>
          <w:rFonts w:ascii="Times New Roman" w:cs="Times New Roman" w:eastAsia="Times New Roman" w:hAnsi="Times New Roman"/>
          <w:sz w:val="14"/>
          <w:szCs w:val="14"/>
          <w:color w:val="auto"/>
        </w:rPr>
      </w:pPr>
    </w:p>
    <w:p>
      <w:pPr>
        <w:ind w:left="2220" w:right="359" w:hanging="334"/>
        <w:spacing w:after="0" w:line="248" w:lineRule="auto"/>
        <w:tabs>
          <w:tab w:leader="none" w:pos="2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the Exchange Notes then outstanding of that series shall have made written request to the Trustee, and offered (and if requested, provided) indemnity or security satisfactory to the Trustee, to institute proceedings in respect of such event of default in its own name as Trustee under the Indenture, and the Trustee has not received from the holders of a majority in principal amount of the Exchange Notes then outstanding of that series a direction inconsistent with such written request and has failed to institute such proceeding within 60 days after receipt of such notice, request and offer of indemnity or security.</w:t>
      </w:r>
    </w:p>
    <w:p>
      <w:pPr>
        <w:spacing w:after="0" w:line="149" w:lineRule="exact"/>
        <w:rPr>
          <w:sz w:val="20"/>
          <w:szCs w:val="20"/>
          <w:color w:val="auto"/>
        </w:rPr>
      </w:pPr>
    </w:p>
    <w:p>
      <w:pPr>
        <w:ind w:left="1480" w:right="339" w:firstLine="333"/>
        <w:spacing w:after="0" w:line="250"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the Issuer’s fiscal year, to furnish to the Trustee a statement as to compliance with the Indenture. The Indenture provides that the Trustee may withhold notice to the holders of the Exchange Notes of any default or event of default (except in payment on any Exchange Notes of that series) with respect to Exchange Notes of that series if it in good faith determines that withholding notice is in the interest of the holders of those Exchange Notes.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88" w:lineRule="exact"/>
        <w:rPr>
          <w:sz w:val="20"/>
          <w:szCs w:val="20"/>
          <w:color w:val="auto"/>
        </w:rPr>
      </w:pPr>
    </w:p>
    <w:p>
      <w:pPr>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Except as described below, we may modify and amend the Indenture and the Exchange Notes only with the consent of the holders of at least a majority in principal amount of the Exchange Notes then outstanding of a series. We may not make any modification or amendment without the consent of each holder of each affected series of Exchange Notes issued under the Indenture then outstanding if that amendment will:</w:t>
      </w:r>
    </w:p>
    <w:p>
      <w:pPr>
        <w:spacing w:after="0" w:line="71" w:lineRule="exact"/>
        <w:rPr>
          <w:sz w:val="20"/>
          <w:szCs w:val="20"/>
          <w:color w:val="auto"/>
        </w:rPr>
      </w:pPr>
    </w:p>
    <w:p>
      <w:pPr>
        <w:ind w:left="2220" w:hanging="334"/>
        <w:spacing w:after="0"/>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Exchange Notes of a series whose holders must consent to an amendment or waiver;</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Exchange Note;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premium on or change the fixed maturity of any Exchange Note;</w:t>
      </w:r>
    </w:p>
    <w:p>
      <w:pPr>
        <w:spacing w:after="0" w:line="94" w:lineRule="exact"/>
        <w:rPr>
          <w:rFonts w:ascii="Times New Roman" w:cs="Times New Roman" w:eastAsia="Times New Roman" w:hAnsi="Times New Roman"/>
          <w:sz w:val="14"/>
          <w:szCs w:val="14"/>
          <w:color w:val="auto"/>
        </w:rPr>
      </w:pPr>
    </w:p>
    <w:p>
      <w:pPr>
        <w:ind w:left="2220" w:right="499" w:hanging="334"/>
        <w:spacing w:after="0" w:line="254" w:lineRule="auto"/>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or premium and interest on, any Exchange Note (except a rescission of acceleration of Exchange Notes by the holders of at least a majority in aggregate principal amount of the Exchange Notes and a waiver of the payment default that resulted from such acceleration);</w:t>
      </w:r>
    </w:p>
    <w:p>
      <w:pPr>
        <w:spacing w:after="0" w:line="70"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premium and interest on, any Exchange Note payable in currency other than U.S. dollars;</w:t>
      </w:r>
    </w:p>
    <w:p>
      <w:pPr>
        <w:spacing w:after="0" w:line="94" w:lineRule="exact"/>
        <w:rPr>
          <w:rFonts w:ascii="Times New Roman" w:cs="Times New Roman" w:eastAsia="Times New Roman" w:hAnsi="Times New Roman"/>
          <w:sz w:val="14"/>
          <w:szCs w:val="14"/>
          <w:color w:val="auto"/>
        </w:rPr>
      </w:pPr>
    </w:p>
    <w:p>
      <w:pPr>
        <w:ind w:left="2220" w:right="559" w:hanging="334"/>
        <w:spacing w:after="0" w:line="349" w:lineRule="auto"/>
        <w:tabs>
          <w:tab w:leader="none" w:pos="22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 the contractual right to institute suit for the enforcement of any payment of the principal of, and premium and interest (including Additional Amounts) on, the Exchange Notes on or after the due dates expressed or provided for in such Exchange Notes;</w:t>
      </w:r>
    </w:p>
    <w:p>
      <w:pPr>
        <w:spacing w:after="0" w:line="17" w:lineRule="exact"/>
        <w:rPr>
          <w:rFonts w:ascii="Times New Roman" w:cs="Times New Roman" w:eastAsia="Times New Roman" w:hAnsi="Times New Roman"/>
          <w:sz w:val="12"/>
          <w:szCs w:val="12"/>
          <w:color w:val="auto"/>
        </w:rPr>
      </w:pPr>
    </w:p>
    <w:p>
      <w:pPr>
        <w:ind w:left="2220" w:hanging="334"/>
        <w:spacing w:after="0"/>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the provisions relating to waivers or amendments;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Exchange Note; provided that such redemption is made at our option; or</w:t>
      </w:r>
    </w:p>
    <w:p>
      <w:pPr>
        <w:spacing w:after="0" w:line="94" w:lineRule="exact"/>
        <w:rPr>
          <w:rFonts w:ascii="Times New Roman" w:cs="Times New Roman" w:eastAsia="Times New Roman" w:hAnsi="Times New Roman"/>
          <w:sz w:val="14"/>
          <w:szCs w:val="14"/>
          <w:color w:val="auto"/>
        </w:rPr>
      </w:pPr>
    </w:p>
    <w:p>
      <w:pPr>
        <w:jc w:val="both"/>
        <w:ind w:left="2220" w:right="419" w:hanging="334"/>
        <w:spacing w:after="0" w:line="250" w:lineRule="auto"/>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provisions of the Indenture described under “—Additional Amounts” that adversely affects the right of any holder of such Exchange Notes or amends the terms of such Exchange Notes in a way that would result in a loss of an exemption from any of the Taxes described thereunder or an exemption from any obligation to withhold or deduct Taxes so described thereunder unless the non-U.S. Payor agrees to pay Additional Amounts, if any, in respect thereof.</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78"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Except for certain specified provisions, the holders of at least a majority in principal amount of the Exchange Notes of a series may on behalf of the holders of all Exchange Notes of such series waive our compliance with provisions of the Indenture. The holders of a majority in principal amount of the Exchange Notes may on behalf of the holders of all Exchange Notes waive any past default under the Indenture with respect to the Exchange Notes and its consequences, except a default in the payment of the principal of, or premium and any interest on, the Exchange Notes; provided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however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that the holders of a majority in principal amount of the Exchange Notes then outstanding of a series may rescind an acceleration and its consequences, including any related payment default that resulted from the acceleration.</w:t>
      </w:r>
    </w:p>
    <w:p>
      <w:pPr>
        <w:spacing w:after="0" w:line="150" w:lineRule="exact"/>
        <w:rPr>
          <w:sz w:val="20"/>
          <w:szCs w:val="20"/>
          <w:color w:val="auto"/>
        </w:rPr>
      </w:pPr>
    </w:p>
    <w:p>
      <w:pPr>
        <w:ind w:left="1480" w:right="399" w:firstLine="333"/>
        <w:spacing w:after="0" w:line="264" w:lineRule="auto"/>
        <w:rPr>
          <w:sz w:val="20"/>
          <w:szCs w:val="20"/>
          <w:color w:val="auto"/>
        </w:rPr>
      </w:pPr>
      <w:r>
        <w:rPr>
          <w:rFonts w:ascii="Times New Roman" w:cs="Times New Roman" w:eastAsia="Times New Roman" w:hAnsi="Times New Roman"/>
          <w:sz w:val="14"/>
          <w:szCs w:val="14"/>
          <w:color w:val="auto"/>
        </w:rPr>
        <w:t>Notwithstanding the foregoing, without the consent of any holder of Exchange Notes, we and the Trustee may modify and amend the Indenture or the Exchange Notes to:</w:t>
      </w:r>
    </w:p>
    <w:p>
      <w:pPr>
        <w:spacing w:after="0" w:line="65" w:lineRule="exact"/>
        <w:rPr>
          <w:sz w:val="20"/>
          <w:szCs w:val="20"/>
          <w:color w:val="auto"/>
        </w:rPr>
      </w:pPr>
    </w:p>
    <w:p>
      <w:pPr>
        <w:ind w:left="2220" w:right="519" w:hanging="334"/>
        <w:spacing w:after="0" w:line="349" w:lineRule="auto"/>
        <w:tabs>
          <w:tab w:leader="none" w:pos="22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cure any ambiguity, to correct any mistake, to correct or supplement any provision in the Indenture that may be defective or inconsistent with any other provision in the Indenture, or to make other provisions in regard to matters or questions arising under the Indenture;</w:t>
      </w:r>
    </w:p>
    <w:p>
      <w:pPr>
        <w:spacing w:after="0" w:line="17" w:lineRule="exact"/>
        <w:rPr>
          <w:rFonts w:ascii="Times New Roman" w:cs="Times New Roman" w:eastAsia="Times New Roman" w:hAnsi="Times New Roman"/>
          <w:sz w:val="12"/>
          <w:szCs w:val="12"/>
          <w:color w:val="auto"/>
        </w:rPr>
      </w:pPr>
    </w:p>
    <w:p>
      <w:pPr>
        <w:ind w:left="2220" w:right="459" w:hanging="334"/>
        <w:spacing w:after="0" w:line="264" w:lineRule="auto"/>
        <w:tabs>
          <w:tab w:leader="none" w:pos="2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that another person has become a successor of the Issuer and that the successor assumes the Issuer’s covenants, agreements, and obligations in the Indenture and in the Exchange Notes in accordance with the Indenture;</w:t>
      </w:r>
    </w:p>
    <w:p>
      <w:pPr>
        <w:spacing w:after="0" w:line="64" w:lineRule="exact"/>
        <w:rPr>
          <w:rFonts w:ascii="Times New Roman" w:cs="Times New Roman" w:eastAsia="Times New Roman" w:hAnsi="Times New Roman"/>
          <w:sz w:val="14"/>
          <w:szCs w:val="14"/>
          <w:color w:val="auto"/>
        </w:rPr>
      </w:pPr>
    </w:p>
    <w:p>
      <w:pPr>
        <w:ind w:left="2220" w:right="519" w:hanging="334"/>
        <w:spacing w:after="0" w:line="264" w:lineRule="auto"/>
        <w:tabs>
          <w:tab w:leader="none" w:pos="2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surrender any of the Issuer’s rights or powers under the Indenture or add to the Issuer’s covenants further covenants for the protection of the holders of all or any series of Exchange Notes;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any additional events of default for the benefit of the holders of all or any series of Exchange Notes;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 any provision in the Indenture to this “Description of Exchange Notes”;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the Exchange Notes;</w:t>
      </w:r>
    </w:p>
    <w:p>
      <w:pPr>
        <w:spacing w:after="0" w:line="94" w:lineRule="exact"/>
        <w:rPr>
          <w:rFonts w:ascii="Times New Roman" w:cs="Times New Roman" w:eastAsia="Times New Roman" w:hAnsi="Times New Roman"/>
          <w:sz w:val="14"/>
          <w:szCs w:val="14"/>
          <w:color w:val="auto"/>
        </w:rPr>
      </w:pPr>
    </w:p>
    <w:p>
      <w:pPr>
        <w:ind w:left="2220" w:right="739" w:hanging="334"/>
        <w:spacing w:after="0" w:line="264" w:lineRule="auto"/>
        <w:tabs>
          <w:tab w:leader="none" w:pos="2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uncertificated Exchange Notes in addition to or in place of certificated Exchange Notes (provided, that the uncertificated Exchange Notes are issued in registered form for purposes of Section 163(f) of the Code);</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that does not adversely affect the rights of any holder of Exchange Notes;</w:t>
      </w:r>
    </w:p>
    <w:p>
      <w:pPr>
        <w:spacing w:after="0" w:line="94" w:lineRule="exact"/>
        <w:rPr>
          <w:rFonts w:ascii="Times New Roman" w:cs="Times New Roman" w:eastAsia="Times New Roman" w:hAnsi="Times New Roman"/>
          <w:sz w:val="14"/>
          <w:szCs w:val="14"/>
          <w:color w:val="auto"/>
        </w:rPr>
      </w:pPr>
    </w:p>
    <w:p>
      <w:pPr>
        <w:jc w:val="both"/>
        <w:ind w:left="2220" w:right="539" w:hanging="334"/>
        <w:spacing w:after="0" w:line="254" w:lineRule="auto"/>
        <w:tabs>
          <w:tab w:leader="none" w:pos="2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and provide for the acceptance of appointment of a successor trustee with respect to the Exchange Notes and add to or change any provisions of the Indenture as necessary to provide for or facilitate the administration of the trusts under the Indenture by more than one trustee; or</w:t>
      </w:r>
    </w:p>
    <w:p>
      <w:pPr>
        <w:spacing w:after="0" w:line="70"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the requirements of the SEC in order to effect or maintain the qualification of the Indenture under the Trust Indenture Act.</w:t>
      </w:r>
    </w:p>
    <w:p>
      <w:pPr>
        <w:spacing w:after="0" w:line="2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Defeasance and Discharge</w:t>
      </w:r>
    </w:p>
    <w:p>
      <w:pPr>
        <w:spacing w:after="0" w:line="86" w:lineRule="exact"/>
        <w:rPr>
          <w:sz w:val="20"/>
          <w:szCs w:val="20"/>
          <w:color w:val="auto"/>
        </w:rPr>
      </w:pPr>
    </w:p>
    <w:p>
      <w:pPr>
        <w:ind w:left="1480" w:right="479" w:firstLine="333"/>
        <w:spacing w:after="0" w:line="247" w:lineRule="auto"/>
        <w:rPr>
          <w:sz w:val="20"/>
          <w:szCs w:val="20"/>
          <w:color w:val="auto"/>
        </w:rPr>
      </w:pP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 The Indenture provides that we may be discharged from any and all obligations in respect of the Exchange Notes (except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certain obligations to register the transfer or exchange of the Exchange Notes, to replace stolen, lost or mutilated Exchange Notes, and to maintain paying agencies and certain provisions relating to the treatment of funds held by paying agents). We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premium and interest on and any mandatory sinking fund payments in respect of the Exchange Notes on the stated maturity of those payments in accordance with the terms of the Indenture and the Exchange Notes.</w:t>
      </w:r>
    </w:p>
    <w:p>
      <w:pPr>
        <w:spacing w:after="0" w:line="149" w:lineRule="exact"/>
        <w:rPr>
          <w:sz w:val="20"/>
          <w:szCs w:val="20"/>
          <w:color w:val="auto"/>
        </w:rPr>
      </w:pPr>
    </w:p>
    <w:p>
      <w:pPr>
        <w:ind w:left="1480" w:right="439" w:firstLine="333"/>
        <w:spacing w:after="0" w:line="264"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U.S. Internal Revenue Service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78"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19"/>
        <w:spacing w:after="0" w:line="305" w:lineRule="auto"/>
        <w:rPr>
          <w:sz w:val="20"/>
          <w:szCs w:val="20"/>
          <w:color w:val="auto"/>
        </w:rPr>
      </w:pPr>
      <w:r>
        <w:rPr>
          <w:rFonts w:ascii="Times New Roman" w:cs="Times New Roman" w:eastAsia="Times New Roman" w:hAnsi="Times New Roman"/>
          <w:sz w:val="12"/>
          <w:szCs w:val="12"/>
          <w:color w:val="auto"/>
        </w:rPr>
        <w:t>(“IRS”) a ruling or, since the date of execution of the Indenture, there has been a change in the applicable U.S. federal income tax law, in either case to the effect that, and based thereon such opinion shall confirm that, the holders and beneficial owners of the Exchange Notes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11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Defeasance of Certain Covenants</w:t>
      </w:r>
      <w:r>
        <w:rPr>
          <w:rFonts w:ascii="Times New Roman" w:cs="Times New Roman" w:eastAsia="Times New Roman" w:hAnsi="Times New Roman"/>
          <w:sz w:val="14"/>
          <w:szCs w:val="14"/>
          <w:color w:val="auto"/>
        </w:rPr>
        <w:t>. The Indenture provides that upon compliance with certain conditions:</w:t>
      </w:r>
    </w:p>
    <w:p>
      <w:pPr>
        <w:spacing w:after="0" w:line="96" w:lineRule="exact"/>
        <w:rPr>
          <w:sz w:val="20"/>
          <w:szCs w:val="20"/>
          <w:color w:val="auto"/>
        </w:rPr>
      </w:pPr>
    </w:p>
    <w:p>
      <w:pPr>
        <w:ind w:left="2220" w:hanging="334"/>
        <w:spacing w:after="0"/>
        <w:tabs>
          <w:tab w:leader="none" w:pos="2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omit to comply with most covenants set forth in the Indenture; and</w:t>
      </w:r>
    </w:p>
    <w:p>
      <w:pPr>
        <w:spacing w:after="0" w:line="94" w:lineRule="exact"/>
        <w:rPr>
          <w:rFonts w:ascii="Times New Roman" w:cs="Times New Roman" w:eastAsia="Times New Roman" w:hAnsi="Times New Roman"/>
          <w:sz w:val="14"/>
          <w:szCs w:val="14"/>
          <w:color w:val="auto"/>
        </w:rPr>
      </w:pPr>
    </w:p>
    <w:p>
      <w:pPr>
        <w:ind w:left="2220" w:right="599" w:hanging="334"/>
        <w:spacing w:after="0" w:line="264" w:lineRule="auto"/>
        <w:tabs>
          <w:tab w:leader="none" w:pos="2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Exchange Notes, or covenant defeasance.</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conditions include:</w:t>
      </w:r>
    </w:p>
    <w:p>
      <w:pPr>
        <w:spacing w:after="0" w:line="94" w:lineRule="exact"/>
        <w:rPr>
          <w:sz w:val="20"/>
          <w:szCs w:val="20"/>
          <w:color w:val="auto"/>
        </w:rPr>
      </w:pPr>
    </w:p>
    <w:p>
      <w:pPr>
        <w:ind w:left="2220" w:right="519" w:hanging="334"/>
        <w:spacing w:after="0" w:line="248" w:lineRule="auto"/>
        <w:tabs>
          <w:tab w:leader="none" w:pos="2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Exchange Notes on the stated maturity of those payments in accordance with the terms of the Indenture and the Exchange Notes; and</w:t>
      </w:r>
    </w:p>
    <w:p>
      <w:pPr>
        <w:spacing w:after="0" w:line="77" w:lineRule="exact"/>
        <w:rPr>
          <w:rFonts w:ascii="Times New Roman" w:cs="Times New Roman" w:eastAsia="Times New Roman" w:hAnsi="Times New Roman"/>
          <w:sz w:val="14"/>
          <w:szCs w:val="14"/>
          <w:color w:val="auto"/>
        </w:rPr>
      </w:pPr>
    </w:p>
    <w:p>
      <w:pPr>
        <w:ind w:left="2220" w:right="479" w:hanging="334"/>
        <w:spacing w:after="0" w:line="250" w:lineRule="auto"/>
        <w:tabs>
          <w:tab w:leader="none" w:pos="2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the holders and beneficial owners of the Exchange Notes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88" w:lineRule="exact"/>
        <w:rPr>
          <w:sz w:val="20"/>
          <w:szCs w:val="20"/>
          <w:color w:val="auto"/>
        </w:rPr>
      </w:pPr>
    </w:p>
    <w:p>
      <w:pPr>
        <w:ind w:left="1480" w:right="439" w:firstLine="333"/>
        <w:spacing w:after="0" w:line="264" w:lineRule="auto"/>
        <w:rPr>
          <w:sz w:val="20"/>
          <w:szCs w:val="20"/>
          <w:color w:val="auto"/>
        </w:rPr>
      </w:pPr>
      <w:r>
        <w:rPr>
          <w:rFonts w:ascii="Times New Roman" w:cs="Times New Roman" w:eastAsia="Times New Roman" w:hAnsi="Times New Roman"/>
          <w:sz w:val="14"/>
          <w:szCs w:val="14"/>
          <w:color w:val="auto"/>
        </w:rPr>
        <w:t>The Indenture will be discharged and cease to be of any further effect (except as to the surviving rights of the Trustee and the Issuer’s obligations in connection therewith, as expressly provided for in the Indenture) as to all Exchange Notes then outstanding of any series if:</w:t>
      </w:r>
    </w:p>
    <w:p>
      <w:pPr>
        <w:spacing w:after="0" w:line="65" w:lineRule="exact"/>
        <w:rPr>
          <w:sz w:val="20"/>
          <w:szCs w:val="20"/>
          <w:color w:val="auto"/>
        </w:rPr>
      </w:pPr>
    </w:p>
    <w:p>
      <w:pPr>
        <w:ind w:left="2220" w:hanging="334"/>
        <w:spacing w:after="0"/>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for cancellation all Exchange Notes of that series (with certain limited exceptions); or</w:t>
      </w:r>
    </w:p>
    <w:p>
      <w:pPr>
        <w:spacing w:after="0" w:line="94" w:lineRule="exact"/>
        <w:rPr>
          <w:rFonts w:ascii="Times New Roman" w:cs="Times New Roman" w:eastAsia="Times New Roman" w:hAnsi="Times New Roman"/>
          <w:sz w:val="14"/>
          <w:szCs w:val="14"/>
          <w:color w:val="auto"/>
        </w:rPr>
      </w:pPr>
    </w:p>
    <w:p>
      <w:pPr>
        <w:ind w:left="2220" w:right="459" w:hanging="334"/>
        <w:spacing w:after="0" w:line="250" w:lineRule="auto"/>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Exchange Notes of that series not previously delivered to the Trustee for cancellation have become due and payable, will become due and payable within one year, or are to be called for redemption within one year under arrangements satisfactory to the Trustee, and in any such case we have deposited with the Trustee as trust funds the entire amount sufficient to pay at maturity or upon redemption all of the principal, premium and interest due with respect to those Exchange Notes;</w:t>
      </w:r>
    </w:p>
    <w:p>
      <w:pPr>
        <w:spacing w:after="0" w:line="146" w:lineRule="exact"/>
        <w:rPr>
          <w:sz w:val="20"/>
          <w:szCs w:val="20"/>
          <w:color w:val="auto"/>
        </w:rPr>
      </w:pPr>
    </w:p>
    <w:p>
      <w:pPr>
        <w:ind w:left="1480" w:right="479"/>
        <w:spacing w:after="0" w:line="264" w:lineRule="auto"/>
        <w:rPr>
          <w:sz w:val="20"/>
          <w:szCs w:val="20"/>
          <w:color w:val="auto"/>
        </w:rPr>
      </w:pPr>
      <w:r>
        <w:rPr>
          <w:rFonts w:ascii="Times New Roman" w:cs="Times New Roman" w:eastAsia="Times New Roman" w:hAnsi="Times New Roman"/>
          <w:sz w:val="14"/>
          <w:szCs w:val="14"/>
          <w:color w:val="auto"/>
        </w:rPr>
        <w:t>and if, in either case, we also pay or cause to be paid all other sums payable under the Indenture by us and deliver to the Trustee an officer’s certificate and opinion of counsel stating that all conditions precedent to the satisfaction and discharge of the Indenture have been complied with.</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p>
      <w:pPr>
        <w:spacing w:after="0" w:line="88" w:lineRule="exact"/>
        <w:rPr>
          <w:sz w:val="20"/>
          <w:szCs w:val="20"/>
          <w:color w:val="auto"/>
        </w:rPr>
      </w:pPr>
    </w:p>
    <w:p>
      <w:pPr>
        <w:ind w:left="1480" w:right="619" w:firstLine="333"/>
        <w:spacing w:after="0" w:line="264" w:lineRule="auto"/>
        <w:rPr>
          <w:sz w:val="20"/>
          <w:szCs w:val="20"/>
          <w:color w:val="auto"/>
        </w:rPr>
      </w:pPr>
      <w:r>
        <w:rPr>
          <w:rFonts w:ascii="Times New Roman" w:cs="Times New Roman" w:eastAsia="Times New Roman" w:hAnsi="Times New Roman"/>
          <w:sz w:val="14"/>
          <w:szCs w:val="14"/>
          <w:color w:val="auto"/>
        </w:rPr>
        <w:t>The Exchange Notes will be issued in registered, global form in minimum denominations of $2,000 and integral multiples of $1,000 in excess thereof. The Outstanding Notes were issued only against payment in immediately available funds.</w:t>
      </w:r>
    </w:p>
    <w:p>
      <w:pPr>
        <w:spacing w:after="0" w:line="136" w:lineRule="exact"/>
        <w:rPr>
          <w:sz w:val="20"/>
          <w:szCs w:val="20"/>
          <w:color w:val="auto"/>
        </w:rPr>
      </w:pPr>
    </w:p>
    <w:p>
      <w:pPr>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The global notes will be deposited upon issuance with the Trustee as custodian for DTC, and registered in the name of DTC or its nominee in each case for credit to an account of a direct or indirect participant in DTC as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78"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described below. Global notes may be transferred, in whole and not in part, only to another nominee of DTC or to a successor of DTC or its nominee.</w:t>
      </w:r>
    </w:p>
    <w:p>
      <w:pPr>
        <w:spacing w:after="0" w:line="189" w:lineRule="exact"/>
        <w:rPr>
          <w:sz w:val="20"/>
          <w:szCs w:val="20"/>
          <w:color w:val="auto"/>
        </w:rPr>
      </w:pPr>
    </w:p>
    <w:p>
      <w:pPr>
        <w:jc w:val="both"/>
        <w:ind w:left="1480" w:right="499" w:firstLine="333"/>
        <w:spacing w:after="0" w:line="316" w:lineRule="auto"/>
        <w:rPr>
          <w:sz w:val="20"/>
          <w:szCs w:val="20"/>
          <w:color w:val="auto"/>
        </w:rPr>
      </w:pPr>
      <w:r>
        <w:rPr>
          <w:rFonts w:ascii="Times New Roman" w:cs="Times New Roman" w:eastAsia="Times New Roman" w:hAnsi="Times New Roman"/>
          <w:sz w:val="12"/>
          <w:szCs w:val="12"/>
          <w:color w:val="auto"/>
        </w:rPr>
        <w:t>Beneficial interests in the global notes may be held through the Euroclear System (“Euroclear”) and Clearstream Banking, S.A. (“Clearstream”) (as indirect participants in DTC). Beneficial interests in the global notes may not be exchanged for Exchange Notes in certificated form (“certificated notes”) except in the limited circumstances described below. See “—Exchange of Global Notes for Certificated Notes.”</w:t>
      </w:r>
    </w:p>
    <w:p>
      <w:pPr>
        <w:spacing w:after="0" w:line="109" w:lineRule="exact"/>
        <w:rPr>
          <w:sz w:val="20"/>
          <w:szCs w:val="20"/>
          <w:color w:val="auto"/>
        </w:rPr>
      </w:pPr>
    </w:p>
    <w:p>
      <w:pPr>
        <w:ind w:left="1480" w:right="879" w:firstLine="333"/>
        <w:spacing w:after="0" w:line="264" w:lineRule="auto"/>
        <w:rPr>
          <w:sz w:val="20"/>
          <w:szCs w:val="20"/>
          <w:color w:val="auto"/>
        </w:rPr>
      </w:pPr>
      <w:r>
        <w:rPr>
          <w:rFonts w:ascii="Times New Roman" w:cs="Times New Roman" w:eastAsia="Times New Roman" w:hAnsi="Times New Roman"/>
          <w:sz w:val="14"/>
          <w:szCs w:val="14"/>
          <w:color w:val="auto"/>
        </w:rPr>
        <w:t>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Exchange of Global Notes for Certificated Notes</w:t>
      </w:r>
    </w:p>
    <w:p>
      <w:pPr>
        <w:spacing w:after="0" w:line="88" w:lineRule="exact"/>
        <w:rPr>
          <w:sz w:val="20"/>
          <w:szCs w:val="20"/>
          <w:color w:val="auto"/>
        </w:rPr>
      </w:pPr>
    </w:p>
    <w:p>
      <w:pPr>
        <w:ind w:left="1480" w:right="439" w:firstLine="333"/>
        <w:spacing w:after="0" w:line="264" w:lineRule="auto"/>
        <w:rPr>
          <w:sz w:val="20"/>
          <w:szCs w:val="20"/>
          <w:color w:val="auto"/>
        </w:rPr>
      </w:pPr>
      <w:r>
        <w:rPr>
          <w:rFonts w:ascii="Times New Roman" w:cs="Times New Roman" w:eastAsia="Times New Roman" w:hAnsi="Times New Roman"/>
          <w:sz w:val="14"/>
          <w:szCs w:val="14"/>
          <w:color w:val="auto"/>
        </w:rPr>
        <w:t>The global notes are exchangeable for certificated notes in definitive, fully registered form without interest coupons only in the following limited circumstances:</w:t>
      </w:r>
    </w:p>
    <w:p>
      <w:pPr>
        <w:spacing w:after="0" w:line="65" w:lineRule="exact"/>
        <w:rPr>
          <w:sz w:val="20"/>
          <w:szCs w:val="20"/>
          <w:color w:val="auto"/>
        </w:rPr>
      </w:pPr>
    </w:p>
    <w:p>
      <w:pPr>
        <w:ind w:left="2220" w:right="439" w:hanging="334"/>
        <w:spacing w:after="0" w:line="254" w:lineRule="auto"/>
        <w:tabs>
          <w:tab w:leader="none" w:pos="2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(1) notifies us that it is unwilling or unable to act as a depositary for such global note or (2) ceases to be a clearing agency registered under the Exchange Act, and, in either case, we fail to appoint a successor depositary registered as a clearing agency under the Exchange Act within 90 days; or</w:t>
      </w:r>
    </w:p>
    <w:p>
      <w:pPr>
        <w:spacing w:after="0" w:line="70"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at our option, notify the Trustee in writing that we elect to cause the issuance of the certificated notes.</w:t>
      </w:r>
    </w:p>
    <w:p>
      <w:pPr>
        <w:spacing w:after="0" w:line="166" w:lineRule="exact"/>
        <w:rPr>
          <w:sz w:val="20"/>
          <w:szCs w:val="20"/>
          <w:color w:val="auto"/>
        </w:rPr>
      </w:pPr>
    </w:p>
    <w:p>
      <w:pPr>
        <w:ind w:left="1480" w:right="539" w:firstLine="333"/>
        <w:spacing w:after="0" w:line="264" w:lineRule="auto"/>
        <w:rPr>
          <w:sz w:val="20"/>
          <w:szCs w:val="20"/>
          <w:color w:val="auto"/>
        </w:rPr>
      </w:pPr>
      <w:r>
        <w:rPr>
          <w:rFonts w:ascii="Times New Roman" w:cs="Times New Roman" w:eastAsia="Times New Roman" w:hAnsi="Times New Roman"/>
          <w:sz w:val="14"/>
          <w:szCs w:val="14"/>
          <w:color w:val="auto"/>
        </w:rPr>
        <w:t>In all cases, certificated notes delivered in exchange for any global notes or beneficial interests therein will be registered in such names as DTC shall direct in writing in an aggregate principal amount equal to the principal amount of the global notes with like tenor and terms.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Depositary Procedures</w:t>
      </w:r>
    </w:p>
    <w:p>
      <w:pPr>
        <w:spacing w:after="0" w:line="88" w:lineRule="exact"/>
        <w:rPr>
          <w:sz w:val="20"/>
          <w:szCs w:val="20"/>
          <w:color w:val="auto"/>
        </w:rPr>
      </w:pPr>
    </w:p>
    <w:p>
      <w:pPr>
        <w:jc w:val="both"/>
        <w:ind w:left="1480" w:right="519" w:firstLine="333"/>
        <w:spacing w:after="0" w:line="316" w:lineRule="auto"/>
        <w:rPr>
          <w:sz w:val="20"/>
          <w:szCs w:val="20"/>
          <w:color w:val="auto"/>
        </w:rPr>
      </w:pPr>
      <w:r>
        <w:rPr>
          <w:rFonts w:ascii="Times New Roman" w:cs="Times New Roman" w:eastAsia="Times New Roman" w:hAnsi="Times New Roman"/>
          <w:sz w:val="12"/>
          <w:szCs w:val="12"/>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We do not take any responsibility for these operations and procedures and urge investors to contact the system or their participants directly to discuss these matters.</w:t>
      </w:r>
    </w:p>
    <w:p>
      <w:pPr>
        <w:spacing w:after="0" w:line="109" w:lineRule="exact"/>
        <w:rPr>
          <w:sz w:val="20"/>
          <w:szCs w:val="20"/>
          <w:color w:val="auto"/>
        </w:rPr>
      </w:pPr>
    </w:p>
    <w:p>
      <w:pPr>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DTC has advised us that DTC is a limited-purpose trust company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5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DTC has also advised us that, pursuant to procedures established by it:</w:t>
      </w:r>
    </w:p>
    <w:p>
      <w:pPr>
        <w:spacing w:after="0" w:line="94" w:lineRule="exact"/>
        <w:rPr>
          <w:sz w:val="20"/>
          <w:szCs w:val="20"/>
          <w:color w:val="auto"/>
        </w:rPr>
      </w:pPr>
    </w:p>
    <w:p>
      <w:pPr>
        <w:ind w:left="2220" w:right="499" w:hanging="334"/>
        <w:spacing w:after="0" w:line="264"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deposit of the global notes, DTC will credit the accounts of the Participants designated by the Trustee with portions of the principal amount of the global notes; and</w:t>
      </w:r>
    </w:p>
    <w:p>
      <w:pPr>
        <w:spacing w:after="0" w:line="64" w:lineRule="exact"/>
        <w:rPr>
          <w:rFonts w:ascii="Times New Roman" w:cs="Times New Roman" w:eastAsia="Times New Roman" w:hAnsi="Times New Roman"/>
          <w:sz w:val="14"/>
          <w:szCs w:val="14"/>
          <w:color w:val="auto"/>
        </w:rPr>
      </w:pPr>
    </w:p>
    <w:p>
      <w:pPr>
        <w:ind w:left="2220" w:right="499" w:hanging="334"/>
        <w:spacing w:after="0" w:line="254"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78"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that are Participants in such system. Euroclear and Clearstream will hold interests in the global notes on behalf of their participants through customers’ securities accounts in their respective names on the books of their respective depositories, which are Euroclear Bank S.A./N.V., as operator of Euroclear, and Citibank, N.A., as operator of Clearstream. All interests in a global note, including those held through Euroclear or Clearstream, may be subject to the procedures and requirements of DTC.</w:t>
      </w:r>
    </w:p>
    <w:p>
      <w:pPr>
        <w:spacing w:after="0" w:line="15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Those interests held through Euroclear or Clearstream may also be subject to the procedures and requirements of such systems.</w:t>
      </w:r>
    </w:p>
    <w:p>
      <w:pPr>
        <w:spacing w:after="0" w:line="166" w:lineRule="exact"/>
        <w:rPr>
          <w:sz w:val="20"/>
          <w:szCs w:val="20"/>
          <w:color w:val="auto"/>
        </w:rPr>
      </w:pPr>
    </w:p>
    <w:p>
      <w:pPr>
        <w:ind w:left="1480" w:right="419" w:firstLine="333"/>
        <w:spacing w:after="0" w:line="248" w:lineRule="auto"/>
        <w:rPr>
          <w:sz w:val="20"/>
          <w:szCs w:val="20"/>
          <w:color w:val="auto"/>
        </w:rPr>
      </w:pPr>
      <w:r>
        <w:rPr>
          <w:rFonts w:ascii="Times New Roman" w:cs="Times New Roman" w:eastAsia="Times New Roman" w:hAnsi="Times New Roman"/>
          <w:sz w:val="14"/>
          <w:szCs w:val="14"/>
          <w:color w:val="auto"/>
        </w:rPr>
        <w:t>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45" w:lineRule="exact"/>
        <w:rPr>
          <w:sz w:val="20"/>
          <w:szCs w:val="20"/>
          <w:color w:val="auto"/>
        </w:rPr>
      </w:pPr>
    </w:p>
    <w:p>
      <w:pPr>
        <w:ind w:left="1480" w:right="499" w:firstLine="333"/>
        <w:spacing w:after="0" w:line="257" w:lineRule="auto"/>
        <w:rPr>
          <w:sz w:val="20"/>
          <w:szCs w:val="20"/>
          <w:color w:val="auto"/>
        </w:rPr>
      </w:pPr>
      <w:r>
        <w:rPr>
          <w:rFonts w:ascii="Times New Roman" w:cs="Times New Roman" w:eastAsia="Times New Roman" w:hAnsi="Times New Roman"/>
          <w:sz w:val="14"/>
          <w:szCs w:val="14"/>
          <w:b w:val="1"/>
          <w:bCs w:val="1"/>
          <w:color w:val="auto"/>
        </w:rPr>
        <w:t>Except as described above, owners of beneficial interests in the global notes will not have Exchange Notes registered in their names, will not receive physical delivery of Exchange Notes in certificated form and will not be considered the registered owners or “Holders” thereof under the Indenture for any purpose.</w:t>
      </w:r>
    </w:p>
    <w:p>
      <w:pPr>
        <w:spacing w:after="0" w:line="140"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Payments in respect of the principal of, and interest, additional interest and premium, if any, on a global note registered in the name of DTC or its nominee will be payable to DTC in its capacity as the registered holder of the Exchange Notes under the Indenture. Under the terms of the Indenture, we and the Trustee will treat the persons in whose names the Exchange Notes, including the global notes, are registered as the owners of the Exchange Notes for the purpose of receiving payments and for all other purposes. Consequently, neither we nor the Trustee nor any of our respective agents has or will have any responsibility or liability for:</w:t>
      </w:r>
    </w:p>
    <w:p>
      <w:pPr>
        <w:spacing w:after="0" w:line="77" w:lineRule="exact"/>
        <w:rPr>
          <w:sz w:val="20"/>
          <w:szCs w:val="20"/>
          <w:color w:val="auto"/>
        </w:rPr>
      </w:pPr>
    </w:p>
    <w:p>
      <w:pPr>
        <w:jc w:val="both"/>
        <w:ind w:left="2220" w:right="499" w:hanging="334"/>
        <w:spacing w:after="0" w:line="254" w:lineRule="auto"/>
        <w:tabs>
          <w:tab w:leader="none" w:pos="2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w:t>
      </w:r>
    </w:p>
    <w:p>
      <w:pPr>
        <w:spacing w:after="0" w:line="70"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matter relating to the actions and practices of DTC or any of its Participants or Indirect Participants.</w:t>
      </w:r>
    </w:p>
    <w:p>
      <w:pPr>
        <w:spacing w:after="0" w:line="166" w:lineRule="exact"/>
        <w:rPr>
          <w:sz w:val="20"/>
          <w:szCs w:val="20"/>
          <w:color w:val="auto"/>
        </w:rPr>
      </w:pPr>
    </w:p>
    <w:p>
      <w:pPr>
        <w:ind w:left="1480" w:right="379" w:firstLine="333"/>
        <w:spacing w:after="0" w:line="246" w:lineRule="auto"/>
        <w:rPr>
          <w:sz w:val="20"/>
          <w:szCs w:val="20"/>
          <w:color w:val="auto"/>
        </w:rPr>
      </w:pPr>
      <w:r>
        <w:rPr>
          <w:rFonts w:ascii="Times New Roman" w:cs="Times New Roman" w:eastAsia="Times New Roman" w:hAnsi="Times New Roman"/>
          <w:sz w:val="14"/>
          <w:szCs w:val="14"/>
          <w:color w:val="auto"/>
        </w:rPr>
        <w:t>DTC’s current practice, upon receipt of any payment in respect of securities such as the Exchange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Exchange Notes will be governed by standing instructions and customary practices and will be the responsibility of the Participants or the Indirect Participants and will not be the responsibility of DTC, the Trustee or us. Neither we nor the Trustee will be liable for any delay by DTC or any of the Participants or the Indirect Participants in identifying the beneficial owners of the Exchange Notes, and we and the Trustee may conclusively rely on and will be protected in relying on instructions from DTC or its nominee for all purposes.</w:t>
      </w:r>
    </w:p>
    <w:p>
      <w:pPr>
        <w:spacing w:after="0" w:line="150" w:lineRule="exact"/>
        <w:rPr>
          <w:sz w:val="20"/>
          <w:szCs w:val="20"/>
          <w:color w:val="auto"/>
        </w:rPr>
      </w:pPr>
    </w:p>
    <w:p>
      <w:pPr>
        <w:ind w:left="1480" w:right="679" w:firstLine="333"/>
        <w:spacing w:after="0" w:line="349" w:lineRule="auto"/>
        <w:rPr>
          <w:sz w:val="20"/>
          <w:szCs w:val="20"/>
          <w:color w:val="auto"/>
        </w:rPr>
      </w:pPr>
      <w:r>
        <w:rPr>
          <w:rFonts w:ascii="Times New Roman" w:cs="Times New Roman" w:eastAsia="Times New Roman" w:hAnsi="Times New Roman"/>
          <w:sz w:val="12"/>
          <w:szCs w:val="12"/>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78"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19" w:firstLine="333"/>
        <w:spacing w:after="0" w:line="246" w:lineRule="auto"/>
        <w:rPr>
          <w:sz w:val="20"/>
          <w:szCs w:val="20"/>
          <w:color w:val="auto"/>
        </w:rPr>
      </w:pPr>
      <w:r>
        <w:rPr>
          <w:rFonts w:ascii="Times New Roman" w:cs="Times New Roman" w:eastAsia="Times New Roman" w:hAnsi="Times New Roman"/>
          <w:sz w:val="14"/>
          <w:szCs w:val="14"/>
          <w:color w:val="auto"/>
        </w:rPr>
        <w:t>Cross-market transfers between the Participants in DTC, on the one hand, and Euroclear or Clearstream participants, on the other hand, will be effected through DTC in accordance with DTC’s rules on behalf of Euroclear or Clearstream, as the case may be, by their respective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50" w:lineRule="exact"/>
        <w:rPr>
          <w:sz w:val="20"/>
          <w:szCs w:val="20"/>
          <w:color w:val="auto"/>
        </w:rPr>
      </w:pPr>
    </w:p>
    <w:p>
      <w:pPr>
        <w:ind w:left="1480" w:right="399" w:firstLine="333"/>
        <w:spacing w:after="0" w:line="305" w:lineRule="auto"/>
        <w:rPr>
          <w:sz w:val="20"/>
          <w:szCs w:val="20"/>
          <w:color w:val="auto"/>
        </w:rPr>
      </w:pPr>
      <w:r>
        <w:rPr>
          <w:rFonts w:ascii="Times New Roman" w:cs="Times New Roman" w:eastAsia="Times New Roman" w:hAnsi="Times New Roman"/>
          <w:sz w:val="12"/>
          <w:szCs w:val="12"/>
          <w:color w:val="auto"/>
        </w:rPr>
        <w:t>DTC has advised us that it will take any action permitted to be taken by a holder of Exchange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Exchange Notes, DTC reserves the right to exchange the global notes for certificated notes, and to distribute such Exchange Notes to the Participants.</w:t>
      </w:r>
    </w:p>
    <w:p>
      <w:pPr>
        <w:spacing w:after="0" w:line="116"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Neither we nor the Trustee nor any of our respective agents (including, without limitation, the Exchange Agent) will have any responsibility for the performance by DTC, Euroclear or Clearstream or their respective participants or indirect participants of their respective obligations under the rules and procedures governing their operations.</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Payment and Paying Agents</w:t>
      </w:r>
    </w:p>
    <w:p>
      <w:pPr>
        <w:spacing w:after="0" w:line="88" w:lineRule="exact"/>
        <w:rPr>
          <w:sz w:val="20"/>
          <w:szCs w:val="20"/>
          <w:color w:val="auto"/>
        </w:rPr>
      </w:pPr>
    </w:p>
    <w:p>
      <w:pPr>
        <w:ind w:left="1480" w:right="399" w:firstLine="333"/>
        <w:spacing w:after="0" w:line="248" w:lineRule="auto"/>
        <w:rPr>
          <w:sz w:val="20"/>
          <w:szCs w:val="20"/>
          <w:color w:val="auto"/>
        </w:rPr>
      </w:pPr>
      <w:r>
        <w:rPr>
          <w:rFonts w:ascii="Times New Roman" w:cs="Times New Roman" w:eastAsia="Times New Roman" w:hAnsi="Times New Roman"/>
          <w:sz w:val="14"/>
          <w:szCs w:val="14"/>
          <w:color w:val="auto"/>
        </w:rPr>
        <w:t>Payments on the global notes will be made in U.S. dollars by wire transfer. If we issue definitive Exchange Notes, the holders of definitive Exchange Notes will be able to receive payments of principal of and interest on their Exchange Notes at the office of our paying agent. Payment of principal of a definitive Exchange Note may be made only against surrender of the Exchange Note to our paying agent. We have the option, however, of making payments of interest by wire transfer or by mailing checks to the address of the holder appearing in the register of Exchange Note holders maintained by the registrar.</w:t>
      </w:r>
    </w:p>
    <w:p>
      <w:pPr>
        <w:spacing w:after="0" w:line="149" w:lineRule="exact"/>
        <w:rPr>
          <w:sz w:val="20"/>
          <w:szCs w:val="20"/>
          <w:color w:val="auto"/>
        </w:rPr>
      </w:pPr>
    </w:p>
    <w:p>
      <w:pPr>
        <w:ind w:left="1480" w:right="539" w:firstLine="333"/>
        <w:spacing w:after="0" w:line="264" w:lineRule="auto"/>
        <w:rPr>
          <w:sz w:val="20"/>
          <w:szCs w:val="20"/>
          <w:color w:val="auto"/>
        </w:rPr>
      </w:pPr>
      <w:r>
        <w:rPr>
          <w:rFonts w:ascii="Times New Roman" w:cs="Times New Roman" w:eastAsia="Times New Roman" w:hAnsi="Times New Roman"/>
          <w:sz w:val="14"/>
          <w:szCs w:val="14"/>
          <w:color w:val="auto"/>
        </w:rPr>
        <w:t>We will make any required interest payments to the person in whose name an Exchange Note is registered at the close of business on the record date for the interest payment.</w:t>
      </w:r>
    </w:p>
    <w:p>
      <w:pPr>
        <w:spacing w:after="0" w:line="136" w:lineRule="exact"/>
        <w:rPr>
          <w:sz w:val="20"/>
          <w:szCs w:val="20"/>
          <w:color w:val="auto"/>
        </w:rPr>
      </w:pPr>
    </w:p>
    <w:p>
      <w:pPr>
        <w:ind w:left="1480" w:right="499" w:firstLine="333"/>
        <w:spacing w:after="0" w:line="264" w:lineRule="auto"/>
        <w:rPr>
          <w:sz w:val="20"/>
          <w:szCs w:val="20"/>
          <w:color w:val="auto"/>
        </w:rPr>
      </w:pPr>
      <w:r>
        <w:rPr>
          <w:rFonts w:ascii="Times New Roman" w:cs="Times New Roman" w:eastAsia="Times New Roman" w:hAnsi="Times New Roman"/>
          <w:sz w:val="14"/>
          <w:szCs w:val="14"/>
          <w:color w:val="auto"/>
        </w:rPr>
        <w:t>The Trustee will be designated as our paying agent for payments on the Exchange Notes. We may from time to time designate additional paying agents, rescind the designation of any paying agent or approve a change in the office through which any paying agent acts.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Notices</w:t>
      </w:r>
    </w:p>
    <w:p>
      <w:pPr>
        <w:spacing w:after="0" w:line="88" w:lineRule="exact"/>
        <w:rPr>
          <w:sz w:val="20"/>
          <w:szCs w:val="20"/>
          <w:color w:val="auto"/>
        </w:rPr>
      </w:pPr>
    </w:p>
    <w:p>
      <w:pPr>
        <w:ind w:left="1480" w:right="579" w:firstLine="333"/>
        <w:spacing w:after="0" w:line="254" w:lineRule="auto"/>
        <w:rPr>
          <w:sz w:val="20"/>
          <w:szCs w:val="20"/>
          <w:color w:val="auto"/>
        </w:rPr>
      </w:pPr>
      <w:r>
        <w:rPr>
          <w:rFonts w:ascii="Times New Roman" w:cs="Times New Roman" w:eastAsia="Times New Roman" w:hAnsi="Times New Roman"/>
          <w:sz w:val="14"/>
          <w:szCs w:val="14"/>
          <w:color w:val="auto"/>
        </w:rPr>
        <w:t>Any notices required to be given to the holders of the Exchange Notes will be given to DTC, as the registered holder of the global notes. In the event that the global notes are exchanged for Exchange Notes in definitive form, notices to holders of the Exchange Notes will be delivered to the addresses that appear on the register of noteholders maintained by the registrar.</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The Trustee</w:t>
      </w:r>
    </w:p>
    <w:p>
      <w:pPr>
        <w:spacing w:after="0" w:line="88" w:lineRule="exact"/>
        <w:rPr>
          <w:sz w:val="20"/>
          <w:szCs w:val="20"/>
          <w:color w:val="auto"/>
        </w:rPr>
      </w:pPr>
    </w:p>
    <w:p>
      <w:pPr>
        <w:ind w:left="1480" w:right="499" w:firstLine="333"/>
        <w:spacing w:after="0" w:line="264" w:lineRule="auto"/>
        <w:rPr>
          <w:sz w:val="20"/>
          <w:szCs w:val="20"/>
          <w:color w:val="auto"/>
        </w:rPr>
      </w:pPr>
      <w:r>
        <w:rPr>
          <w:rFonts w:ascii="Times New Roman" w:cs="Times New Roman" w:eastAsia="Times New Roman" w:hAnsi="Times New Roman"/>
          <w:sz w:val="14"/>
          <w:szCs w:val="14"/>
          <w:color w:val="auto"/>
        </w:rPr>
        <w:t>The Indenture provides that, except during the continuance of an event of default, the Trustee will perform only those duties that are specifically set forth in the Indenture and no others. If an event of default has occurred</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7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39"/>
        <w:spacing w:after="0" w:line="264" w:lineRule="auto"/>
        <w:rPr>
          <w:sz w:val="20"/>
          <w:szCs w:val="20"/>
          <w:color w:val="auto"/>
        </w:rPr>
      </w:pPr>
      <w:r>
        <w:rPr>
          <w:rFonts w:ascii="Times New Roman" w:cs="Times New Roman" w:eastAsia="Times New Roman" w:hAnsi="Times New Roman"/>
          <w:sz w:val="14"/>
          <w:szCs w:val="14"/>
          <w:color w:val="auto"/>
        </w:rPr>
        <w:t>and is continuing, the Trustee shall exercise the rights and powers vested in it by the Indenture and use the same degree of care and skill in its exercise as a prudent person would exercise or use under the circumstances in the conduct of such person’s own affairs.</w:t>
      </w:r>
    </w:p>
    <w:p>
      <w:pPr>
        <w:spacing w:after="0" w:line="136"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The Indenture and provisions of the Trust Indenture Act, incorporated by reference in the Indenture contain limitations on the rights of the Trustee, should it become our creditor, to obtain payment of claims in certain cases or to liquidate certain property received by it in respect of any such claim as security or otherwise. The Trustee is permitted to engage in other transactions with us or any of our affiliates. If the Trustee acquires any conflicting interest (as defined in the Indenture or in the Trust Indenture Act), it must eliminate that conflict or resign.</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8" w:lineRule="exact"/>
        <w:rPr>
          <w:sz w:val="20"/>
          <w:szCs w:val="20"/>
          <w:color w:val="auto"/>
        </w:rPr>
      </w:pPr>
    </w:p>
    <w:p>
      <w:pPr>
        <w:ind w:left="1480" w:right="499" w:firstLine="333"/>
        <w:spacing w:after="0" w:line="264" w:lineRule="auto"/>
        <w:rPr>
          <w:sz w:val="20"/>
          <w:szCs w:val="20"/>
          <w:color w:val="auto"/>
        </w:rPr>
      </w:pPr>
      <w:r>
        <w:rPr>
          <w:rFonts w:ascii="Times New Roman" w:cs="Times New Roman" w:eastAsia="Times New Roman" w:hAnsi="Times New Roman"/>
          <w:sz w:val="14"/>
          <w:szCs w:val="14"/>
          <w:color w:val="auto"/>
        </w:rPr>
        <w:t>The Indenture and the Exchange Notes, including any claim or controversy arising out of or relating to the Indenture or the Exchange Notes, are governed by the laws of the State of New York.</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78"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CERTAIN U.S. FEDERAL INCOME TAX CONSIDERATIONS</w:t>
      </w:r>
    </w:p>
    <w:p>
      <w:pPr>
        <w:spacing w:after="0" w:line="170" w:lineRule="exact"/>
        <w:rPr>
          <w:sz w:val="20"/>
          <w:szCs w:val="20"/>
          <w:color w:val="auto"/>
        </w:rPr>
      </w:pPr>
    </w:p>
    <w:p>
      <w:pPr>
        <w:ind w:left="1480" w:right="339" w:firstLine="333"/>
        <w:spacing w:after="0" w:line="247" w:lineRule="auto"/>
        <w:rPr>
          <w:sz w:val="20"/>
          <w:szCs w:val="20"/>
          <w:color w:val="auto"/>
        </w:rPr>
      </w:pPr>
      <w:r>
        <w:rPr>
          <w:rFonts w:ascii="Times New Roman" w:cs="Times New Roman" w:eastAsia="Times New Roman" w:hAnsi="Times New Roman"/>
          <w:sz w:val="14"/>
          <w:szCs w:val="14"/>
          <w:color w:val="auto"/>
        </w:rPr>
        <w:t>The following is a general discussion of certain U.S. federal income tax considerations relating to the exchange of Outstanding Notes for Exchange Notes in the Exchange Offer, but it does not purport to be a complete analysis of all potential tax considerations. This discussion is based on current provisions of the Code, the Treasury Regulations promulgated thereunder, administrative rulings and published positions of the IRS, and judicial interpretations of the foregoing, all as in effect as of the date hereof and all of which are subject to change or differing interpretations, possibly with retroactive effect. Any such change or interpretation could affect the accuracy of the statements and conclusions set forth herein. We have not sought and will not seek any rulings from the IRS with respect to the statements made and the conclusions reached in the following discussion, and accordingly, there can be no assurance that the IRS will not successfully challenge the tax consequences described below.</w:t>
      </w:r>
    </w:p>
    <w:p>
      <w:pPr>
        <w:spacing w:after="0" w:line="147" w:lineRule="exact"/>
        <w:rPr>
          <w:sz w:val="20"/>
          <w:szCs w:val="20"/>
          <w:color w:val="auto"/>
        </w:rPr>
      </w:pPr>
    </w:p>
    <w:p>
      <w:pPr>
        <w:ind w:left="1480" w:right="359" w:firstLine="333"/>
        <w:spacing w:after="0" w:line="288" w:lineRule="auto"/>
        <w:rPr>
          <w:sz w:val="20"/>
          <w:szCs w:val="20"/>
          <w:color w:val="auto"/>
        </w:rPr>
      </w:pPr>
      <w:r>
        <w:rPr>
          <w:rFonts w:ascii="Times New Roman" w:cs="Times New Roman" w:eastAsia="Times New Roman" w:hAnsi="Times New Roman"/>
          <w:sz w:val="12"/>
          <w:szCs w:val="12"/>
          <w:color w:val="auto"/>
        </w:rPr>
        <w:t>This discussion applies only to holders that are beneficial owners of Outstanding Notes that purchased Outstanding Notes in the initial offering at their original “issue price” (the first price at which a substantial amount of the Outstanding Notes is sold for cash (excluding sales to bond houses, brokers, or similar persons or organizations acting in the capacity of underwriters, placement agents or wholesalers)) for cash and that hold such Outstanding Notes as “capital assets” within the meaning of Section 1221 of the Code (generally, property held for investment). This discussion does not address the tax considerations that may be relevant to subsequent purchasers of Outstanding Notes or Exchange Notes. This discussion is for general information purposes only and does not purport to address all aspects of U.S. federal income taxation that may be relevant to particular holders in light of their particular circumstances or status and it does not apply to holders subject to special rules under the U.S. federal income tax laws (including, for example, banks or other financial institutions, broker-dealers, traders in securities that elect mark-to-market tax treatment, insurance companies, Subchapter S corporations, grantor trusts, partnerships or other entities or arrangements treated as partnerships or other pass-through entities for U.S. federal income tax purposes (or investors therein), real estate investment trusts, regulated investment companies, insurance companies, corporations treated as “personal holding companies,” United States expatriates, tax-exempt organizations, persons liable for any alternative minimum tax, U.S. holders that have a functional currency other than the United States dollar, “controlled foreign corporations,” “passive foreign investment companies,” persons that are required to accelerate the recognition of any item of gross income as a result of such income being recognized on an “applicable financial statement” or persons who hold Outstanding Notes as part of a straddle, hedge, conversion or other risk reduction transaction or integrated investment). This discussion does not address any state, local or foreign tax consequences, nor does it address any U.S. federal tax considerations other than those pertaining to the income tax. In addition, this discussion does not address any tax consequences arising under the unearned income Medicare contribution tax pursuant to the Health Care and Education Reconciliation Act of 2010, nor any considerations with respect to any withholding required pursuant to the Foreign Account Tax Compliance Act of 2010 (including the Treasury Regulations promulgated thereunder and intergovernmental agreements entered into in connection therewith and any laws, regulations or practices adopted in connection with any such agreement).</w:t>
      </w:r>
    </w:p>
    <w:p>
      <w:pPr>
        <w:spacing w:after="0" w:line="200" w:lineRule="exact"/>
        <w:rPr>
          <w:sz w:val="20"/>
          <w:szCs w:val="20"/>
          <w:color w:val="auto"/>
        </w:rPr>
      </w:pPr>
    </w:p>
    <w:p>
      <w:pPr>
        <w:spacing w:after="0" w:line="253" w:lineRule="exact"/>
        <w:rPr>
          <w:sz w:val="20"/>
          <w:szCs w:val="20"/>
          <w:color w:val="auto"/>
        </w:rPr>
      </w:pPr>
    </w:p>
    <w:p>
      <w:pPr>
        <w:ind w:left="1480" w:right="559" w:firstLine="333"/>
        <w:spacing w:after="0" w:line="250" w:lineRule="auto"/>
        <w:rPr>
          <w:sz w:val="20"/>
          <w:szCs w:val="20"/>
          <w:color w:val="auto"/>
        </w:rPr>
      </w:pPr>
      <w:r>
        <w:rPr>
          <w:rFonts w:ascii="Times New Roman" w:cs="Times New Roman" w:eastAsia="Times New Roman" w:hAnsi="Times New Roman"/>
          <w:sz w:val="14"/>
          <w:szCs w:val="14"/>
          <w:color w:val="auto"/>
        </w:rPr>
        <w:t>If an entity or arrangement treated as a partnership for U.S. federal income tax purposes holds Outstanding Notes, the tax treatment of a person treated as a partner in such partnership will generally depend upon the status of the partner and the activities of the partnership. Persons that for U.S. federal income tax purposes are treated as a partner in a partnership holding Outstanding Notes should consult their tax advisors regarding the tax consequences to them of exchanging Outstanding Notes for Exchange Notes in the Exchange Offer.</w:t>
      </w:r>
    </w:p>
    <w:p>
      <w:pPr>
        <w:spacing w:after="0" w:line="224" w:lineRule="exact"/>
        <w:rPr>
          <w:sz w:val="20"/>
          <w:szCs w:val="20"/>
          <w:color w:val="auto"/>
        </w:rPr>
      </w:pPr>
    </w:p>
    <w:p>
      <w:pPr>
        <w:ind w:left="1820" w:right="379"/>
        <w:spacing w:after="0" w:line="308" w:lineRule="auto"/>
        <w:rPr>
          <w:sz w:val="20"/>
          <w:szCs w:val="20"/>
          <w:color w:val="auto"/>
        </w:rPr>
      </w:pPr>
      <w:r>
        <w:rPr>
          <w:rFonts w:ascii="Times New Roman" w:cs="Times New Roman" w:eastAsia="Times New Roman" w:hAnsi="Times New Roman"/>
          <w:sz w:val="12"/>
          <w:szCs w:val="12"/>
          <w:b w:val="1"/>
          <w:bCs w:val="1"/>
          <w:color w:val="auto"/>
        </w:rPr>
        <w:t>THIS DISCUSSION IS FOR GENERAL INFORMATION PURPOSES ONLY AND IS NOT INTENDED TO CONSTITUTE A COMPLETE DESCRIPTION OF ALL TAX CONSEQUENCES RELATING TO THE EXCHANGE OF THE OUTSTANDING NOTES FOR EXCHANGE NOTES IN THE EXCHANGE OFFER. YOU ARE ADVISED TO CONSULT YOUR OWN TAX ADVISOR WITH RESPECT TO THE PARTICULAR U.S. FEDERAL INCOME TAX CONSEQUENCES TO YOU OF EXCHANGING THE</w:t>
      </w:r>
    </w:p>
    <w:p>
      <w:pPr>
        <w:spacing w:after="0" w:line="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78"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820" w:right="679"/>
        <w:spacing w:after="0" w:line="252" w:lineRule="auto"/>
        <w:rPr>
          <w:sz w:val="20"/>
          <w:szCs w:val="20"/>
          <w:color w:val="auto"/>
        </w:rPr>
      </w:pPr>
      <w:r>
        <w:rPr>
          <w:rFonts w:ascii="Times New Roman" w:cs="Times New Roman" w:eastAsia="Times New Roman" w:hAnsi="Times New Roman"/>
          <w:sz w:val="14"/>
          <w:szCs w:val="14"/>
          <w:b w:val="1"/>
          <w:bCs w:val="1"/>
          <w:color w:val="auto"/>
        </w:rPr>
        <w:t>OUTSTANDING NOTES FOR EXCHANGE NOTES IN THE EXCHANGE OFFER AS WELL AS THE APPLICATION OF ANY NON-INCOME TAX LAWS OR ANY TAX CONSEQUENCES ARISING UNDER THE U.S. FEDERAL ESTATE, GIFT OR ALTERNATIVE MINIMUM TAX RULES OR UNDER THE LAWS OF ANY STATE, LOCAL, FOREIGN OR OTHER TAXING JURISDICTION OR UNDER ANY APPLICABLE TAX TREATY.</w:t>
      </w:r>
    </w:p>
    <w:p>
      <w:pPr>
        <w:spacing w:after="0" w:line="2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Exchange Offer</w:t>
      </w:r>
    </w:p>
    <w:p>
      <w:pPr>
        <w:spacing w:after="0" w:line="88" w:lineRule="exact"/>
        <w:rPr>
          <w:sz w:val="20"/>
          <w:szCs w:val="20"/>
          <w:color w:val="auto"/>
        </w:rPr>
      </w:pPr>
    </w:p>
    <w:p>
      <w:pPr>
        <w:ind w:left="1480" w:right="439" w:firstLine="333"/>
        <w:spacing w:after="0" w:line="305" w:lineRule="auto"/>
        <w:rPr>
          <w:sz w:val="20"/>
          <w:szCs w:val="20"/>
          <w:color w:val="auto"/>
        </w:rPr>
      </w:pPr>
      <w:r>
        <w:rPr>
          <w:rFonts w:ascii="Times New Roman" w:cs="Times New Roman" w:eastAsia="Times New Roman" w:hAnsi="Times New Roman"/>
          <w:sz w:val="12"/>
          <w:szCs w:val="12"/>
          <w:color w:val="auto"/>
        </w:rPr>
        <w:t>The exchange of Outstanding Notes for Exchange Notes in the Exchange Offer will not constitute a taxable exchange for U.S. federal income tax purposes. Consequently, you will not recognize gain or loss upon the receipt of Exchange Notes in the Exchange Offer, your basis in the Exchange Notes received in the Exchange Offer will be the same as your basis in the Outstanding Notes surrendered in exchange therefor immediately before the exchange, and your holding period in the Exchange Notes will include your holding period in the Outstanding Notes surrendered in exchange therefor.</w:t>
      </w:r>
    </w:p>
    <w:p>
      <w:pPr>
        <w:spacing w:after="0" w:line="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78"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0" w:lineRule="exact"/>
        <w:rPr>
          <w:sz w:val="20"/>
          <w:szCs w:val="20"/>
          <w:color w:val="auto"/>
        </w:rPr>
      </w:pPr>
    </w:p>
    <w:p>
      <w:pPr>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Each broker-dealer that receives Exchange Notes for its own account pursuant to the Exchange Offer must acknowledge that it will deliver a prospectus in connection with any resale of the Exchange Notes. This prospectus, as it may be amended or supplemented from time to time, may be used by a broker-dealer in connection with resales of Exchange Notes received in exchange for Outstanding Notes where the Outstanding Notes were acquired as a result of market-making activities or other trading activities. In addition, all dealers effecting transactions in the Exchange Notes may be required to deliver a prospectus. To the extent any such broker-dealer participates in the Exchange Offer, we have agreed that for a period of up to 180 days after the day the Exchange Offer expires (or such shorter period if a broker-dealer is no longer required to deliver a prospectus), we will make this prospectus, as amended or supplemented, available to such broker-dealer for use in connection with any such resale, and will deliver as many additional copies of this prospectus and each amendment or supplement to this prospectus and any documents incorporated by reference in this prospectus as such broker-dealer may request.</w:t>
      </w:r>
    </w:p>
    <w:p>
      <w:pPr>
        <w:spacing w:after="0" w:line="149" w:lineRule="exact"/>
        <w:rPr>
          <w:sz w:val="20"/>
          <w:szCs w:val="20"/>
          <w:color w:val="auto"/>
        </w:rPr>
      </w:pPr>
    </w:p>
    <w:p>
      <w:pPr>
        <w:ind w:left="1480" w:right="379" w:firstLine="333"/>
        <w:spacing w:after="0" w:line="245" w:lineRule="auto"/>
        <w:rPr>
          <w:sz w:val="20"/>
          <w:szCs w:val="20"/>
          <w:color w:val="auto"/>
        </w:rPr>
      </w:pPr>
      <w:r>
        <w:rPr>
          <w:rFonts w:ascii="Times New Roman" w:cs="Times New Roman" w:eastAsia="Times New Roman" w:hAnsi="Times New Roman"/>
          <w:sz w:val="14"/>
          <w:szCs w:val="14"/>
          <w:color w:val="auto"/>
        </w:rPr>
        <w:t>We will not receive any proceeds from any sale of Exchange Notes by broker-dealers. Exchange Notes received by broker-dealers for their own accounts pursuant to the Exchange Offer may be sold from time to time in one or more transactions in the over-the-counter market, in negotiated transactions, through the writing of options on the Exchange Notes or a combination of these methods of resale, at market prices prevailing at the time of resale, at prices related to the prevailing market prices or negotiated prices. Any resale may be made directly to purchasers or to or through brokers or dealers who may receive compensation in the form of commissions or concessions from any broker-dealer or the purchasers of any Exchange Notes. Any broker-dealer that resells Exchange Notes that were received by it for its own account pursuant to the Exchange Offer and any broker or dealer that participates in a distribution of the Exchange Notes may be deemed to be an “underwriter” within the meaning of the Securities Act and any profit on any resale of Exchange Notes and any commissions or concessions received by these persons may be deemed to be underwriting compensation under the Securities Act. By acknowledging that it will deliver and by delivering a prospectus, a broker-dealer will not be deemed to admit that it is an “underwriter” within the meaning of the Securities Act.</w:t>
      </w:r>
    </w:p>
    <w:p>
      <w:pPr>
        <w:spacing w:after="0" w:line="154" w:lineRule="exact"/>
        <w:rPr>
          <w:sz w:val="20"/>
          <w:szCs w:val="20"/>
          <w:color w:val="auto"/>
        </w:rPr>
      </w:pPr>
    </w:p>
    <w:p>
      <w:pPr>
        <w:ind w:left="1480" w:right="599" w:firstLine="333"/>
        <w:spacing w:after="0" w:line="254" w:lineRule="auto"/>
        <w:rPr>
          <w:sz w:val="20"/>
          <w:szCs w:val="20"/>
          <w:color w:val="auto"/>
        </w:rPr>
      </w:pPr>
      <w:r>
        <w:rPr>
          <w:rFonts w:ascii="Times New Roman" w:cs="Times New Roman" w:eastAsia="Times New Roman" w:hAnsi="Times New Roman"/>
          <w:sz w:val="14"/>
          <w:szCs w:val="14"/>
          <w:color w:val="auto"/>
        </w:rPr>
        <w:t>We have agreed to pay all expenses incident to the Exchange Offer, including the expenses of one counsel for the holders of the Outstanding Notes, other than commissions or concessions of any brokers or dealers, and will indemnify the holders of Outstanding Notes, including any broker-dealers, against certain liabilities, including liabilities under the Securities Act.</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78"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0" w:lineRule="exact"/>
        <w:rPr>
          <w:sz w:val="20"/>
          <w:szCs w:val="20"/>
          <w:color w:val="auto"/>
        </w:rPr>
      </w:pPr>
    </w:p>
    <w:p>
      <w:pPr>
        <w:ind w:left="1480" w:right="579" w:firstLine="333"/>
        <w:spacing w:after="0" w:line="264" w:lineRule="auto"/>
        <w:rPr>
          <w:sz w:val="20"/>
          <w:szCs w:val="20"/>
          <w:color w:val="auto"/>
        </w:rPr>
      </w:pPr>
      <w:r>
        <w:rPr>
          <w:rFonts w:ascii="Times New Roman" w:cs="Times New Roman" w:eastAsia="Times New Roman" w:hAnsi="Times New Roman"/>
          <w:sz w:val="14"/>
          <w:szCs w:val="14"/>
          <w:color w:val="auto"/>
        </w:rPr>
        <w:t>Certain legal matters in connection with this Exchange Offer with respect to U.S. law will be passed upon for us by Wachtell, Lipton, Rosen &amp; Katz, New York, New York.</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78"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fiscal year ended November 2, 2025 have been so incorporated in reliance on the report of PricewaterhouseCoopers LLP, an independent registered public accounting firm, given on the authority of said firm as experts in auditing and accounting.</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7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195580</wp:posOffset>
            </wp:positionV>
            <wp:extent cx="529145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291455" cy="1270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234315</wp:posOffset>
            </wp:positionV>
            <wp:extent cx="529145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291455" cy="635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500380</wp:posOffset>
            </wp:positionV>
            <wp:extent cx="3274695" cy="440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3274695" cy="440690"/>
                    </a:xfrm>
                    <a:prstGeom prst="rect">
                      <a:avLst/>
                    </a:prstGeom>
                    <a:noFill/>
                  </pic:spPr>
                </pic:pic>
              </a:graphicData>
            </a:graphic>
          </wp:anchor>
        </w:drawing>
      </w:r>
    </w:p>
    <w:p>
      <w:pPr>
        <w:sectPr>
          <w:pgSz w:w="11900" w:h="16838" w:orient="portrait"/>
          <w:cols w:equalWidth="0" w:num="1">
            <w:col w:w="10159"/>
          </w:cols>
          <w:pgMar w:left="300" w:top="37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5"/>
          <w:szCs w:val="25"/>
          <w:b w:val="1"/>
          <w:bCs w:val="1"/>
          <w:color w:val="auto"/>
        </w:rPr>
        <w:t>Broadcom Inc.</w:t>
      </w:r>
    </w:p>
    <w:p>
      <w:pPr>
        <w:spacing w:after="0" w:line="3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b w:val="1"/>
          <w:bCs w:val="1"/>
          <w:color w:val="auto"/>
        </w:rPr>
        <w:t>Exchange Offer for</w:t>
      </w:r>
    </w:p>
    <w:p>
      <w:pPr>
        <w:spacing w:after="0" w:line="33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b w:val="1"/>
          <w:bCs w:val="1"/>
          <w:color w:val="auto"/>
        </w:rPr>
        <w:t>Up to $3,249,984,000 3.137% Senior Notes due 2035</w:t>
      </w:r>
    </w:p>
    <w:p>
      <w:pPr>
        <w:spacing w:after="0" w:line="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b w:val="1"/>
          <w:bCs w:val="1"/>
          <w:color w:val="auto"/>
        </w:rPr>
        <w:t>Up to $2,750,000,000 3.187% Senior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293370</wp:posOffset>
            </wp:positionV>
            <wp:extent cx="110871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190500</wp:posOffset>
            </wp:positionV>
            <wp:extent cx="110871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330200</wp:posOffset>
            </wp:positionV>
            <wp:extent cx="529145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529145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375285</wp:posOffset>
            </wp:positionV>
            <wp:extent cx="529145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5291455" cy="12700"/>
                    </a:xfrm>
                    <a:prstGeom prst="rect">
                      <a:avLst/>
                    </a:prstGeom>
                    <a:noFill/>
                  </pic:spPr>
                </pic:pic>
              </a:graphicData>
            </a:graphic>
          </wp:anchor>
        </w:drawing>
      </w:r>
    </w:p>
    <w:p>
      <w:pPr>
        <w:sectPr>
          <w:pgSz w:w="11900" w:h="16838" w:orient="portrait"/>
          <w:cols w:equalWidth="0" w:num="1">
            <w:col w:w="10159"/>
          </w:cols>
          <w:pgMar w:left="300" w:top="378" w:right="1440"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20. INDEMNIFICATION OF DIRECTORS AND OFFICERS</w:t>
      </w:r>
    </w:p>
    <w:p>
      <w:pPr>
        <w:spacing w:after="0" w:line="88" w:lineRule="exact"/>
        <w:rPr>
          <w:sz w:val="20"/>
          <w:szCs w:val="20"/>
          <w:color w:val="auto"/>
        </w:rPr>
      </w:pPr>
    </w:p>
    <w:p>
      <w:pPr>
        <w:ind w:left="1480" w:right="359" w:firstLine="333"/>
        <w:spacing w:after="0" w:line="245" w:lineRule="auto"/>
        <w:rPr>
          <w:sz w:val="20"/>
          <w:szCs w:val="20"/>
          <w:color w:val="auto"/>
        </w:rPr>
      </w:pPr>
      <w:r>
        <w:rPr>
          <w:rFonts w:ascii="Times New Roman" w:cs="Times New Roman" w:eastAsia="Times New Roman" w:hAnsi="Times New Roman"/>
          <w:sz w:val="14"/>
          <w:szCs w:val="14"/>
          <w:color w:val="auto"/>
        </w:rPr>
        <w:t>Under Section 145 of the General Corporation Law of the State of Delaware (the “DGCL”),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if he or she acted in good faith and in a manner he or she reasonably believed to be in or not opposed to the best interests of the corporation and, with respect to any criminal action or proceeding, had no reasonable cause to believe his or her conduct was unlawful. In the case of an action brought by or in the right of a corporation, the corporation may indemnify any person who was or is a party or is threatened to be made a party to any such threatened, pending or completed action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only against expenses (including attorneys’ fees) actually and reasonably incurred by him or her in connection with the defense or settlement of such action if he or she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the appropriate court finds that, in view of all the circumstances of the case, such person is fairly and reasonably entitled to indemnity for such expenses as the court shall deem proper.</w:t>
      </w:r>
    </w:p>
    <w:p>
      <w:pPr>
        <w:spacing w:after="0" w:line="149" w:lineRule="exact"/>
        <w:rPr>
          <w:sz w:val="20"/>
          <w:szCs w:val="20"/>
          <w:color w:val="auto"/>
        </w:rPr>
      </w:pPr>
    </w:p>
    <w:p>
      <w:pPr>
        <w:jc w:val="both"/>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Our Certificate of Incorporation provides that the directors and officers of Broadcom Inc. will be indemnified by Broadcom Inc. to the maximum extent permitted by Delaware law, as it now exists or may in the future be amended, against all expenses, liabilities and loss incurred in connection with their service as a director or officer on behalf of the Company.</w:t>
      </w:r>
    </w:p>
    <w:p>
      <w:pPr>
        <w:spacing w:after="0" w:line="142" w:lineRule="exact"/>
        <w:rPr>
          <w:sz w:val="20"/>
          <w:szCs w:val="20"/>
          <w:color w:val="auto"/>
        </w:rPr>
      </w:pPr>
    </w:p>
    <w:p>
      <w:pPr>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As permitted by Section 102(b)(7) of the DGCL, our Certificate of Incorporation provides that a director of Broadcom Inc. shall not be personally liable to Broadcom Inc. or its stockholders for monetary damages for breach of fiduciary duty as a director, except for such liability as is expressly not subject to limitation under the DGCL, as the same exists or may hereafter be amended to further limit or eliminate such liability.</w:t>
      </w:r>
    </w:p>
    <w:p>
      <w:pPr>
        <w:spacing w:after="0" w:line="142" w:lineRule="exact"/>
        <w:rPr>
          <w:sz w:val="20"/>
          <w:szCs w:val="20"/>
          <w:color w:val="auto"/>
        </w:rPr>
      </w:pPr>
    </w:p>
    <w:p>
      <w:pPr>
        <w:ind w:left="1480" w:right="539" w:firstLine="333"/>
        <w:spacing w:after="0" w:line="264" w:lineRule="auto"/>
        <w:rPr>
          <w:sz w:val="20"/>
          <w:szCs w:val="20"/>
          <w:color w:val="auto"/>
        </w:rPr>
      </w:pPr>
      <w:r>
        <w:rPr>
          <w:rFonts w:ascii="Times New Roman" w:cs="Times New Roman" w:eastAsia="Times New Roman" w:hAnsi="Times New Roman"/>
          <w:sz w:val="14"/>
          <w:szCs w:val="14"/>
          <w:color w:val="auto"/>
        </w:rPr>
        <w:t>Broadcom Inc. has also entered into certain indemnification agreements with its directors and officers. The indemnification agreements provide Broadcom Inc.’s directors and officers with further indemnification to the maximum extent permitted by the DGCL.</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As permitted by Section 145(g) of the DGCL, Broadcom Inc. also maintains directors’ and officers’ insurance.</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21. EXHIBITS AND FINANCIAL STATEMENT SCHEDULES</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(a) Exhibits</w:t>
      </w:r>
    </w:p>
    <w:p>
      <w:pPr>
        <w:spacing w:after="0" w:line="166" w:lineRule="exact"/>
        <w:rPr>
          <w:sz w:val="20"/>
          <w:szCs w:val="20"/>
          <w:color w:val="auto"/>
        </w:rPr>
      </w:pPr>
    </w:p>
    <w:p>
      <w:pPr>
        <w:ind w:left="1480" w:right="779" w:firstLine="333"/>
        <w:spacing w:after="0" w:line="264" w:lineRule="auto"/>
        <w:rPr>
          <w:sz w:val="20"/>
          <w:szCs w:val="20"/>
          <w:color w:val="auto"/>
        </w:rPr>
      </w:pPr>
      <w:r>
        <w:rPr>
          <w:rFonts w:ascii="Times New Roman" w:cs="Times New Roman" w:eastAsia="Times New Roman" w:hAnsi="Times New Roman"/>
          <w:sz w:val="14"/>
          <w:szCs w:val="14"/>
          <w:color w:val="auto"/>
        </w:rPr>
        <w:t>The exhibits listed below in the “Exhibit Index” are filed as part of, or are incorporated by reference in, this Registration Statement and are numbered in accordance with Item 601 of Regulation S-K.</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(b) Financial Statement Schedules</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Financial schedules are omitted because they are not applicable or the information is incorporated herein by reference.</w:t>
      </w:r>
    </w:p>
    <w:p>
      <w:pPr>
        <w:spacing w:after="0" w:line="1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78"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22. UNDERTAKINGS</w:t>
      </w:r>
    </w:p>
    <w:p>
      <w:pPr>
        <w:spacing w:after="0" w:line="88" w:lineRule="exact"/>
        <w:rPr>
          <w:sz w:val="20"/>
          <w:szCs w:val="20"/>
          <w:color w:val="auto"/>
        </w:rPr>
      </w:pPr>
    </w:p>
    <w:p>
      <w:pPr>
        <w:ind w:left="2000" w:hanging="189"/>
        <w:spacing w:after="0"/>
        <w:tabs>
          <w:tab w:leader="none" w:pos="20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84" w:lineRule="exact"/>
        <w:rPr>
          <w:rFonts w:ascii="Times New Roman" w:cs="Times New Roman" w:eastAsia="Times New Roman" w:hAnsi="Times New Roman"/>
          <w:sz w:val="14"/>
          <w:szCs w:val="14"/>
          <w:color w:val="auto"/>
        </w:rPr>
      </w:pPr>
    </w:p>
    <w:p>
      <w:pPr>
        <w:ind w:left="2320" w:hanging="190"/>
        <w:spacing w:after="0"/>
        <w:tabs>
          <w:tab w:leader="none" w:pos="232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84" w:lineRule="exact"/>
        <w:rPr>
          <w:rFonts w:ascii="Times New Roman" w:cs="Times New Roman" w:eastAsia="Times New Roman" w:hAnsi="Times New Roman"/>
          <w:sz w:val="14"/>
          <w:szCs w:val="14"/>
          <w:color w:val="auto"/>
        </w:rPr>
      </w:pPr>
    </w:p>
    <w:p>
      <w:pPr>
        <w:ind w:left="2700" w:hanging="169"/>
        <w:spacing w:after="0"/>
        <w:tabs>
          <w:tab w:leader="none" w:pos="2700" w:val="left"/>
        </w:tabs>
        <w:numPr>
          <w:ilvl w:val="2"/>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84" w:lineRule="exact"/>
        <w:rPr>
          <w:rFonts w:ascii="Times New Roman" w:cs="Times New Roman" w:eastAsia="Times New Roman" w:hAnsi="Times New Roman"/>
          <w:sz w:val="14"/>
          <w:szCs w:val="14"/>
          <w:color w:val="auto"/>
        </w:rPr>
      </w:pPr>
    </w:p>
    <w:p>
      <w:pPr>
        <w:ind w:left="2220" w:right="359" w:firstLine="311"/>
        <w:spacing w:after="0" w:line="247" w:lineRule="auto"/>
        <w:tabs>
          <w:tab w:leader="none" w:pos="2723" w:val="left"/>
        </w:tabs>
        <w:numPr>
          <w:ilvl w:val="2"/>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65" w:lineRule="exact"/>
        <w:rPr>
          <w:rFonts w:ascii="Times New Roman" w:cs="Times New Roman" w:eastAsia="Times New Roman" w:hAnsi="Times New Roman"/>
          <w:sz w:val="14"/>
          <w:szCs w:val="14"/>
          <w:color w:val="auto"/>
        </w:rPr>
      </w:pPr>
    </w:p>
    <w:p>
      <w:pPr>
        <w:ind w:left="2220" w:right="439" w:firstLine="311"/>
        <w:spacing w:after="0" w:line="264" w:lineRule="auto"/>
        <w:tabs>
          <w:tab w:leader="none" w:pos="2761" w:val="left"/>
        </w:tabs>
        <w:numPr>
          <w:ilvl w:val="2"/>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54" w:lineRule="exact"/>
        <w:rPr>
          <w:rFonts w:ascii="Times New Roman" w:cs="Times New Roman" w:eastAsia="Times New Roman" w:hAnsi="Times New Roman"/>
          <w:sz w:val="14"/>
          <w:szCs w:val="14"/>
          <w:color w:val="auto"/>
        </w:rPr>
      </w:pPr>
    </w:p>
    <w:p>
      <w:pPr>
        <w:ind w:left="1820" w:right="359" w:firstLine="310"/>
        <w:spacing w:after="0" w:line="254" w:lineRule="auto"/>
        <w:tabs>
          <w:tab w:leader="none" w:pos="2333"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0" w:lineRule="exact"/>
        <w:rPr>
          <w:rFonts w:ascii="Times New Roman" w:cs="Times New Roman" w:eastAsia="Times New Roman" w:hAnsi="Times New Roman"/>
          <w:sz w:val="14"/>
          <w:szCs w:val="14"/>
          <w:color w:val="auto"/>
        </w:rPr>
      </w:pPr>
    </w:p>
    <w:p>
      <w:pPr>
        <w:ind w:left="1820" w:right="559" w:firstLine="310"/>
        <w:spacing w:after="0" w:line="264" w:lineRule="auto"/>
        <w:tabs>
          <w:tab w:leader="none" w:pos="2333"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54" w:lineRule="exact"/>
        <w:rPr>
          <w:rFonts w:ascii="Times New Roman" w:cs="Times New Roman" w:eastAsia="Times New Roman" w:hAnsi="Times New Roman"/>
          <w:sz w:val="14"/>
          <w:szCs w:val="14"/>
          <w:color w:val="auto"/>
        </w:rPr>
      </w:pPr>
    </w:p>
    <w:p>
      <w:pPr>
        <w:ind w:left="1820" w:right="359" w:firstLine="310"/>
        <w:spacing w:after="0" w:line="246" w:lineRule="auto"/>
        <w:tabs>
          <w:tab w:leader="none" w:pos="2333"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68" w:lineRule="exact"/>
        <w:rPr>
          <w:rFonts w:ascii="Times New Roman" w:cs="Times New Roman" w:eastAsia="Times New Roman" w:hAnsi="Times New Roman"/>
          <w:sz w:val="14"/>
          <w:szCs w:val="14"/>
          <w:color w:val="auto"/>
        </w:rPr>
      </w:pPr>
    </w:p>
    <w:p>
      <w:pPr>
        <w:ind w:left="1820" w:right="379" w:firstLine="310"/>
        <w:spacing w:after="0" w:line="248" w:lineRule="auto"/>
        <w:tabs>
          <w:tab w:leader="none" w:pos="2333"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6" w:lineRule="exact"/>
        <w:rPr>
          <w:rFonts w:ascii="Times New Roman" w:cs="Times New Roman" w:eastAsia="Times New Roman" w:hAnsi="Times New Roman"/>
          <w:sz w:val="14"/>
          <w:szCs w:val="14"/>
          <w:color w:val="auto"/>
        </w:rPr>
      </w:pPr>
    </w:p>
    <w:p>
      <w:pPr>
        <w:ind w:left="2700" w:hanging="169"/>
        <w:spacing w:after="0"/>
        <w:tabs>
          <w:tab w:leader="none" w:pos="2700" w:val="left"/>
        </w:tabs>
        <w:numPr>
          <w:ilvl w:val="2"/>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preliminary prospectus or prospectus of the undersigned registrant relating to the offering required to be filed pursuant to Rule</w:t>
      </w:r>
    </w:p>
    <w:p>
      <w:pPr>
        <w:spacing w:after="0" w:line="37" w:lineRule="exact"/>
        <w:rPr>
          <w:rFonts w:ascii="Times New Roman" w:cs="Times New Roman" w:eastAsia="Times New Roman" w:hAnsi="Times New Roman"/>
          <w:sz w:val="12"/>
          <w:szCs w:val="12"/>
          <w:color w:val="auto"/>
        </w:rPr>
      </w:pPr>
    </w:p>
    <w:p>
      <w:pPr>
        <w:ind w:left="22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424;</w:t>
      </w:r>
    </w:p>
    <w:p>
      <w:pPr>
        <w:spacing w:after="0" w:line="72" w:lineRule="exact"/>
        <w:rPr>
          <w:rFonts w:ascii="Times New Roman" w:cs="Times New Roman" w:eastAsia="Times New Roman" w:hAnsi="Times New Roman"/>
          <w:sz w:val="12"/>
          <w:szCs w:val="12"/>
          <w:color w:val="auto"/>
        </w:rPr>
      </w:pPr>
    </w:p>
    <w:p>
      <w:pPr>
        <w:ind w:left="2220" w:right="359" w:firstLine="311"/>
        <w:spacing w:after="0" w:line="264" w:lineRule="auto"/>
        <w:tabs>
          <w:tab w:leader="none" w:pos="2723" w:val="left"/>
        </w:tabs>
        <w:numPr>
          <w:ilvl w:val="2"/>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54" w:lineRule="exact"/>
        <w:rPr>
          <w:rFonts w:ascii="Times New Roman" w:cs="Times New Roman" w:eastAsia="Times New Roman" w:hAnsi="Times New Roman"/>
          <w:sz w:val="14"/>
          <w:szCs w:val="14"/>
          <w:color w:val="auto"/>
        </w:rPr>
      </w:pPr>
    </w:p>
    <w:p>
      <w:pPr>
        <w:ind w:left="2220" w:right="559" w:firstLine="311"/>
        <w:spacing w:after="0" w:line="264" w:lineRule="auto"/>
        <w:tabs>
          <w:tab w:leader="none" w:pos="2761" w:val="left"/>
        </w:tabs>
        <w:numPr>
          <w:ilvl w:val="2"/>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78"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760" w:hanging="229"/>
        <w:spacing w:after="0"/>
        <w:tabs>
          <w:tab w:leader="none" w:pos="276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65" w:lineRule="exact"/>
        <w:rPr>
          <w:rFonts w:ascii="Times New Roman" w:cs="Times New Roman" w:eastAsia="Times New Roman" w:hAnsi="Times New Roman"/>
          <w:sz w:val="14"/>
          <w:szCs w:val="14"/>
          <w:color w:val="auto"/>
        </w:rPr>
      </w:pPr>
    </w:p>
    <w:p>
      <w:pPr>
        <w:ind w:left="1480" w:right="499" w:firstLine="331"/>
        <w:spacing w:after="0" w:line="248" w:lineRule="auto"/>
        <w:tabs>
          <w:tab w:leader="none" w:pos="200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such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8" w:lineRule="exact"/>
        <w:rPr>
          <w:rFonts w:ascii="Times New Roman" w:cs="Times New Roman" w:eastAsia="Times New Roman" w:hAnsi="Times New Roman"/>
          <w:sz w:val="14"/>
          <w:szCs w:val="14"/>
          <w:color w:val="auto"/>
        </w:rPr>
      </w:pPr>
    </w:p>
    <w:p>
      <w:pPr>
        <w:ind w:left="1480" w:right="479" w:firstLine="331"/>
        <w:spacing w:after="0" w:line="246" w:lineRule="auto"/>
        <w:tabs>
          <w:tab w:leader="none" w:pos="199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such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0" w:lineRule="exact"/>
        <w:rPr>
          <w:rFonts w:ascii="Times New Roman" w:cs="Times New Roman" w:eastAsia="Times New Roman" w:hAnsi="Times New Roman"/>
          <w:sz w:val="14"/>
          <w:szCs w:val="14"/>
          <w:color w:val="auto"/>
        </w:rPr>
      </w:pPr>
    </w:p>
    <w:p>
      <w:pPr>
        <w:ind w:left="1480" w:right="579" w:firstLine="331"/>
        <w:spacing w:after="0" w:line="250" w:lineRule="auto"/>
        <w:tabs>
          <w:tab w:leader="none" w:pos="200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46" w:lineRule="exact"/>
        <w:rPr>
          <w:rFonts w:ascii="Times New Roman" w:cs="Times New Roman" w:eastAsia="Times New Roman" w:hAnsi="Times New Roman"/>
          <w:sz w:val="14"/>
          <w:szCs w:val="14"/>
          <w:color w:val="auto"/>
        </w:rPr>
      </w:pPr>
    </w:p>
    <w:p>
      <w:pPr>
        <w:ind w:left="1480" w:right="419" w:firstLine="331"/>
        <w:spacing w:after="0" w:line="264" w:lineRule="auto"/>
        <w:tabs>
          <w:tab w:leader="none" w:pos="199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78"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84" w:lineRule="exact"/>
        <w:rPr>
          <w:sz w:val="20"/>
          <w:szCs w:val="20"/>
          <w:color w:val="auto"/>
        </w:rPr>
      </w:pPr>
    </w:p>
    <w:tbl>
      <w:tblPr>
        <w:tblLayout w:type="fixed"/>
        <w:tblInd w:w="1480" w:type="dxa"/>
        <w:tblCellMar>
          <w:top w:w="0" w:type="dxa"/>
          <w:left w:w="0" w:type="dxa"/>
          <w:bottom w:w="0" w:type="dxa"/>
          <w:right w:w="0" w:type="dxa"/>
        </w:tblCellMar>
      </w:tblPr>
      <w:tr>
        <w:trPr>
          <w:trHeight w:val="142"/>
        </w:trPr>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1"/>
                <w:szCs w:val="11"/>
                <w:b w:val="1"/>
                <w:bCs w:val="1"/>
                <w:color w:val="auto"/>
                <w:w w:val="99"/>
              </w:rPr>
              <w:t>Incorporated by Reference</w:t>
            </w: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92"/>
        </w:trPr>
        <w:tc>
          <w:tcPr>
            <w:tcW w:w="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20" w:type="dxa"/>
            <w:vAlign w:val="bottom"/>
            <w:gridSpan w:val="12"/>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80" w:type="dxa"/>
            <w:vAlign w:val="bottom"/>
            <w:vMerge w:val="restart"/>
          </w:tcPr>
          <w:p>
            <w:pPr>
              <w:spacing w:after="0"/>
              <w:rPr>
                <w:sz w:val="8"/>
                <w:szCs w:val="8"/>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80" w:type="dxa"/>
            <w:vAlign w:val="bottom"/>
            <w:vMerge w:val="restart"/>
          </w:tcPr>
          <w:p>
            <w:pPr>
              <w:spacing w:after="0"/>
              <w:rPr>
                <w:sz w:val="8"/>
                <w:szCs w:val="8"/>
                <w:color w:val="auto"/>
              </w:rPr>
            </w:pPr>
          </w:p>
        </w:tc>
        <w:tc>
          <w:tcPr>
            <w:tcW w:w="920" w:type="dxa"/>
            <w:vAlign w:val="bottom"/>
            <w:gridSpan w:val="2"/>
          </w:tcPr>
          <w:p>
            <w:pPr>
              <w:jc w:val="center"/>
              <w:ind w:right="100"/>
              <w:spacing w:after="0" w:line="92" w:lineRule="exact"/>
              <w:rPr>
                <w:sz w:val="20"/>
                <w:szCs w:val="20"/>
                <w:color w:val="auto"/>
              </w:rPr>
            </w:pPr>
            <w:r>
              <w:rPr>
                <w:rFonts w:ascii="Times New Roman" w:cs="Times New Roman" w:eastAsia="Times New Roman" w:hAnsi="Times New Roman"/>
                <w:sz w:val="10"/>
                <w:szCs w:val="10"/>
                <w:b w:val="1"/>
                <w:bCs w:val="1"/>
                <w:color w:val="auto"/>
              </w:rPr>
              <w:t>File</w:t>
            </w: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vMerge w:val="restart"/>
          </w:tcPr>
          <w:p>
            <w:pPr>
              <w:spacing w:after="0"/>
              <w:rPr>
                <w:sz w:val="8"/>
                <w:szCs w:val="8"/>
                <w:color w:val="auto"/>
              </w:rPr>
            </w:pPr>
          </w:p>
        </w:tc>
        <w:tc>
          <w:tcPr>
            <w:tcW w:w="84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rPr>
              <w:t>Filing</w:t>
            </w: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2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gridSpan w:val="1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80" w:type="dxa"/>
            <w:vAlign w:val="bottom"/>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0" w:type="dxa"/>
            <w:vAlign w:val="bottom"/>
          </w:tcPr>
          <w:p>
            <w:pPr>
              <w:spacing w:after="0"/>
              <w:rPr>
                <w:sz w:val="1"/>
                <w:szCs w:val="1"/>
                <w:color w:val="auto"/>
              </w:rPr>
            </w:pPr>
          </w:p>
        </w:tc>
      </w:tr>
      <w:tr>
        <w:trPr>
          <w:trHeight w:val="194"/>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3.1</w:t>
            </w:r>
          </w:p>
        </w:tc>
        <w:tc>
          <w:tcPr>
            <w:tcW w:w="240" w:type="dxa"/>
            <w:vAlign w:val="bottom"/>
          </w:tcPr>
          <w:p>
            <w:pPr>
              <w:spacing w:after="0"/>
              <w:rPr>
                <w:sz w:val="16"/>
                <w:szCs w:val="16"/>
                <w:color w:val="auto"/>
              </w:rPr>
            </w:pPr>
          </w:p>
        </w:tc>
        <w:tc>
          <w:tcPr>
            <w:tcW w:w="4000" w:type="dxa"/>
            <w:vAlign w:val="bottom"/>
            <w:gridSpan w:val="15"/>
          </w:tcPr>
          <w:p>
            <w:pPr>
              <w:spacing w:after="0"/>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Amended and Restated Certificate of Incorporation of Broadcom Inc.</w:t>
              </w:r>
            </w:hyperlink>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10-Q</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001-38449</w:t>
            </w:r>
          </w:p>
        </w:tc>
        <w:tc>
          <w:tcPr>
            <w:tcW w:w="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09-11-2024</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80" w:type="dxa"/>
            <w:vAlign w:val="bottom"/>
            <w:tcBorders>
              <w:top w:val="single" w:sz="8" w:color="0000EE"/>
            </w:tcBorders>
            <w:gridSpan w:val="13"/>
          </w:tcPr>
          <w:p>
            <w:pPr>
              <w:spacing w:after="0" w:line="143" w:lineRule="exact"/>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(including all amendments thereto).</w:t>
              </w:r>
            </w:hyperlink>
          </w:p>
        </w:tc>
        <w:tc>
          <w:tcPr>
            <w:tcW w:w="22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3.2</w:t>
            </w:r>
          </w:p>
        </w:tc>
        <w:tc>
          <w:tcPr>
            <w:tcW w:w="240" w:type="dxa"/>
            <w:vAlign w:val="bottom"/>
          </w:tcPr>
          <w:p>
            <w:pPr>
              <w:spacing w:after="0"/>
              <w:rPr>
                <w:sz w:val="19"/>
                <w:szCs w:val="19"/>
                <w:color w:val="auto"/>
              </w:rPr>
            </w:pPr>
          </w:p>
        </w:tc>
        <w:tc>
          <w:tcPr>
            <w:tcW w:w="270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w w:val="96"/>
              </w:rPr>
            </w:pPr>
            <w:hyperlink r:id="rId111">
              <w:r>
                <w:rPr>
                  <w:rFonts w:ascii="Times New Roman" w:cs="Times New Roman" w:eastAsia="Times New Roman" w:hAnsi="Times New Roman"/>
                  <w:sz w:val="14"/>
                  <w:szCs w:val="14"/>
                  <w:color w:val="0000EE"/>
                  <w:w w:val="96"/>
                </w:rPr>
                <w:t>Amended and Restated Bylaws of Broadcom Inc.</w:t>
              </w:r>
            </w:hyperlink>
          </w:p>
        </w:tc>
        <w:tc>
          <w:tcPr>
            <w:tcW w:w="1300" w:type="dxa"/>
            <w:vAlign w:val="bottom"/>
            <w:gridSpan w:val="10"/>
          </w:tcPr>
          <w:p>
            <w:pPr>
              <w:spacing w:after="0"/>
              <w:rPr>
                <w:sz w:val="19"/>
                <w:szCs w:val="19"/>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8-K12B</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001-38449</w:t>
            </w:r>
          </w:p>
        </w:tc>
        <w:tc>
          <w:tcPr>
            <w:tcW w:w="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04-04-2018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4.1</w:t>
            </w:r>
          </w:p>
        </w:tc>
        <w:tc>
          <w:tcPr>
            <w:tcW w:w="240" w:type="dxa"/>
            <w:vAlign w:val="bottom"/>
          </w:tcPr>
          <w:p>
            <w:pPr>
              <w:spacing w:after="0"/>
              <w:rPr>
                <w:sz w:val="19"/>
                <w:szCs w:val="19"/>
                <w:color w:val="auto"/>
              </w:rPr>
            </w:pPr>
          </w:p>
        </w:tc>
        <w:tc>
          <w:tcPr>
            <w:tcW w:w="4000" w:type="dxa"/>
            <w:vAlign w:val="bottom"/>
            <w:gridSpan w:val="15"/>
          </w:tcPr>
          <w:p>
            <w:pPr>
              <w:spacing w:after="0"/>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Indenture, dated as of September 30, 2021, by and between the Issuer</w:t>
              </w:r>
            </w:hyperlink>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001-38449</w:t>
            </w:r>
          </w:p>
        </w:tc>
        <w:tc>
          <w:tcPr>
            <w:tcW w:w="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09-30-2021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80" w:type="dxa"/>
            <w:vAlign w:val="bottom"/>
            <w:tcBorders>
              <w:top w:val="single" w:sz="8" w:color="0000EE"/>
            </w:tcBorders>
            <w:gridSpan w:val="13"/>
          </w:tcPr>
          <w:p>
            <w:pPr>
              <w:spacing w:after="0" w:line="143" w:lineRule="exact"/>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and Wilmington Trust, National Association, as trustee.</w:t>
              </w:r>
            </w:hyperlink>
          </w:p>
        </w:tc>
        <w:tc>
          <w:tcPr>
            <w:tcW w:w="22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4.2</w:t>
            </w:r>
          </w:p>
        </w:tc>
        <w:tc>
          <w:tcPr>
            <w:tcW w:w="240" w:type="dxa"/>
            <w:vAlign w:val="bottom"/>
          </w:tcPr>
          <w:p>
            <w:pPr>
              <w:spacing w:after="0"/>
              <w:rPr>
                <w:sz w:val="19"/>
                <w:szCs w:val="19"/>
                <w:color w:val="auto"/>
              </w:rPr>
            </w:pPr>
          </w:p>
        </w:tc>
        <w:tc>
          <w:tcPr>
            <w:tcW w:w="350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w w:val="97"/>
              </w:rPr>
            </w:pPr>
            <w:hyperlink r:id="rId113">
              <w:r>
                <w:rPr>
                  <w:rFonts w:ascii="Times New Roman" w:cs="Times New Roman" w:eastAsia="Times New Roman" w:hAnsi="Times New Roman"/>
                  <w:sz w:val="14"/>
                  <w:szCs w:val="14"/>
                  <w:color w:val="0000EE"/>
                  <w:w w:val="97"/>
                </w:rPr>
                <w:t>Supplemental Indenture No. 1, dated as of June 3, 2026, by and</w:t>
              </w:r>
            </w:hyperlink>
          </w:p>
        </w:tc>
        <w:tc>
          <w:tcPr>
            <w:tcW w:w="500" w:type="dxa"/>
            <w:vAlign w:val="bottom"/>
            <w:gridSpan w:val="8"/>
          </w:tcPr>
          <w:p>
            <w:pPr>
              <w:spacing w:after="0"/>
              <w:rPr>
                <w:sz w:val="19"/>
                <w:szCs w:val="19"/>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10-Q</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001-38449</w:t>
            </w:r>
          </w:p>
        </w:tc>
        <w:tc>
          <w:tcPr>
            <w:tcW w:w="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4.30</w:t>
            </w: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06-09-2026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0" w:type="dxa"/>
            <w:vAlign w:val="bottom"/>
            <w:gridSpan w:val="15"/>
          </w:tcPr>
          <w:p>
            <w:pPr>
              <w:spacing w:after="0" w:line="143" w:lineRule="exact"/>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between the Issuer and Wilmington Trust, National Association, as</w:t>
              </w:r>
            </w:hyperlink>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top w:val="single" w:sz="8" w:color="0000EE"/>
              <w:bottom w:val="single" w:sz="8" w:color="0000EE"/>
            </w:tcBorders>
          </w:tcPr>
          <w:p>
            <w:pPr>
              <w:spacing w:after="0" w:line="143" w:lineRule="exact"/>
              <w:rPr>
                <w:rFonts w:ascii="Times New Roman" w:cs="Times New Roman" w:eastAsia="Times New Roman" w:hAnsi="Times New Roman"/>
                <w:sz w:val="14"/>
                <w:szCs w:val="14"/>
                <w:color w:val="0000EE"/>
                <w:w w:val="92"/>
              </w:rPr>
            </w:pPr>
            <w:hyperlink r:id="rId113">
              <w:r>
                <w:rPr>
                  <w:rFonts w:ascii="Times New Roman" w:cs="Times New Roman" w:eastAsia="Times New Roman" w:hAnsi="Times New Roman"/>
                  <w:sz w:val="14"/>
                  <w:szCs w:val="14"/>
                  <w:color w:val="0000EE"/>
                  <w:w w:val="92"/>
                </w:rPr>
                <w:t>trustee.</w:t>
              </w:r>
            </w:hyperlink>
          </w:p>
        </w:tc>
        <w:tc>
          <w:tcPr>
            <w:tcW w:w="3240" w:type="dxa"/>
            <w:vAlign w:val="bottom"/>
            <w:tcBorders>
              <w:top w:val="single" w:sz="8" w:color="0000EE"/>
            </w:tcBorders>
            <w:gridSpan w:val="8"/>
          </w:tcPr>
          <w:p>
            <w:pPr>
              <w:spacing w:after="0"/>
              <w:rPr>
                <w:sz w:val="12"/>
                <w:szCs w:val="12"/>
                <w:color w:val="auto"/>
              </w:rPr>
            </w:pPr>
          </w:p>
        </w:tc>
        <w:tc>
          <w:tcPr>
            <w:tcW w:w="360" w:type="dxa"/>
            <w:vAlign w:val="bottom"/>
            <w:gridSpan w:val="6"/>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4.3</w:t>
            </w:r>
          </w:p>
        </w:tc>
        <w:tc>
          <w:tcPr>
            <w:tcW w:w="240" w:type="dxa"/>
            <w:vAlign w:val="bottom"/>
          </w:tcPr>
          <w:p>
            <w:pPr>
              <w:spacing w:after="0"/>
              <w:rPr>
                <w:sz w:val="19"/>
                <w:szCs w:val="19"/>
                <w:color w:val="auto"/>
              </w:rPr>
            </w:pPr>
          </w:p>
        </w:tc>
        <w:tc>
          <w:tcPr>
            <w:tcW w:w="4000" w:type="dxa"/>
            <w:vAlign w:val="bottom"/>
            <w:gridSpan w:val="15"/>
          </w:tcPr>
          <w:p>
            <w:pPr>
              <w:spacing w:after="0"/>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Form of 3.137% Senior Notes due 2035 (included in Exhibit 4.1).</w:t>
              </w:r>
            </w:hyperlink>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001-38449</w:t>
            </w:r>
          </w:p>
        </w:tc>
        <w:tc>
          <w:tcPr>
            <w:tcW w:w="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09-30-2021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4.4</w:t>
            </w:r>
          </w:p>
        </w:tc>
        <w:tc>
          <w:tcPr>
            <w:tcW w:w="240" w:type="dxa"/>
            <w:vAlign w:val="bottom"/>
          </w:tcPr>
          <w:p>
            <w:pPr>
              <w:spacing w:after="0"/>
              <w:rPr>
                <w:sz w:val="19"/>
                <w:szCs w:val="19"/>
                <w:color w:val="auto"/>
              </w:rPr>
            </w:pPr>
          </w:p>
        </w:tc>
        <w:tc>
          <w:tcPr>
            <w:tcW w:w="4000" w:type="dxa"/>
            <w:vAlign w:val="bottom"/>
            <w:gridSpan w:val="15"/>
          </w:tcPr>
          <w:p>
            <w:pPr>
              <w:spacing w:after="0"/>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Form of 3.187% Senior Notes due 2036 (included in Exhibit 4.1).</w:t>
              </w:r>
            </w:hyperlink>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001-38449</w:t>
            </w:r>
          </w:p>
        </w:tc>
        <w:tc>
          <w:tcPr>
            <w:tcW w:w="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09-30-2021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4.5</w:t>
            </w:r>
          </w:p>
        </w:tc>
        <w:tc>
          <w:tcPr>
            <w:tcW w:w="240" w:type="dxa"/>
            <w:vAlign w:val="bottom"/>
          </w:tcPr>
          <w:p>
            <w:pPr>
              <w:spacing w:after="0"/>
              <w:rPr>
                <w:sz w:val="19"/>
                <w:szCs w:val="19"/>
                <w:color w:val="auto"/>
              </w:rPr>
            </w:pPr>
          </w:p>
        </w:tc>
        <w:tc>
          <w:tcPr>
            <w:tcW w:w="372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w w:val="97"/>
              </w:rPr>
            </w:pPr>
            <w:hyperlink r:id="rId114">
              <w:r>
                <w:rPr>
                  <w:rFonts w:ascii="Times New Roman" w:cs="Times New Roman" w:eastAsia="Times New Roman" w:hAnsi="Times New Roman"/>
                  <w:sz w:val="14"/>
                  <w:szCs w:val="14"/>
                  <w:color w:val="0000EE"/>
                  <w:w w:val="97"/>
                </w:rPr>
                <w:t>Registration Rights Agreement, dated as of September 30, 2021, by</w:t>
              </w:r>
            </w:hyperlink>
          </w:p>
        </w:tc>
        <w:tc>
          <w:tcPr>
            <w:tcW w:w="280" w:type="dxa"/>
            <w:vAlign w:val="bottom"/>
            <w:gridSpan w:val="4"/>
          </w:tcPr>
          <w:p>
            <w:pPr>
              <w:spacing w:after="0"/>
              <w:rPr>
                <w:sz w:val="19"/>
                <w:szCs w:val="19"/>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001-38449</w:t>
            </w:r>
          </w:p>
        </w:tc>
        <w:tc>
          <w:tcPr>
            <w:tcW w:w="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09-30-2021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0" w:type="dxa"/>
            <w:vAlign w:val="bottom"/>
            <w:gridSpan w:val="15"/>
          </w:tcPr>
          <w:p>
            <w:pPr>
              <w:spacing w:after="0" w:line="143"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and among the Issuer and BNP Paribas Securities Corp., J.P. Morgan</w:t>
              </w:r>
            </w:hyperlink>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80" w:type="dxa"/>
            <w:vAlign w:val="bottom"/>
            <w:tcBorders>
              <w:top w:val="single" w:sz="8" w:color="0000EE"/>
              <w:bottom w:val="single" w:sz="8" w:color="0000EE"/>
            </w:tcBorders>
            <w:gridSpan w:val="10"/>
          </w:tcPr>
          <w:p>
            <w:pPr>
              <w:spacing w:after="0" w:line="143" w:lineRule="exact"/>
              <w:rPr>
                <w:rFonts w:ascii="Times New Roman" w:cs="Times New Roman" w:eastAsia="Times New Roman" w:hAnsi="Times New Roman"/>
                <w:sz w:val="14"/>
                <w:szCs w:val="14"/>
                <w:color w:val="0000EE"/>
                <w:w w:val="96"/>
              </w:rPr>
            </w:pPr>
            <w:hyperlink r:id="rId114">
              <w:r>
                <w:rPr>
                  <w:rFonts w:ascii="Times New Roman" w:cs="Times New Roman" w:eastAsia="Times New Roman" w:hAnsi="Times New Roman"/>
                  <w:sz w:val="14"/>
                  <w:szCs w:val="14"/>
                  <w:color w:val="0000EE"/>
                  <w:w w:val="96"/>
                </w:rPr>
                <w:t>Securities LLC and TD Securities (USA) LLC, as dealer managers.</w:t>
              </w:r>
            </w:hyperlink>
          </w:p>
        </w:tc>
        <w:tc>
          <w:tcPr>
            <w:tcW w:w="60" w:type="dxa"/>
            <w:vAlign w:val="bottom"/>
            <w:tcBorders>
              <w:top w:val="single" w:sz="8" w:color="0000EE"/>
            </w:tcBorders>
            <w:gridSpan w:val="2"/>
          </w:tcPr>
          <w:p>
            <w:pPr>
              <w:spacing w:after="0"/>
              <w:rPr>
                <w:sz w:val="12"/>
                <w:szCs w:val="12"/>
                <w:color w:val="auto"/>
              </w:rPr>
            </w:pPr>
          </w:p>
        </w:tc>
        <w:tc>
          <w:tcPr>
            <w:tcW w:w="26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5.1</w:t>
            </w:r>
          </w:p>
        </w:tc>
        <w:tc>
          <w:tcPr>
            <w:tcW w:w="240" w:type="dxa"/>
            <w:vAlign w:val="bottom"/>
          </w:tcPr>
          <w:p>
            <w:pPr>
              <w:spacing w:after="0"/>
              <w:rPr>
                <w:sz w:val="19"/>
                <w:szCs w:val="19"/>
                <w:color w:val="auto"/>
              </w:rPr>
            </w:pPr>
          </w:p>
        </w:tc>
        <w:tc>
          <w:tcPr>
            <w:tcW w:w="24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6"/>
              </w:rPr>
              <w:t>Opinion of Wachtell, Lipton, Rosen &amp; Katz.</w:t>
            </w:r>
          </w:p>
        </w:tc>
        <w:tc>
          <w:tcPr>
            <w:tcW w:w="1580" w:type="dxa"/>
            <w:vAlign w:val="bottom"/>
            <w:gridSpan w:val="11"/>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225"/>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  21.1</w:t>
            </w:r>
          </w:p>
        </w:tc>
        <w:tc>
          <w:tcPr>
            <w:tcW w:w="240" w:type="dxa"/>
            <w:vAlign w:val="bottom"/>
          </w:tcPr>
          <w:p>
            <w:pPr>
              <w:spacing w:after="0"/>
              <w:rPr>
                <w:sz w:val="19"/>
                <w:szCs w:val="19"/>
                <w:color w:val="auto"/>
              </w:rPr>
            </w:pPr>
          </w:p>
        </w:tc>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6"/>
              </w:rPr>
              <w:t>List of Subsidiaries.</w:t>
            </w:r>
          </w:p>
        </w:tc>
        <w:tc>
          <w:tcPr>
            <w:tcW w:w="2900" w:type="dxa"/>
            <w:vAlign w:val="bottom"/>
            <w:gridSpan w:val="13"/>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620" w:hanging="66"/>
        <w:spacing w:after="0"/>
        <w:tabs>
          <w:tab w:leader="none" w:pos="16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23.1</w:t>
      </w:r>
      <w:r>
        <w:rPr>
          <w:rFonts w:ascii="Times New Roman" w:cs="Times New Roman" w:eastAsia="Times New Roman" w:hAnsi="Times New Roman"/>
          <w:sz w:val="12"/>
          <w:szCs w:val="12"/>
          <w:u w:val="single" w:color="auto"/>
          <w:color w:val="0000EE"/>
        </w:rPr>
        <w:t>Consent of PricewaterhouseCoopers LLP, independent registered</w:t>
      </w:r>
    </w:p>
    <w:p>
      <w:pPr>
        <w:spacing w:after="0" w:line="10"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6"/>
              </w:rPr>
              <w:t>public accounting firm.</w:t>
            </w:r>
          </w:p>
        </w:tc>
        <w:tc>
          <w:tcPr>
            <w:tcW w:w="4260" w:type="dxa"/>
            <w:vAlign w:val="bottom"/>
            <w:gridSpan w:val="3"/>
          </w:tcPr>
          <w:p>
            <w:pPr>
              <w:spacing w:after="0"/>
              <w:rPr>
                <w:sz w:val="13"/>
                <w:szCs w:val="13"/>
                <w:color w:val="auto"/>
              </w:rPr>
            </w:pPr>
          </w:p>
        </w:tc>
        <w:tc>
          <w:tcPr>
            <w:tcW w:w="1840" w:type="dxa"/>
            <w:vAlign w:val="bottom"/>
          </w:tcPr>
          <w:p>
            <w:pPr>
              <w:ind w:left="1760"/>
              <w:spacing w:after="0"/>
              <w:rPr>
                <w:sz w:val="20"/>
                <w:szCs w:val="20"/>
                <w:color w:val="auto"/>
              </w:rPr>
            </w:pPr>
            <w:r>
              <w:rPr>
                <w:rFonts w:ascii="Times New Roman" w:cs="Times New Roman" w:eastAsia="Times New Roman" w:hAnsi="Times New Roman"/>
                <w:sz w:val="11"/>
                <w:szCs w:val="11"/>
                <w:color w:val="auto"/>
                <w:w w:val="74"/>
              </w:rPr>
              <w:t>X</w:t>
            </w:r>
          </w:p>
        </w:tc>
      </w:tr>
      <w:tr>
        <w:trPr>
          <w:trHeight w:val="225"/>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5540" w:type="dxa"/>
            <w:vAlign w:val="bottom"/>
            <w:gridSpan w:val="4"/>
          </w:tcPr>
          <w:p>
            <w:pPr>
              <w:spacing w:after="0"/>
              <w:rPr>
                <w:sz w:val="20"/>
                <w:szCs w:val="20"/>
                <w:color w:val="auto"/>
              </w:rPr>
            </w:pPr>
            <w:r>
              <w:rPr>
                <w:rFonts w:ascii="Times New Roman" w:cs="Times New Roman" w:eastAsia="Times New Roman" w:hAnsi="Times New Roman"/>
                <w:sz w:val="14"/>
                <w:szCs w:val="14"/>
                <w:color w:val="0000EE"/>
              </w:rPr>
              <w:t>Consent of Wachtell, Lipton, Rosen &amp; Katz (included in Exhibit 5.1).</w:t>
            </w:r>
          </w:p>
        </w:tc>
        <w:tc>
          <w:tcPr>
            <w:tcW w:w="1840" w:type="dxa"/>
            <w:vAlign w:val="bottom"/>
          </w:tcPr>
          <w:p>
            <w:pPr>
              <w:ind w:left="1760"/>
              <w:spacing w:after="0"/>
              <w:rPr>
                <w:sz w:val="20"/>
                <w:szCs w:val="20"/>
                <w:color w:val="auto"/>
              </w:rPr>
            </w:pPr>
            <w:r>
              <w:rPr>
                <w:rFonts w:ascii="Times New Roman" w:cs="Times New Roman" w:eastAsia="Times New Roman" w:hAnsi="Times New Roman"/>
                <w:sz w:val="11"/>
                <w:szCs w:val="11"/>
                <w:color w:val="auto"/>
                <w:w w:val="74"/>
              </w:rPr>
              <w:t>X</w:t>
            </w:r>
          </w:p>
        </w:tc>
      </w:tr>
      <w:tr>
        <w:trPr>
          <w:trHeight w:val="225"/>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37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Powers of Attorney (included on signature pages).</w:t>
            </w:r>
          </w:p>
        </w:tc>
        <w:tc>
          <w:tcPr>
            <w:tcW w:w="1760" w:type="dxa"/>
            <w:vAlign w:val="bottom"/>
          </w:tcPr>
          <w:p>
            <w:pPr>
              <w:spacing w:after="0"/>
              <w:rPr>
                <w:sz w:val="19"/>
                <w:szCs w:val="19"/>
                <w:color w:val="auto"/>
              </w:rPr>
            </w:pPr>
          </w:p>
        </w:tc>
        <w:tc>
          <w:tcPr>
            <w:tcW w:w="1840" w:type="dxa"/>
            <w:vAlign w:val="bottom"/>
          </w:tcPr>
          <w:p>
            <w:pPr>
              <w:ind w:left="1760"/>
              <w:spacing w:after="0"/>
              <w:rPr>
                <w:sz w:val="20"/>
                <w:szCs w:val="20"/>
                <w:color w:val="auto"/>
              </w:rPr>
            </w:pPr>
            <w:r>
              <w:rPr>
                <w:rFonts w:ascii="Times New Roman" w:cs="Times New Roman" w:eastAsia="Times New Roman" w:hAnsi="Times New Roman"/>
                <w:sz w:val="11"/>
                <w:szCs w:val="11"/>
                <w:color w:val="auto"/>
                <w:w w:val="74"/>
              </w:rPr>
              <w:t>X</w:t>
            </w:r>
          </w:p>
        </w:tc>
      </w:tr>
      <w:tr>
        <w:trPr>
          <w:trHeight w:val="20"/>
        </w:trPr>
        <w:tc>
          <w:tcPr>
            <w:tcW w:w="6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89" w:lineRule="exact"/>
        <w:rPr>
          <w:sz w:val="20"/>
          <w:szCs w:val="20"/>
          <w:color w:val="auto"/>
        </w:rPr>
      </w:pPr>
    </w:p>
    <w:p>
      <w:pPr>
        <w:ind w:left="1620" w:hanging="66"/>
        <w:spacing w:after="0"/>
        <w:tabs>
          <w:tab w:leader="none" w:pos="16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25.1</w:t>
      </w:r>
      <w:r>
        <w:rPr>
          <w:rFonts w:ascii="Times New Roman" w:cs="Times New Roman" w:eastAsia="Times New Roman" w:hAnsi="Times New Roman"/>
          <w:sz w:val="12"/>
          <w:szCs w:val="12"/>
          <w:u w:val="single" w:color="auto"/>
          <w:color w:val="0000EE"/>
        </w:rPr>
        <w:t>Form T-1 Statement of Eligibility and Qualification of the Trustee</w:t>
      </w:r>
    </w:p>
    <w:p>
      <w:pPr>
        <w:spacing w:after="0" w:line="10"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under the Trust Indenture Act of 1939.</w:t>
            </w:r>
          </w:p>
        </w:tc>
        <w:tc>
          <w:tcPr>
            <w:tcW w:w="1880" w:type="dxa"/>
            <w:vAlign w:val="bottom"/>
          </w:tcPr>
          <w:p>
            <w:pPr>
              <w:ind w:left="1800"/>
              <w:spacing w:after="0"/>
              <w:rPr>
                <w:sz w:val="20"/>
                <w:szCs w:val="20"/>
                <w:color w:val="auto"/>
              </w:rPr>
            </w:pPr>
            <w:r>
              <w:rPr>
                <w:rFonts w:ascii="Times New Roman" w:cs="Times New Roman" w:eastAsia="Times New Roman" w:hAnsi="Times New Roman"/>
                <w:sz w:val="11"/>
                <w:szCs w:val="11"/>
                <w:color w:val="auto"/>
                <w:w w:val="74"/>
              </w:rPr>
              <w:t>X</w:t>
            </w:r>
          </w:p>
        </w:tc>
      </w:tr>
      <w:tr>
        <w:trPr>
          <w:trHeight w:val="20"/>
        </w:trPr>
        <w:tc>
          <w:tcPr>
            <w:tcW w:w="6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5"/>
        </w:trPr>
        <w:tc>
          <w:tcPr>
            <w:tcW w:w="620" w:type="dxa"/>
            <w:vAlign w:val="bottom"/>
          </w:tcPr>
          <w:p>
            <w:pPr>
              <w:jc w:val="center"/>
              <w:ind w:right="252"/>
              <w:spacing w:after="0"/>
              <w:rPr>
                <w:sz w:val="20"/>
                <w:szCs w:val="20"/>
                <w:color w:val="auto"/>
              </w:rPr>
            </w:pPr>
            <w:r>
              <w:rPr>
                <w:rFonts w:ascii="Times New Roman" w:cs="Times New Roman" w:eastAsia="Times New Roman" w:hAnsi="Times New Roman"/>
                <w:sz w:val="14"/>
                <w:szCs w:val="14"/>
                <w:color w:val="auto"/>
                <w:w w:val="85"/>
              </w:rPr>
              <w:t>  99.1</w:t>
            </w:r>
          </w:p>
        </w:tc>
        <w:tc>
          <w:tcPr>
            <w:tcW w:w="3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6"/>
              </w:rPr>
              <w:t>Form of Letter to DTC Participants Regarding the Exchange Offer.</w:t>
            </w:r>
          </w:p>
        </w:tc>
        <w:tc>
          <w:tcPr>
            <w:tcW w:w="1840" w:type="dxa"/>
            <w:vAlign w:val="bottom"/>
            <w:gridSpan w:val="2"/>
          </w:tcPr>
          <w:p>
            <w:pPr>
              <w:spacing w:after="0"/>
              <w:rPr>
                <w:sz w:val="19"/>
                <w:szCs w:val="19"/>
                <w:color w:val="auto"/>
              </w:rPr>
            </w:pPr>
          </w:p>
        </w:tc>
        <w:tc>
          <w:tcPr>
            <w:tcW w:w="1880" w:type="dxa"/>
            <w:vAlign w:val="bottom"/>
          </w:tcPr>
          <w:p>
            <w:pPr>
              <w:ind w:left="1800"/>
              <w:spacing w:after="0"/>
              <w:rPr>
                <w:sz w:val="20"/>
                <w:szCs w:val="20"/>
                <w:color w:val="auto"/>
              </w:rPr>
            </w:pPr>
            <w:r>
              <w:rPr>
                <w:rFonts w:ascii="Times New Roman" w:cs="Times New Roman" w:eastAsia="Times New Roman" w:hAnsi="Times New Roman"/>
                <w:sz w:val="11"/>
                <w:szCs w:val="11"/>
                <w:color w:val="auto"/>
                <w:w w:val="74"/>
              </w:rPr>
              <w:t>X</w:t>
            </w:r>
          </w:p>
        </w:tc>
      </w:tr>
      <w:tr>
        <w:trPr>
          <w:trHeight w:val="225"/>
        </w:trPr>
        <w:tc>
          <w:tcPr>
            <w:tcW w:w="620" w:type="dxa"/>
            <w:vAlign w:val="bottom"/>
          </w:tcPr>
          <w:p>
            <w:pPr>
              <w:jc w:val="center"/>
              <w:ind w:right="252"/>
              <w:spacing w:after="0"/>
              <w:rPr>
                <w:sz w:val="20"/>
                <w:szCs w:val="20"/>
                <w:color w:val="auto"/>
              </w:rPr>
            </w:pPr>
            <w:r>
              <w:rPr>
                <w:rFonts w:ascii="Times New Roman" w:cs="Times New Roman" w:eastAsia="Times New Roman" w:hAnsi="Times New Roman"/>
                <w:sz w:val="14"/>
                <w:szCs w:val="14"/>
                <w:color w:val="auto"/>
                <w:w w:val="85"/>
              </w:rPr>
              <w:t>  99.2</w:t>
            </w:r>
          </w:p>
        </w:tc>
        <w:tc>
          <w:tcPr>
            <w:tcW w:w="550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Form of Letter to Beneficial Holders Regarding the Exchange Offer.</w:t>
            </w:r>
          </w:p>
        </w:tc>
        <w:tc>
          <w:tcPr>
            <w:tcW w:w="1880" w:type="dxa"/>
            <w:vAlign w:val="bottom"/>
          </w:tcPr>
          <w:p>
            <w:pPr>
              <w:ind w:left="1800"/>
              <w:spacing w:after="0"/>
              <w:rPr>
                <w:sz w:val="20"/>
                <w:szCs w:val="20"/>
                <w:color w:val="auto"/>
              </w:rPr>
            </w:pPr>
            <w:r>
              <w:rPr>
                <w:rFonts w:ascii="Times New Roman" w:cs="Times New Roman" w:eastAsia="Times New Roman" w:hAnsi="Times New Roman"/>
                <w:sz w:val="11"/>
                <w:szCs w:val="11"/>
                <w:color w:val="auto"/>
                <w:w w:val="74"/>
              </w:rPr>
              <w:t>X</w:t>
            </w:r>
          </w:p>
        </w:tc>
      </w:tr>
      <w:tr>
        <w:trPr>
          <w:trHeight w:val="225"/>
        </w:trPr>
        <w:tc>
          <w:tcPr>
            <w:tcW w:w="620" w:type="dxa"/>
            <w:vAlign w:val="bottom"/>
          </w:tcPr>
          <w:p>
            <w:pPr>
              <w:jc w:val="center"/>
              <w:ind w:right="252"/>
              <w:spacing w:after="0"/>
              <w:rPr>
                <w:sz w:val="20"/>
                <w:szCs w:val="20"/>
                <w:color w:val="auto"/>
              </w:rPr>
            </w:pPr>
            <w:r>
              <w:rPr>
                <w:rFonts w:ascii="Times New Roman" w:cs="Times New Roman" w:eastAsia="Times New Roman" w:hAnsi="Times New Roman"/>
                <w:sz w:val="14"/>
                <w:szCs w:val="14"/>
                <w:color w:val="auto"/>
                <w:w w:val="82"/>
              </w:rPr>
              <w:t>  107</w:t>
            </w:r>
          </w:p>
        </w:tc>
        <w:tc>
          <w:tcPr>
            <w:tcW w:w="37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1780" w:type="dxa"/>
            <w:vAlign w:val="bottom"/>
          </w:tcPr>
          <w:p>
            <w:pPr>
              <w:spacing w:after="0"/>
              <w:rPr>
                <w:sz w:val="19"/>
                <w:szCs w:val="19"/>
                <w:color w:val="auto"/>
              </w:rPr>
            </w:pPr>
          </w:p>
        </w:tc>
        <w:tc>
          <w:tcPr>
            <w:tcW w:w="1880" w:type="dxa"/>
            <w:vAlign w:val="bottom"/>
          </w:tcPr>
          <w:p>
            <w:pPr>
              <w:ind w:left="1800"/>
              <w:spacing w:after="0"/>
              <w:rPr>
                <w:sz w:val="20"/>
                <w:szCs w:val="20"/>
                <w:color w:val="auto"/>
              </w:rPr>
            </w:pPr>
            <w:r>
              <w:rPr>
                <w:rFonts w:ascii="Times New Roman" w:cs="Times New Roman" w:eastAsia="Times New Roman" w:hAnsi="Times New Roman"/>
                <w:sz w:val="11"/>
                <w:szCs w:val="11"/>
                <w:color w:val="auto"/>
                <w:w w:val="74"/>
              </w:rPr>
              <w:t>X</w:t>
            </w:r>
          </w:p>
        </w:tc>
      </w:tr>
      <w:tr>
        <w:trPr>
          <w:trHeight w:val="286"/>
        </w:trPr>
        <w:tc>
          <w:tcPr>
            <w:tcW w:w="62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3400" w:type="dxa"/>
            <w:vAlign w:val="bottom"/>
            <w:gridSpan w:val="3"/>
          </w:tcPr>
          <w:p>
            <w:pPr>
              <w:ind w:left="1260"/>
              <w:spacing w:after="0"/>
              <w:rPr>
                <w:sz w:val="20"/>
                <w:szCs w:val="20"/>
                <w:color w:val="auto"/>
              </w:rPr>
            </w:pPr>
            <w:r>
              <w:rPr>
                <w:rFonts w:ascii="Times New Roman" w:cs="Times New Roman" w:eastAsia="Times New Roman" w:hAnsi="Times New Roman"/>
                <w:sz w:val="14"/>
                <w:szCs w:val="14"/>
                <w:color w:val="auto"/>
              </w:rPr>
              <w:t>II-4</w:t>
            </w:r>
          </w:p>
        </w:tc>
        <w:tc>
          <w:tcPr>
            <w:tcW w:w="1880" w:type="dxa"/>
            <w:vAlign w:val="bottom"/>
          </w:tcPr>
          <w:p>
            <w:pPr>
              <w:spacing w:after="0"/>
              <w:rPr>
                <w:sz w:val="24"/>
                <w:szCs w:val="24"/>
                <w:color w:val="auto"/>
              </w:rPr>
            </w:pPr>
          </w:p>
        </w:tc>
      </w:tr>
    </w:tbl>
    <w:p>
      <w:pPr>
        <w:sectPr>
          <w:pgSz w:w="11900" w:h="16838" w:orient="portrait"/>
          <w:cols w:equalWidth="0" w:num="1">
            <w:col w:w="10159"/>
          </w:cols>
          <w:pgMar w:left="300" w:top="378"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ind w:left="1480" w:right="759" w:firstLine="333"/>
        <w:spacing w:after="0" w:line="264"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has duly caused this registration statement to be signed on its behalf by the undersigned, thereunto duly authorized, in the City of Palo Alto, State of California, on the 9th day of June, 2026.</w:t>
      </w:r>
    </w:p>
    <w:p>
      <w:pPr>
        <w:spacing w:after="0" w:line="15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BROADCOM INC.</w:t>
      </w:r>
    </w:p>
    <w:p>
      <w:pPr>
        <w:spacing w:after="0" w:line="16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By: /s/ Kirsten M. Spears</w:t>
      </w:r>
    </w:p>
    <w:p>
      <w:pPr>
        <w:spacing w:after="0" w:line="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Kirsten M. Spears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-100965</wp:posOffset>
            </wp:positionV>
            <wp:extent cx="196469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1964690" cy="6350"/>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0" w:lineRule="exact"/>
        <w:rPr>
          <w:sz w:val="20"/>
          <w:szCs w:val="20"/>
          <w:color w:val="auto"/>
        </w:rPr>
      </w:pPr>
    </w:p>
    <w:p>
      <w:pPr>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Each person whose individual signature appears below hereby authorizes and appoints Hock E. Tan, Amie Thuener and Mark Brazeal,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Registration Statement, including any and all post-effective amendments and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 This power of attorney may be executed in counterparts.</w:t>
      </w:r>
    </w:p>
    <w:p>
      <w:pPr>
        <w:spacing w:after="0" w:line="150" w:lineRule="exact"/>
        <w:rPr>
          <w:sz w:val="20"/>
          <w:szCs w:val="20"/>
          <w:color w:val="auto"/>
        </w:rPr>
      </w:pPr>
    </w:p>
    <w:p>
      <w:pPr>
        <w:ind w:left="1480" w:right="379" w:firstLine="333"/>
        <w:spacing w:after="0" w:line="264" w:lineRule="auto"/>
        <w:rPr>
          <w:sz w:val="20"/>
          <w:szCs w:val="20"/>
          <w:color w:val="auto"/>
        </w:rPr>
      </w:pPr>
      <w:r>
        <w:rPr>
          <w:rFonts w:ascii="Times New Roman" w:cs="Times New Roman" w:eastAsia="Times New Roman" w:hAnsi="Times New Roman"/>
          <w:sz w:val="14"/>
          <w:szCs w:val="14"/>
          <w:color w:val="auto"/>
        </w:rPr>
        <w:t>Pursuant to the requirements of the Securities Act, this registration statement has been signed by the following persons in the capacities and on the dates indicated.</w:t>
      </w:r>
    </w:p>
    <w:p>
      <w:pPr>
        <w:spacing w:after="0" w:line="150" w:lineRule="exact"/>
        <w:rPr>
          <w:sz w:val="20"/>
          <w:szCs w:val="20"/>
          <w:color w:val="auto"/>
        </w:rPr>
      </w:pPr>
    </w:p>
    <w:tbl>
      <w:tblPr>
        <w:tblLayout w:type="fixed"/>
        <w:tblInd w:w="1480" w:type="dxa"/>
        <w:tblCellMar>
          <w:top w:w="0" w:type="dxa"/>
          <w:left w:w="0" w:type="dxa"/>
          <w:bottom w:w="0" w:type="dxa"/>
          <w:right w:w="0" w:type="dxa"/>
        </w:tblCellMar>
      </w:tblPr>
      <w:tr>
        <w:trPr>
          <w:trHeight w:val="142"/>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80" w:type="dxa"/>
            <w:vAlign w:val="bottom"/>
          </w:tcPr>
          <w:p>
            <w:pPr>
              <w:spacing w:after="0"/>
              <w:rPr>
                <w:sz w:val="12"/>
                <w:szCs w:val="12"/>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60" w:type="dxa"/>
            <w:vAlign w:val="bottom"/>
          </w:tcPr>
          <w:p>
            <w:pPr>
              <w:spacing w:after="0"/>
              <w:rPr>
                <w:sz w:val="12"/>
                <w:szCs w:val="1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06"/>
        </w:trPr>
        <w:tc>
          <w:tcPr>
            <w:tcW w:w="27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w w:val="95"/>
              </w:rPr>
              <w:t>/s/ Hock E. Tan</w:t>
            </w:r>
          </w:p>
        </w:tc>
        <w:tc>
          <w:tcPr>
            <w:tcW w:w="80" w:type="dxa"/>
            <w:vAlign w:val="bottom"/>
          </w:tcPr>
          <w:p>
            <w:pPr>
              <w:spacing w:after="0"/>
              <w:rPr>
                <w:sz w:val="24"/>
                <w:szCs w:val="24"/>
                <w:color w:val="auto"/>
              </w:rPr>
            </w:pPr>
          </w:p>
        </w:tc>
        <w:tc>
          <w:tcPr>
            <w:tcW w:w="3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President, Chief Executive Officer and Director (Principal Executive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9, 2026</w:t>
            </w:r>
          </w:p>
        </w:tc>
      </w:tr>
      <w:tr>
        <w:trPr>
          <w:trHeight w:val="166"/>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Hock E. Tan</w:t>
            </w:r>
          </w:p>
        </w:tc>
        <w:tc>
          <w:tcPr>
            <w:tcW w:w="80" w:type="dxa"/>
            <w:vAlign w:val="bottom"/>
          </w:tcPr>
          <w:p>
            <w:pPr>
              <w:spacing w:after="0"/>
              <w:rPr>
                <w:sz w:val="14"/>
                <w:szCs w:val="14"/>
                <w:color w:val="auto"/>
              </w:rPr>
            </w:pPr>
          </w:p>
        </w:tc>
        <w:tc>
          <w:tcPr>
            <w:tcW w:w="3960" w:type="dxa"/>
            <w:vAlign w:val="bottom"/>
            <w:gridSpan w:val="2"/>
          </w:tcPr>
          <w:p>
            <w:pPr>
              <w:ind w:left="1740"/>
              <w:spacing w:after="0" w:line="155" w:lineRule="exact"/>
              <w:rPr>
                <w:sz w:val="20"/>
                <w:szCs w:val="20"/>
                <w:color w:val="auto"/>
              </w:rPr>
            </w:pPr>
            <w:r>
              <w:rPr>
                <w:rFonts w:ascii="Times New Roman" w:cs="Times New Roman" w:eastAsia="Times New Roman" w:hAnsi="Times New Roman"/>
                <w:sz w:val="14"/>
                <w:szCs w:val="14"/>
                <w:color w:val="auto"/>
              </w:rPr>
              <w:t>Officer)</w:t>
            </w:r>
          </w:p>
        </w:tc>
        <w:tc>
          <w:tcPr>
            <w:tcW w:w="1520" w:type="dxa"/>
            <w:vAlign w:val="bottom"/>
          </w:tcPr>
          <w:p>
            <w:pPr>
              <w:spacing w:after="0"/>
              <w:rPr>
                <w:sz w:val="14"/>
                <w:szCs w:val="14"/>
                <w:color w:val="auto"/>
              </w:rPr>
            </w:pPr>
          </w:p>
        </w:tc>
      </w:tr>
      <w:tr>
        <w:trPr>
          <w:trHeight w:val="324"/>
        </w:trPr>
        <w:tc>
          <w:tcPr>
            <w:tcW w:w="27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w w:val="98"/>
              </w:rPr>
              <w:t>/s/ Kirsten M. Spears</w:t>
            </w:r>
          </w:p>
        </w:tc>
        <w:tc>
          <w:tcPr>
            <w:tcW w:w="80" w:type="dxa"/>
            <w:vAlign w:val="bottom"/>
          </w:tcPr>
          <w:p>
            <w:pPr>
              <w:spacing w:after="0"/>
              <w:rPr>
                <w:sz w:val="24"/>
                <w:szCs w:val="24"/>
                <w:color w:val="auto"/>
              </w:rPr>
            </w:pPr>
          </w:p>
        </w:tc>
        <w:tc>
          <w:tcPr>
            <w:tcW w:w="3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Chief Financial Officer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9, 2026</w:t>
            </w:r>
          </w:p>
        </w:tc>
      </w:tr>
      <w:tr>
        <w:trPr>
          <w:trHeight w:val="166"/>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Kirsten M. Spears</w:t>
            </w:r>
          </w:p>
        </w:tc>
        <w:tc>
          <w:tcPr>
            <w:tcW w:w="80" w:type="dxa"/>
            <w:vAlign w:val="bottom"/>
          </w:tcPr>
          <w:p>
            <w:pPr>
              <w:spacing w:after="0"/>
              <w:rPr>
                <w:sz w:val="14"/>
                <w:szCs w:val="14"/>
                <w:color w:val="auto"/>
              </w:rPr>
            </w:pPr>
          </w:p>
        </w:tc>
        <w:tc>
          <w:tcPr>
            <w:tcW w:w="396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color w:val="auto"/>
                <w:w w:val="96"/>
              </w:rPr>
              <w:t>(Principal Financial Officer and Principal Accounting Officer)</w:t>
            </w:r>
          </w:p>
        </w:tc>
        <w:tc>
          <w:tcPr>
            <w:tcW w:w="1520" w:type="dxa"/>
            <w:vAlign w:val="bottom"/>
          </w:tcPr>
          <w:p>
            <w:pPr>
              <w:spacing w:after="0"/>
              <w:rPr>
                <w:sz w:val="14"/>
                <w:szCs w:val="14"/>
                <w:color w:val="auto"/>
              </w:rPr>
            </w:pPr>
          </w:p>
        </w:tc>
      </w:tr>
      <w:tr>
        <w:trPr>
          <w:trHeight w:val="325"/>
        </w:trPr>
        <w:tc>
          <w:tcPr>
            <w:tcW w:w="27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w w:val="95"/>
              </w:rPr>
              <w:t>/s/ Harry L. You</w:t>
            </w:r>
          </w:p>
        </w:tc>
        <w:tc>
          <w:tcPr>
            <w:tcW w:w="80" w:type="dxa"/>
            <w:vAlign w:val="bottom"/>
          </w:tcPr>
          <w:p>
            <w:pPr>
              <w:spacing w:after="0"/>
              <w:rPr>
                <w:sz w:val="24"/>
                <w:szCs w:val="24"/>
                <w:color w:val="auto"/>
              </w:rPr>
            </w:pPr>
          </w:p>
        </w:tc>
        <w:tc>
          <w:tcPr>
            <w:tcW w:w="3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7"/>
              </w:rPr>
              <w:t>Chairman of the Board of Directors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9, 2026</w:t>
            </w:r>
          </w:p>
        </w:tc>
      </w:tr>
      <w:tr>
        <w:trPr>
          <w:trHeight w:val="166"/>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Harry L. You</w:t>
            </w:r>
          </w:p>
        </w:tc>
        <w:tc>
          <w:tcPr>
            <w:tcW w:w="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5"/>
        </w:trPr>
        <w:tc>
          <w:tcPr>
            <w:tcW w:w="27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w w:val="97"/>
              </w:rPr>
              <w:t>/s/ Diane M. Bryant</w:t>
            </w:r>
          </w:p>
        </w:tc>
        <w:tc>
          <w:tcPr>
            <w:tcW w:w="80" w:type="dxa"/>
            <w:vAlign w:val="bottom"/>
          </w:tcPr>
          <w:p>
            <w:pPr>
              <w:spacing w:after="0"/>
              <w:rPr>
                <w:sz w:val="24"/>
                <w:szCs w:val="24"/>
                <w:color w:val="auto"/>
              </w:rPr>
            </w:pPr>
          </w:p>
        </w:tc>
        <w:tc>
          <w:tcPr>
            <w:tcW w:w="3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9, 2026</w:t>
            </w:r>
          </w:p>
        </w:tc>
      </w:tr>
      <w:tr>
        <w:trPr>
          <w:trHeight w:val="166"/>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Diane M. Bryant</w:t>
            </w:r>
          </w:p>
        </w:tc>
        <w:tc>
          <w:tcPr>
            <w:tcW w:w="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5"/>
        </w:trPr>
        <w:tc>
          <w:tcPr>
            <w:tcW w:w="27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w w:val="98"/>
              </w:rPr>
              <w:t>/s/ Gayla J. Delly</w:t>
            </w:r>
          </w:p>
        </w:tc>
        <w:tc>
          <w:tcPr>
            <w:tcW w:w="80" w:type="dxa"/>
            <w:vAlign w:val="bottom"/>
          </w:tcPr>
          <w:p>
            <w:pPr>
              <w:spacing w:after="0"/>
              <w:rPr>
                <w:sz w:val="24"/>
                <w:szCs w:val="24"/>
                <w:color w:val="auto"/>
              </w:rPr>
            </w:pPr>
          </w:p>
        </w:tc>
        <w:tc>
          <w:tcPr>
            <w:tcW w:w="3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9, 2026</w:t>
            </w:r>
          </w:p>
        </w:tc>
      </w:tr>
      <w:tr>
        <w:trPr>
          <w:trHeight w:val="166"/>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Gayla J. Delly</w:t>
            </w:r>
          </w:p>
        </w:tc>
        <w:tc>
          <w:tcPr>
            <w:tcW w:w="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5"/>
        </w:trPr>
        <w:tc>
          <w:tcPr>
            <w:tcW w:w="27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w w:val="96"/>
              </w:rPr>
              <w:t>/s/ Kenneth Y. Hao</w:t>
            </w:r>
          </w:p>
        </w:tc>
        <w:tc>
          <w:tcPr>
            <w:tcW w:w="80" w:type="dxa"/>
            <w:vAlign w:val="bottom"/>
          </w:tcPr>
          <w:p>
            <w:pPr>
              <w:spacing w:after="0"/>
              <w:rPr>
                <w:sz w:val="24"/>
                <w:szCs w:val="24"/>
                <w:color w:val="auto"/>
              </w:rPr>
            </w:pPr>
          </w:p>
        </w:tc>
        <w:tc>
          <w:tcPr>
            <w:tcW w:w="3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9, 2026</w:t>
            </w:r>
          </w:p>
        </w:tc>
      </w:tr>
      <w:tr>
        <w:trPr>
          <w:trHeight w:val="166"/>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Kenneth Y. Hao</w:t>
            </w:r>
          </w:p>
        </w:tc>
        <w:tc>
          <w:tcPr>
            <w:tcW w:w="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5"/>
        </w:trPr>
        <w:tc>
          <w:tcPr>
            <w:tcW w:w="27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w w:val="96"/>
              </w:rPr>
              <w:t>/s/ Check Kian Low</w:t>
            </w:r>
          </w:p>
        </w:tc>
        <w:tc>
          <w:tcPr>
            <w:tcW w:w="80" w:type="dxa"/>
            <w:vAlign w:val="bottom"/>
          </w:tcPr>
          <w:p>
            <w:pPr>
              <w:spacing w:after="0"/>
              <w:rPr>
                <w:sz w:val="24"/>
                <w:szCs w:val="24"/>
                <w:color w:val="auto"/>
              </w:rPr>
            </w:pPr>
          </w:p>
        </w:tc>
        <w:tc>
          <w:tcPr>
            <w:tcW w:w="3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9, 2026</w:t>
            </w:r>
          </w:p>
        </w:tc>
      </w:tr>
      <w:tr>
        <w:trPr>
          <w:trHeight w:val="166"/>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Check Kian Low</w:t>
            </w:r>
          </w:p>
        </w:tc>
        <w:tc>
          <w:tcPr>
            <w:tcW w:w="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5"/>
        </w:trPr>
        <w:tc>
          <w:tcPr>
            <w:tcW w:w="27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w w:val="94"/>
              </w:rPr>
              <w:t>/s/ Justine F. Page</w:t>
            </w:r>
          </w:p>
        </w:tc>
        <w:tc>
          <w:tcPr>
            <w:tcW w:w="80" w:type="dxa"/>
            <w:vAlign w:val="bottom"/>
          </w:tcPr>
          <w:p>
            <w:pPr>
              <w:spacing w:after="0"/>
              <w:rPr>
                <w:sz w:val="24"/>
                <w:szCs w:val="24"/>
                <w:color w:val="auto"/>
              </w:rPr>
            </w:pPr>
          </w:p>
        </w:tc>
        <w:tc>
          <w:tcPr>
            <w:tcW w:w="3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9, 2026</w:t>
            </w:r>
          </w:p>
        </w:tc>
      </w:tr>
      <w:tr>
        <w:trPr>
          <w:trHeight w:val="166"/>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Justine F. Page</w:t>
            </w:r>
          </w:p>
        </w:tc>
        <w:tc>
          <w:tcPr>
            <w:tcW w:w="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5"/>
        </w:trPr>
        <w:tc>
          <w:tcPr>
            <w:tcW w:w="27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color w:val="auto"/>
                <w:w w:val="96"/>
              </w:rPr>
              <w:t>/s/ Henry Samueli</w:t>
            </w:r>
          </w:p>
        </w:tc>
        <w:tc>
          <w:tcPr>
            <w:tcW w:w="80" w:type="dxa"/>
            <w:vAlign w:val="bottom"/>
          </w:tcPr>
          <w:p>
            <w:pPr>
              <w:spacing w:after="0"/>
              <w:rPr>
                <w:sz w:val="24"/>
                <w:szCs w:val="24"/>
                <w:color w:val="auto"/>
              </w:rPr>
            </w:pPr>
          </w:p>
        </w:tc>
        <w:tc>
          <w:tcPr>
            <w:tcW w:w="3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9, 2026</w:t>
            </w:r>
          </w:p>
        </w:tc>
      </w:tr>
      <w:tr>
        <w:trPr>
          <w:trHeight w:val="166"/>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Henry Samueli</w:t>
            </w:r>
          </w:p>
        </w:tc>
        <w:tc>
          <w:tcPr>
            <w:tcW w:w="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73"/>
        </w:trPr>
        <w:tc>
          <w:tcPr>
            <w:tcW w:w="2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6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II-5</w:t>
            </w:r>
          </w:p>
        </w:tc>
        <w:tc>
          <w:tcPr>
            <w:tcW w:w="1520" w:type="dxa"/>
            <w:vAlign w:val="bottom"/>
          </w:tcPr>
          <w:p>
            <w:pPr>
              <w:spacing w:after="0"/>
              <w:rPr>
                <w:sz w:val="23"/>
                <w:szCs w:val="23"/>
                <w:color w:val="auto"/>
              </w:rPr>
            </w:pPr>
          </w:p>
        </w:tc>
      </w:tr>
    </w:tbl>
    <w:p>
      <w:pPr>
        <w:sectPr>
          <w:pgSz w:w="11900" w:h="16838" w:orient="portrait"/>
          <w:cols w:equalWidth="0" w:num="1">
            <w:col w:w="10159"/>
          </w:cols>
          <w:pgMar w:left="300" w:top="378" w:right="1440" w:bottom="1440" w:gutter="0" w:footer="0" w:header="0"/>
        </w:sectPr>
      </w:pPr>
    </w:p>
    <w:bookmarkStart w:id="67" w:name="page68"/>
    <w:bookmarkEnd w:id="67"/>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Letterhead of Wachtell, Lipton, Rosen &amp; Katz</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June 9, 2026</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BROADCOM INC.</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3421 Hillview Avenue</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Palo Alto, California 94304</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We have acted as special counsel to Broadcom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in connection with the registration, pursuant to a</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registration statement on Form S-4 (the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initially filed by the Company with the U.S. Securities and Exchange Commission</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under the U.S. Securities Act of 1933, as amended (the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on June 9, 2026 relating to the proposed offer by the Company to exchange (the</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Offer</w:t>
      </w:r>
      <w:r>
        <w:rPr>
          <w:rFonts w:ascii="Times New Roman" w:cs="Times New Roman" w:eastAsia="Times New Roman" w:hAnsi="Times New Roman"/>
          <w:sz w:val="12"/>
          <w:szCs w:val="12"/>
          <w:color w:val="auto"/>
        </w:rPr>
        <w:t>”) an aggregate principal amount of up to (1) $3,249,984,000 of the Company’s outstanding 3.137% Senior Notes due 2035 (the “</w:t>
      </w:r>
      <w:r>
        <w:rPr>
          <w:rFonts w:ascii="Times New Roman" w:cs="Times New Roman" w:eastAsia="Times New Roman" w:hAnsi="Times New Roman"/>
          <w:sz w:val="12"/>
          <w:szCs w:val="12"/>
          <w:b w:val="1"/>
          <w:bCs w:val="1"/>
          <w:color w:val="auto"/>
        </w:rPr>
        <w:t>Old</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2035 Notes</w:t>
      </w:r>
      <w:r>
        <w:rPr>
          <w:rFonts w:ascii="Times New Roman" w:cs="Times New Roman" w:eastAsia="Times New Roman" w:hAnsi="Times New Roman"/>
          <w:sz w:val="14"/>
          <w:szCs w:val="14"/>
          <w:color w:val="auto"/>
        </w:rPr>
        <w:t>”) for an equal principal amount of the Company’s registered 3.137% Senior Notes due 2035 (the “</w:t>
      </w:r>
      <w:r>
        <w:rPr>
          <w:rFonts w:ascii="Times New Roman" w:cs="Times New Roman" w:eastAsia="Times New Roman" w:hAnsi="Times New Roman"/>
          <w:sz w:val="14"/>
          <w:szCs w:val="14"/>
          <w:b w:val="1"/>
          <w:bCs w:val="1"/>
          <w:color w:val="auto"/>
        </w:rPr>
        <w:t>2035 Exchange Notes</w:t>
      </w:r>
      <w:r>
        <w:rPr>
          <w:rFonts w:ascii="Times New Roman" w:cs="Times New Roman" w:eastAsia="Times New Roman" w:hAnsi="Times New Roman"/>
          <w:sz w:val="14"/>
          <w:szCs w:val="14"/>
          <w:color w:val="auto"/>
        </w:rPr>
        <w:t>”) and</w:t>
      </w:r>
    </w:p>
    <w:p>
      <w:pPr>
        <w:spacing w:after="0" w:line="2" w:lineRule="exact"/>
        <w:rPr>
          <w:sz w:val="20"/>
          <w:szCs w:val="20"/>
          <w:color w:val="auto"/>
        </w:rPr>
      </w:pPr>
    </w:p>
    <w:p>
      <w:pPr>
        <w:jc w:val="both"/>
        <w:ind w:left="340" w:right="599" w:hanging="3"/>
        <w:spacing w:after="0" w:line="245" w:lineRule="auto"/>
        <w:tabs>
          <w:tab w:leader="none" w:pos="533"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$2,750,000,000 of the Company’s outstanding 3.187% Senior Notes due 2036 (the “</w:t>
      </w:r>
      <w:r>
        <w:rPr>
          <w:rFonts w:ascii="Times New Roman" w:cs="Times New Roman" w:eastAsia="Times New Roman" w:hAnsi="Times New Roman"/>
          <w:sz w:val="14"/>
          <w:szCs w:val="14"/>
          <w:b w:val="1"/>
          <w:bCs w:val="1"/>
          <w:color w:val="auto"/>
        </w:rPr>
        <w:t>Old 2036 Notes</w:t>
      </w:r>
      <w:r>
        <w:rPr>
          <w:rFonts w:ascii="Times New Roman" w:cs="Times New Roman" w:eastAsia="Times New Roman" w:hAnsi="Times New Roman"/>
          <w:sz w:val="14"/>
          <w:szCs w:val="14"/>
          <w:color w:val="auto"/>
        </w:rPr>
        <w:t>” and, together with the Old 2035 Notes, the “</w:t>
      </w:r>
      <w:r>
        <w:rPr>
          <w:rFonts w:ascii="Times New Roman" w:cs="Times New Roman" w:eastAsia="Times New Roman" w:hAnsi="Times New Roman"/>
          <w:sz w:val="14"/>
          <w:szCs w:val="14"/>
          <w:b w:val="1"/>
          <w:bCs w:val="1"/>
          <w:color w:val="auto"/>
        </w:rPr>
        <w:t>Old Notes</w:t>
      </w:r>
      <w:r>
        <w:rPr>
          <w:rFonts w:ascii="Times New Roman" w:cs="Times New Roman" w:eastAsia="Times New Roman" w:hAnsi="Times New Roman"/>
          <w:sz w:val="14"/>
          <w:szCs w:val="14"/>
          <w:color w:val="auto"/>
        </w:rPr>
        <w:t>”) for an equal principal amount of the Company’s registered 3.187% Senior Notes due 2036 (the “</w:t>
      </w:r>
      <w:r>
        <w:rPr>
          <w:rFonts w:ascii="Times New Roman" w:cs="Times New Roman" w:eastAsia="Times New Roman" w:hAnsi="Times New Roman"/>
          <w:sz w:val="14"/>
          <w:szCs w:val="14"/>
          <w:b w:val="1"/>
          <w:bCs w:val="1"/>
          <w:color w:val="auto"/>
        </w:rPr>
        <w:t>2036 Exchange Notes</w:t>
      </w:r>
      <w:r>
        <w:rPr>
          <w:rFonts w:ascii="Times New Roman" w:cs="Times New Roman" w:eastAsia="Times New Roman" w:hAnsi="Times New Roman"/>
          <w:sz w:val="14"/>
          <w:szCs w:val="14"/>
          <w:color w:val="auto"/>
        </w:rPr>
        <w:t>” and, together with the 2035 Exchange Notes, the “</w:t>
      </w:r>
      <w:r>
        <w:rPr>
          <w:rFonts w:ascii="Times New Roman" w:cs="Times New Roman" w:eastAsia="Times New Roman" w:hAnsi="Times New Roman"/>
          <w:sz w:val="14"/>
          <w:szCs w:val="14"/>
          <w:b w:val="1"/>
          <w:bCs w:val="1"/>
          <w:color w:val="auto"/>
        </w:rPr>
        <w:t>Exchange Notes</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jc w:val="both"/>
        <w:ind w:left="340" w:right="659" w:firstLine="333"/>
        <w:spacing w:after="0" w:line="254" w:lineRule="auto"/>
        <w:rPr>
          <w:sz w:val="20"/>
          <w:szCs w:val="20"/>
          <w:color w:val="auto"/>
        </w:rPr>
      </w:pPr>
      <w:r>
        <w:rPr>
          <w:rFonts w:ascii="Times New Roman" w:cs="Times New Roman" w:eastAsia="Times New Roman" w:hAnsi="Times New Roman"/>
          <w:sz w:val="14"/>
          <w:szCs w:val="14"/>
          <w:color w:val="auto"/>
        </w:rPr>
        <w:t>The Old Notes were issued, and the Exchange Notes will be issued, under the indenture, dated as of September 30, 2021 (as amended by that certain Supplemental Indenture No. 1, the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by and between the Company and Wilmington Trust, National Association, as trustee (the “</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jc w:val="both"/>
        <w:ind w:left="340" w:right="379" w:firstLine="333"/>
        <w:spacing w:after="0" w:line="254" w:lineRule="auto"/>
        <w:rPr>
          <w:sz w:val="20"/>
          <w:szCs w:val="20"/>
          <w:color w:val="auto"/>
        </w:rPr>
      </w:pPr>
      <w:r>
        <w:rPr>
          <w:rFonts w:ascii="Times New Roman" w:cs="Times New Roman" w:eastAsia="Times New Roman" w:hAnsi="Times New Roman"/>
          <w:sz w:val="14"/>
          <w:szCs w:val="14"/>
          <w:color w:val="auto"/>
        </w:rPr>
        <w:t>The Company is proposing the Exchange Offer in accordance with the terms of a Registration Rights Agreement with respect to the Old Notes, by and among the Company and BNP Paribas Securities Corp., J.P. Morgan Securities LLC and TD Securities (USA) LLC, as dealer managers, dated as of September 30, 2021.</w:t>
      </w:r>
    </w:p>
    <w:p>
      <w:pPr>
        <w:spacing w:after="0" w:line="142" w:lineRule="exact"/>
        <w:rPr>
          <w:sz w:val="20"/>
          <w:szCs w:val="20"/>
          <w:color w:val="auto"/>
        </w:rPr>
      </w:pPr>
    </w:p>
    <w:p>
      <w:pPr>
        <w:ind w:left="340" w:right="419" w:firstLine="333"/>
        <w:spacing w:after="0" w:line="245" w:lineRule="auto"/>
        <w:rPr>
          <w:sz w:val="20"/>
          <w:szCs w:val="20"/>
          <w:color w:val="auto"/>
        </w:rPr>
      </w:pPr>
      <w:r>
        <w:rPr>
          <w:rFonts w:ascii="Times New Roman" w:cs="Times New Roman" w:eastAsia="Times New Roman" w:hAnsi="Times New Roman"/>
          <w:sz w:val="14"/>
          <w:szCs w:val="14"/>
          <w:color w:val="auto"/>
        </w:rPr>
        <w:t>We have examined and relied on originals or copies certified or otherwise identified to our satisfaction of such documents, corporate records, certificates of the Company and public officials and other instruments as we have deemed necessary or appropriate for the purposes of this letter, including (a) the Registration Statement; (b) the Indenture; (c) the forms of the Exchange Notes; (d) a copy of the Amended and Restated Certificate of Incorporation of the Company, as amended, and a copy of the Amended and Restated Bylaws of the Company, each as set forth in the certificate of the Secretary of the Company, dated June 9, 2026; (e) minutes and resolutions of the Board of Directors of the Company relating to the issuance of the Exchange Notes; and (f) such other corporate records, certificates and other documents and such matters of law, in each case, as we have deemed necessary or appropriate. In such examination, we have assumed (i) the authenticity of original documents and the genuineness of all signatures; (ii) the conformity to the originals of all documents submitted to us as copies; and (iii) the truth, accuracy and completeness of the information, representations and warranties contained in the agreements, records, documents, instruments and certificates we have reviewed. We have assumed that the terms of the Exchange Notes have been established so as not to, and that the execution and delivery by the parties thereto and the performance of such parties’ obligations</w:t>
      </w:r>
    </w:p>
    <w:p>
      <w:pPr>
        <w:sectPr>
          <w:pgSz w:w="11900" w:h="16838" w:orient="portrait"/>
          <w:cols w:equalWidth="0" w:num="1">
            <w:col w:w="9019"/>
          </w:cols>
          <w:pgMar w:left="1440" w:top="123" w:right="1440" w:bottom="1440" w:gutter="0" w:footer="0" w:header="0"/>
        </w:sectPr>
      </w:pPr>
    </w:p>
    <w:bookmarkStart w:id="68" w:name="page69"/>
    <w:bookmarkEnd w:id="68"/>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204075" cy="32385"/>
                    </a:xfrm>
                    <a:prstGeom prst="rect">
                      <a:avLst/>
                    </a:prstGeom>
                    <a:noFill/>
                  </pic:spPr>
                </pic:pic>
              </a:graphicData>
            </a:graphic>
          </wp:anchor>
        </w:drawing>
        <w:drawing>
          <wp:anchor simplePos="0" relativeHeight="251657728" behindDoc="1" locked="0" layoutInCell="0" allowOverlap="1">
            <wp:simplePos x="0" y="0"/>
            <wp:positionH relativeFrom="page">
              <wp:posOffset>1131570</wp:posOffset>
            </wp:positionH>
            <wp:positionV relativeFrom="page">
              <wp:posOffset>276860</wp:posOffset>
            </wp:positionV>
            <wp:extent cx="1718310" cy="908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718310" cy="90805"/>
                    </a:xfrm>
                    <a:prstGeom prst="rect">
                      <a:avLst/>
                    </a:prstGeom>
                    <a:noFill/>
                  </pic:spPr>
                </pic:pic>
              </a:graphicData>
            </a:graphic>
          </wp:anchor>
        </w:drawing>
        <w:t>BROADCOM INC.</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June 9, 2026</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Page 2</w:t>
      </w:r>
    </w:p>
    <w:p>
      <w:pPr>
        <w:spacing w:after="0" w:line="103" w:lineRule="exact"/>
        <w:rPr>
          <w:sz w:val="20"/>
          <w:szCs w:val="20"/>
          <w:color w:val="auto"/>
        </w:rPr>
      </w:pPr>
    </w:p>
    <w:p>
      <w:pPr>
        <w:ind w:left="340" w:right="379"/>
        <w:spacing w:after="0" w:line="246" w:lineRule="auto"/>
        <w:rPr>
          <w:sz w:val="20"/>
          <w:szCs w:val="20"/>
          <w:color w:val="auto"/>
        </w:rPr>
      </w:pPr>
      <w:r>
        <w:rPr>
          <w:rFonts w:ascii="Times New Roman" w:cs="Times New Roman" w:eastAsia="Times New Roman" w:hAnsi="Times New Roman"/>
          <w:sz w:val="14"/>
          <w:szCs w:val="14"/>
          <w:color w:val="auto"/>
        </w:rPr>
        <w:t>under the Exchange Notes will not, breach, contravene, violate, conflict with or constitute a default under (1) any law, rule or regulation to which any party thereto is subject (excepting the laws of the State of New York, the General Corporation Law of the State of Delaware (the “</w:t>
      </w:r>
      <w:r>
        <w:rPr>
          <w:rFonts w:ascii="Times New Roman" w:cs="Times New Roman" w:eastAsia="Times New Roman" w:hAnsi="Times New Roman"/>
          <w:sz w:val="14"/>
          <w:szCs w:val="14"/>
          <w:b w:val="1"/>
          <w:bCs w:val="1"/>
          <w:color w:val="auto"/>
        </w:rPr>
        <w:t>DGCL</w:t>
      </w:r>
      <w:r>
        <w:rPr>
          <w:rFonts w:ascii="Times New Roman" w:cs="Times New Roman" w:eastAsia="Times New Roman" w:hAnsi="Times New Roman"/>
          <w:sz w:val="14"/>
          <w:szCs w:val="14"/>
          <w:color w:val="auto"/>
        </w:rPr>
        <w:t>”) and the federal securities laws of the United States of America as such laws apply to the Company); (2) any judicial or regulatory order or decree of any governmental authority; or (3) any consent, approval, license, authorization or validation of, or filing, recording or registration with any governmental authority. We also have assumed that the Indenture and the Exchange Notes are the valid and legally binding obligation of the Trustee. As to any facts material to the opinion expressed herein that we did not independently establish or verify, we have relied upon statements and representations of officers and other representatives of the Company and others. We have further assumed the legal capacity of all natural persons, the genuineness of all signatures, the authenticity of all documents submitted to us as originals, the conformity to original documents of all documents submitted to us as certified, facsimile, conformed, electronic or photostatic copies, and the authenticity of the originals of such copies.</w:t>
      </w:r>
    </w:p>
    <w:p>
      <w:pPr>
        <w:spacing w:after="0" w:line="149" w:lineRule="exact"/>
        <w:rPr>
          <w:sz w:val="20"/>
          <w:szCs w:val="20"/>
          <w:color w:val="auto"/>
        </w:rPr>
      </w:pPr>
    </w:p>
    <w:p>
      <w:pPr>
        <w:jc w:val="both"/>
        <w:ind w:left="340" w:right="499" w:firstLine="333"/>
        <w:spacing w:after="0" w:line="250" w:lineRule="auto"/>
        <w:rPr>
          <w:sz w:val="20"/>
          <w:szCs w:val="20"/>
          <w:color w:val="auto"/>
        </w:rPr>
      </w:pPr>
      <w:r>
        <w:rPr>
          <w:rFonts w:ascii="Times New Roman" w:cs="Times New Roman" w:eastAsia="Times New Roman" w:hAnsi="Times New Roman"/>
          <w:sz w:val="14"/>
          <w:szCs w:val="14"/>
          <w:color w:val="auto"/>
        </w:rPr>
        <w:t>We are members of the Bar of the State of New York, and we have not considered, and we express no opinion as to, the laws of any jurisdiction other than the laws of the State of New York, the DGCL (including the statutory provisions and all applicable provisions of the Delaware Constitution and reported judicial decisions interpreting these laws) and the federal securities laws of the United States of America, in each case as in effect on the date hereof.</w:t>
      </w:r>
    </w:p>
    <w:p>
      <w:pPr>
        <w:spacing w:after="0" w:line="146" w:lineRule="exact"/>
        <w:rPr>
          <w:sz w:val="20"/>
          <w:szCs w:val="20"/>
          <w:color w:val="auto"/>
        </w:rPr>
      </w:pPr>
    </w:p>
    <w:p>
      <w:pPr>
        <w:ind w:left="340" w:right="439" w:firstLine="333"/>
        <w:spacing w:after="0" w:line="247" w:lineRule="auto"/>
        <w:rPr>
          <w:sz w:val="20"/>
          <w:szCs w:val="20"/>
          <w:color w:val="auto"/>
        </w:rPr>
      </w:pPr>
      <w:r>
        <w:rPr>
          <w:rFonts w:ascii="Times New Roman" w:cs="Times New Roman" w:eastAsia="Times New Roman" w:hAnsi="Times New Roman"/>
          <w:sz w:val="14"/>
          <w:szCs w:val="14"/>
          <w:color w:val="auto"/>
        </w:rPr>
        <w:t>Based upon the foregoing, and subject to the assumptions, limitations, qualifications, exceptions and comments set forth in this letter, we advise you that, in our opinion, when (i) the Registration Statement has become effective under the Act, (ii) the Old Notes have been exchanged in the manner described in the prospectus forming a part of the Registration Statement, (iii) the Exchange Notes have been duly executed, authenticated, issued and delivered by the Company in accordance with the terms of the Indenture against receipt of the Old Notes surrendered in exchange therefor, (iv) the Indenture has been duly qualified under the Trust Indenture Act of 1939, as amended, and (v) applicable provisions of “blue sky” laws have been complied with, the Exchange Notes proposed to be issued pursuant to the Exchange Offer will constitute valid and legally binding obligations of the Company.</w:t>
      </w:r>
    </w:p>
    <w:p>
      <w:pPr>
        <w:spacing w:after="0" w:line="147" w:lineRule="exact"/>
        <w:rPr>
          <w:sz w:val="20"/>
          <w:szCs w:val="20"/>
          <w:color w:val="auto"/>
        </w:rPr>
      </w:pPr>
    </w:p>
    <w:p>
      <w:pPr>
        <w:ind w:left="340" w:right="479" w:firstLine="333"/>
        <w:spacing w:after="0" w:line="287" w:lineRule="auto"/>
        <w:rPr>
          <w:sz w:val="20"/>
          <w:szCs w:val="20"/>
          <w:color w:val="auto"/>
        </w:rPr>
      </w:pPr>
      <w:r>
        <w:rPr>
          <w:rFonts w:ascii="Times New Roman" w:cs="Times New Roman" w:eastAsia="Times New Roman" w:hAnsi="Times New Roman"/>
          <w:sz w:val="12"/>
          <w:szCs w:val="12"/>
          <w:color w:val="auto"/>
        </w:rPr>
        <w:t>The opinion set forth above is subject to the effects of (a) bankruptcy, insolvency, fraudulent conveyance, reorganization, moratorium and other similar laws relating to or affecting the enforcement of creditors’ rights generally; (b) general equitable principles (whether considered in a proceeding in equity or at law); (c) an implied covenant of good faith and fair dealing; (d) provisions of law that require that a judgment for money damages rendered by a court in the United States be expressed only in United States dollars; (e) limitations by any governmental authority that limit, delay or prohibit the making of payments outside the United States; and (f) generally applicable laws that (i) provide for the enforcement of oral waivers or modifications where a material change of position in reliance thereon has occurred or provide that a course of performance may operate as a waiver,</w:t>
      </w:r>
    </w:p>
    <w:p>
      <w:pPr>
        <w:spacing w:after="0" w:line="2" w:lineRule="exact"/>
        <w:rPr>
          <w:sz w:val="20"/>
          <w:szCs w:val="20"/>
          <w:color w:val="auto"/>
        </w:rPr>
      </w:pPr>
    </w:p>
    <w:p>
      <w:pPr>
        <w:ind w:left="340" w:right="659" w:hanging="3"/>
        <w:spacing w:after="0" w:line="247" w:lineRule="auto"/>
        <w:tabs>
          <w:tab w:leader="none" w:pos="5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availability of a remedy under certain circumstances where another remedy has been elected, (iii) limit the enforceability of provisions releasing, exculpating or exempting a party from, or requiring indemnification of a</w:t>
      </w:r>
    </w:p>
    <w:p>
      <w:pPr>
        <w:sectPr>
          <w:pgSz w:w="11900" w:h="16838" w:orient="portrait"/>
          <w:cols w:equalWidth="0" w:num="1">
            <w:col w:w="9019"/>
          </w:cols>
          <w:pgMar w:left="1440" w:top="729" w:right="1440" w:bottom="1440" w:gutter="0" w:footer="0" w:header="0"/>
        </w:sectPr>
      </w:pPr>
    </w:p>
    <w:bookmarkStart w:id="69" w:name="page70"/>
    <w:bookmarkEnd w:id="69"/>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204075" cy="32385"/>
                    </a:xfrm>
                    <a:prstGeom prst="rect">
                      <a:avLst/>
                    </a:prstGeom>
                    <a:noFill/>
                  </pic:spPr>
                </pic:pic>
              </a:graphicData>
            </a:graphic>
          </wp:anchor>
        </w:drawing>
        <w:drawing>
          <wp:anchor simplePos="0" relativeHeight="251657728" behindDoc="1" locked="0" layoutInCell="0" allowOverlap="1">
            <wp:simplePos x="0" y="0"/>
            <wp:positionH relativeFrom="page">
              <wp:posOffset>1131570</wp:posOffset>
            </wp:positionH>
            <wp:positionV relativeFrom="page">
              <wp:posOffset>276860</wp:posOffset>
            </wp:positionV>
            <wp:extent cx="1718310" cy="908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718310" cy="90805"/>
                    </a:xfrm>
                    <a:prstGeom prst="rect">
                      <a:avLst/>
                    </a:prstGeom>
                    <a:noFill/>
                  </pic:spPr>
                </pic:pic>
              </a:graphicData>
            </a:graphic>
          </wp:anchor>
        </w:drawing>
        <w:t>BROADCOM INC.</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June 9, 2026</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Page 3</w:t>
      </w:r>
    </w:p>
    <w:p>
      <w:pPr>
        <w:spacing w:after="0" w:line="103" w:lineRule="exact"/>
        <w:rPr>
          <w:sz w:val="20"/>
          <w:szCs w:val="20"/>
          <w:color w:val="auto"/>
        </w:rPr>
      </w:pPr>
    </w:p>
    <w:p>
      <w:pPr>
        <w:ind w:left="340" w:right="439"/>
        <w:spacing w:after="0" w:line="293" w:lineRule="auto"/>
        <w:rPr>
          <w:sz w:val="20"/>
          <w:szCs w:val="20"/>
          <w:color w:val="auto"/>
        </w:rPr>
      </w:pPr>
      <w:r>
        <w:rPr>
          <w:rFonts w:ascii="Times New Roman" w:cs="Times New Roman" w:eastAsia="Times New Roman" w:hAnsi="Times New Roman"/>
          <w:sz w:val="12"/>
          <w:szCs w:val="12"/>
          <w:color w:val="auto"/>
        </w:rPr>
        <w:t>party for, liability for its own action or inaction, to the extent the action or inaction involves negligence, gross negligence, recklessness, willful misconduct or unlawful conduct, (iv) may, where less than all of a contract may be unenforceable, limit the enforceability of the balance of the contract to circumstances in which the unenforceable portion is not an essential part of the agreed-upon exchange, (v) may limit the enforceability of provisions providing for compounded interest, imposing increased interest rates or late payment charges upon delinquency in payment or default or providing for liquidated damages or for premiums upon acceleration, or (vi) limit the waiver of rights under usury laws. Furthermore, the manner in which any particular issue relating to the opinions would be treated in any actual court case would depend in part on facts and circumstances particular to the case and would also depend on how the court involved chose to exercise the wide discretionary authority generally available to it. We express no opinion as to the effect of Section 210(p) of the Dodd-Frank Wall Street Reform and Consumer Protection Act of 2010, as amended.</w:t>
      </w:r>
    </w:p>
    <w:p>
      <w:pPr>
        <w:spacing w:after="0" w:line="123" w:lineRule="exact"/>
        <w:rPr>
          <w:sz w:val="20"/>
          <w:szCs w:val="20"/>
          <w:color w:val="auto"/>
        </w:rPr>
      </w:pPr>
    </w:p>
    <w:p>
      <w:pPr>
        <w:ind w:left="340" w:right="499" w:firstLine="333"/>
        <w:spacing w:after="0" w:line="250" w:lineRule="auto"/>
        <w:rPr>
          <w:sz w:val="20"/>
          <w:szCs w:val="20"/>
          <w:color w:val="auto"/>
        </w:rPr>
      </w:pPr>
      <w:r>
        <w:rPr>
          <w:rFonts w:ascii="Times New Roman" w:cs="Times New Roman" w:eastAsia="Times New Roman" w:hAnsi="Times New Roman"/>
          <w:sz w:val="14"/>
          <w:szCs w:val="14"/>
          <w:color w:val="auto"/>
        </w:rPr>
        <w:t>We express no opinion as to whether, or the extent to which, the laws of any particular jurisdiction apply to the subject matter hereof, including, without limitation, the enforceability of the governing law provisions contained in the Exchange Notes and the Indenture. We express no opinion as to the ability of another court, federal or state, to accept jurisdiction and/or venue in the event the chosen court is unavailable for any reason, including, without limitation, natural disaster, act of God, human health or safety reasons or otherwise (including a pandemic).</w:t>
      </w:r>
    </w:p>
    <w:p>
      <w:pPr>
        <w:spacing w:after="0" w:line="146" w:lineRule="exact"/>
        <w:rPr>
          <w:sz w:val="20"/>
          <w:szCs w:val="20"/>
          <w:color w:val="auto"/>
        </w:rPr>
      </w:pPr>
    </w:p>
    <w:p>
      <w:pPr>
        <w:ind w:left="340" w:right="459" w:firstLine="333"/>
        <w:spacing w:after="0" w:line="250" w:lineRule="auto"/>
        <w:rPr>
          <w:sz w:val="20"/>
          <w:szCs w:val="20"/>
          <w:color w:val="auto"/>
        </w:rPr>
      </w:pPr>
      <w:r>
        <w:rPr>
          <w:rFonts w:ascii="Times New Roman" w:cs="Times New Roman" w:eastAsia="Times New Roman" w:hAnsi="Times New Roman"/>
          <w:sz w:val="14"/>
          <w:szCs w:val="14"/>
          <w:color w:val="auto"/>
        </w:rPr>
        <w:t>This letter speaks only as of its date and is delivered in accordance with the requirements of Item 601(b)(5) of Regulation S-K under the Act. We hereby consent to the filing of a copy of this letter as an exhibit to the Registration Statement, and to the use of our name in the prospectus forming a part of the Registration Statement under the caption “Legal Matters.” In giving this consent, we do not thereby admit that we are within the category of persons whose consent is required under Section 7 of the Act.</w:t>
      </w:r>
    </w:p>
    <w:p>
      <w:pPr>
        <w:spacing w:after="0" w:line="1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/s/ Wachtell, Lipton, Rosen &amp; Katz</w:t>
      </w:r>
    </w:p>
    <w:p>
      <w:pPr>
        <w:sectPr>
          <w:pgSz w:w="11900" w:h="16838" w:orient="portrait"/>
          <w:cols w:equalWidth="0" w:num="1">
            <w:col w:w="9019"/>
          </w:cols>
          <w:pgMar w:left="1440" w:top="729" w:right="1440" w:bottom="1440" w:gutter="0" w:footer="0" w:header="0"/>
        </w:sectPr>
      </w:pPr>
    </w:p>
    <w:bookmarkStart w:id="70" w:name="page71"/>
    <w:bookmarkEnd w:id="70"/>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79"/>
        </w:trPr>
        <w:tc>
          <w:tcPr>
            <w:tcW w:w="1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860" w:type="dxa"/>
            <w:vAlign w:val="bottom"/>
            <w:gridSpan w:val="2"/>
          </w:tcPr>
          <w:p>
            <w:pPr>
              <w:jc w:val="center"/>
              <w:ind w:right="1572"/>
              <w:spacing w:after="0"/>
              <w:rPr>
                <w:sz w:val="20"/>
                <w:szCs w:val="20"/>
                <w:color w:val="auto"/>
              </w:rPr>
            </w:pPr>
            <w:r>
              <w:rPr>
                <w:rFonts w:ascii="Times New Roman" w:cs="Times New Roman" w:eastAsia="Times New Roman" w:hAnsi="Times New Roman"/>
                <w:sz w:val="14"/>
                <w:szCs w:val="14"/>
                <w:b w:val="1"/>
                <w:bCs w:val="1"/>
                <w:color w:val="auto"/>
                <w:w w:val="97"/>
              </w:rPr>
              <w:t>List of Significant Subsidiaries</w:t>
            </w:r>
          </w:p>
        </w:tc>
      </w:tr>
      <w:tr>
        <w:trPr>
          <w:trHeight w:val="245"/>
        </w:trPr>
        <w:tc>
          <w:tcPr>
            <w:tcW w:w="11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860" w:type="dxa"/>
            <w:vAlign w:val="bottom"/>
            <w:gridSpan w:val="2"/>
          </w:tcPr>
          <w:p>
            <w:pPr>
              <w:jc w:val="center"/>
              <w:ind w:right="1592"/>
              <w:spacing w:after="0"/>
              <w:rPr>
                <w:sz w:val="20"/>
                <w:szCs w:val="20"/>
                <w:color w:val="auto"/>
              </w:rPr>
            </w:pPr>
            <w:r>
              <w:rPr>
                <w:rFonts w:ascii="Times New Roman" w:cs="Times New Roman" w:eastAsia="Times New Roman" w:hAnsi="Times New Roman"/>
                <w:sz w:val="14"/>
                <w:szCs w:val="14"/>
                <w:b w:val="1"/>
                <w:bCs w:val="1"/>
                <w:color w:val="auto"/>
                <w:w w:val="97"/>
              </w:rPr>
              <w:t>As of May 3, 2026</w:t>
            </w:r>
          </w:p>
        </w:tc>
      </w:tr>
      <w:tr>
        <w:trPr>
          <w:trHeight w:val="348"/>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Name of Subsidiary</w:t>
            </w:r>
          </w:p>
        </w:tc>
        <w:tc>
          <w:tcPr>
            <w:tcW w:w="1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Country of Incorporation</w:t>
            </w:r>
          </w:p>
        </w:tc>
      </w:tr>
      <w:tr>
        <w:trPr>
          <w:trHeight w:val="204"/>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Avago Technologies International Sales Pte. Limited</w:t>
            </w:r>
          </w:p>
        </w:tc>
        <w:tc>
          <w:tcPr>
            <w:tcW w:w="3860" w:type="dxa"/>
            <w:vAlign w:val="bottom"/>
            <w:gridSpan w:val="2"/>
          </w:tcPr>
          <w:p>
            <w:pPr>
              <w:ind w:left="2360"/>
              <w:spacing w:after="0"/>
              <w:rPr>
                <w:sz w:val="20"/>
                <w:szCs w:val="20"/>
                <w:color w:val="auto"/>
              </w:rPr>
            </w:pPr>
            <w:r>
              <w:rPr>
                <w:rFonts w:ascii="Times New Roman" w:cs="Times New Roman" w:eastAsia="Times New Roman" w:hAnsi="Times New Roman"/>
                <w:sz w:val="14"/>
                <w:szCs w:val="14"/>
                <w:color w:val="auto"/>
              </w:rPr>
              <w:t>Singapore</w:t>
            </w:r>
          </w:p>
        </w:tc>
      </w:tr>
      <w:tr>
        <w:trPr>
          <w:trHeight w:val="214"/>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Avago Technologies U.S. Inc.</w:t>
            </w:r>
          </w:p>
        </w:tc>
        <w:tc>
          <w:tcPr>
            <w:tcW w:w="3860" w:type="dxa"/>
            <w:vAlign w:val="bottom"/>
            <w:gridSpan w:val="2"/>
          </w:tcPr>
          <w:p>
            <w:pPr>
              <w:ind w:left="2360"/>
              <w:spacing w:after="0"/>
              <w:rPr>
                <w:sz w:val="20"/>
                <w:szCs w:val="20"/>
                <w:color w:val="auto"/>
              </w:rPr>
            </w:pPr>
            <w:r>
              <w:rPr>
                <w:rFonts w:ascii="Times New Roman" w:cs="Times New Roman" w:eastAsia="Times New Roman" w:hAnsi="Times New Roman"/>
                <w:sz w:val="14"/>
                <w:szCs w:val="14"/>
                <w:color w:val="auto"/>
              </w:rPr>
              <w:t>Delaware (U.S.A.)</w:t>
            </w:r>
          </w:p>
        </w:tc>
      </w:tr>
      <w:tr>
        <w:trPr>
          <w:trHeight w:val="214"/>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Broadcom Corporation</w:t>
            </w:r>
          </w:p>
        </w:tc>
        <w:tc>
          <w:tcPr>
            <w:tcW w:w="3860" w:type="dxa"/>
            <w:vAlign w:val="bottom"/>
            <w:gridSpan w:val="2"/>
          </w:tcPr>
          <w:p>
            <w:pPr>
              <w:ind w:left="2360"/>
              <w:spacing w:after="0"/>
              <w:rPr>
                <w:sz w:val="20"/>
                <w:szCs w:val="20"/>
                <w:color w:val="auto"/>
              </w:rPr>
            </w:pPr>
            <w:r>
              <w:rPr>
                <w:rFonts w:ascii="Times New Roman" w:cs="Times New Roman" w:eastAsia="Times New Roman" w:hAnsi="Times New Roman"/>
                <w:sz w:val="14"/>
                <w:szCs w:val="14"/>
                <w:color w:val="auto"/>
              </w:rPr>
              <w:t>California (U.S.A.)</w:t>
            </w:r>
          </w:p>
        </w:tc>
      </w:tr>
      <w:tr>
        <w:trPr>
          <w:trHeight w:val="214"/>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Broadcom Singapore Pte Ltd</w:t>
            </w:r>
          </w:p>
        </w:tc>
        <w:tc>
          <w:tcPr>
            <w:tcW w:w="3860" w:type="dxa"/>
            <w:vAlign w:val="bottom"/>
            <w:gridSpan w:val="2"/>
          </w:tcPr>
          <w:p>
            <w:pPr>
              <w:ind w:left="2360"/>
              <w:spacing w:after="0"/>
              <w:rPr>
                <w:sz w:val="20"/>
                <w:szCs w:val="20"/>
                <w:color w:val="auto"/>
              </w:rPr>
            </w:pPr>
            <w:r>
              <w:rPr>
                <w:rFonts w:ascii="Times New Roman" w:cs="Times New Roman" w:eastAsia="Times New Roman" w:hAnsi="Times New Roman"/>
                <w:sz w:val="14"/>
                <w:szCs w:val="14"/>
                <w:color w:val="auto"/>
              </w:rPr>
              <w:t>Singapore</w:t>
            </w:r>
          </w:p>
        </w:tc>
      </w:tr>
      <w:tr>
        <w:trPr>
          <w:trHeight w:val="214"/>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Broadcom Technologies, Inc.</w:t>
            </w:r>
          </w:p>
        </w:tc>
        <w:tc>
          <w:tcPr>
            <w:tcW w:w="3860" w:type="dxa"/>
            <w:vAlign w:val="bottom"/>
            <w:gridSpan w:val="2"/>
          </w:tcPr>
          <w:p>
            <w:pPr>
              <w:ind w:left="2360"/>
              <w:spacing w:after="0"/>
              <w:rPr>
                <w:sz w:val="20"/>
                <w:szCs w:val="20"/>
                <w:color w:val="auto"/>
              </w:rPr>
            </w:pPr>
            <w:r>
              <w:rPr>
                <w:rFonts w:ascii="Times New Roman" w:cs="Times New Roman" w:eastAsia="Times New Roman" w:hAnsi="Times New Roman"/>
                <w:sz w:val="14"/>
                <w:szCs w:val="14"/>
                <w:color w:val="auto"/>
              </w:rPr>
              <w:t>Delaware (U.S.A.)</w:t>
            </w:r>
          </w:p>
        </w:tc>
      </w:tr>
      <w:tr>
        <w:trPr>
          <w:trHeight w:val="214"/>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 Inc.</w:t>
            </w:r>
          </w:p>
        </w:tc>
        <w:tc>
          <w:tcPr>
            <w:tcW w:w="3860" w:type="dxa"/>
            <w:vAlign w:val="bottom"/>
            <w:gridSpan w:val="2"/>
          </w:tcPr>
          <w:p>
            <w:pPr>
              <w:ind w:left="2360"/>
              <w:spacing w:after="0"/>
              <w:rPr>
                <w:sz w:val="20"/>
                <w:szCs w:val="20"/>
                <w:color w:val="auto"/>
              </w:rPr>
            </w:pPr>
            <w:r>
              <w:rPr>
                <w:rFonts w:ascii="Times New Roman" w:cs="Times New Roman" w:eastAsia="Times New Roman" w:hAnsi="Times New Roman"/>
                <w:sz w:val="14"/>
                <w:szCs w:val="14"/>
                <w:color w:val="auto"/>
              </w:rPr>
              <w:t>Delaware (U.S.A.)</w:t>
            </w:r>
          </w:p>
        </w:tc>
      </w:tr>
      <w:tr>
        <w:trPr>
          <w:trHeight w:val="214"/>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VMware International Unlimited Company</w:t>
            </w:r>
          </w:p>
        </w:tc>
        <w:tc>
          <w:tcPr>
            <w:tcW w:w="3860" w:type="dxa"/>
            <w:vAlign w:val="bottom"/>
            <w:gridSpan w:val="2"/>
          </w:tcPr>
          <w:p>
            <w:pPr>
              <w:ind w:left="2360"/>
              <w:spacing w:after="0"/>
              <w:rPr>
                <w:sz w:val="20"/>
                <w:szCs w:val="20"/>
                <w:color w:val="auto"/>
              </w:rPr>
            </w:pPr>
            <w:r>
              <w:rPr>
                <w:rFonts w:ascii="Times New Roman" w:cs="Times New Roman" w:eastAsia="Times New Roman" w:hAnsi="Times New Roman"/>
                <w:sz w:val="14"/>
                <w:szCs w:val="14"/>
                <w:color w:val="auto"/>
              </w:rPr>
              <w:t>Ireland</w:t>
            </w:r>
          </w:p>
        </w:tc>
      </w:tr>
      <w:tr>
        <w:trPr>
          <w:trHeight w:val="214"/>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VMware LLC</w:t>
            </w:r>
          </w:p>
        </w:tc>
        <w:tc>
          <w:tcPr>
            <w:tcW w:w="3860" w:type="dxa"/>
            <w:vAlign w:val="bottom"/>
            <w:gridSpan w:val="2"/>
          </w:tcPr>
          <w:p>
            <w:pPr>
              <w:ind w:left="2360"/>
              <w:spacing w:after="0"/>
              <w:rPr>
                <w:sz w:val="20"/>
                <w:szCs w:val="20"/>
                <w:color w:val="auto"/>
              </w:rPr>
            </w:pPr>
            <w:r>
              <w:rPr>
                <w:rFonts w:ascii="Times New Roman" w:cs="Times New Roman" w:eastAsia="Times New Roman" w:hAnsi="Times New Roman"/>
                <w:sz w:val="14"/>
                <w:szCs w:val="14"/>
                <w:color w:val="auto"/>
              </w:rPr>
              <w:t>Delaware (U.S.A.)</w:t>
            </w:r>
          </w:p>
        </w:tc>
      </w:tr>
      <w:tr>
        <w:trPr>
          <w:trHeight w:val="214"/>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VMware Global, Inc.</w:t>
            </w:r>
          </w:p>
        </w:tc>
        <w:tc>
          <w:tcPr>
            <w:tcW w:w="3860" w:type="dxa"/>
            <w:vAlign w:val="bottom"/>
            <w:gridSpan w:val="2"/>
          </w:tcPr>
          <w:p>
            <w:pPr>
              <w:ind w:left="2360"/>
              <w:spacing w:after="0"/>
              <w:rPr>
                <w:sz w:val="20"/>
                <w:szCs w:val="20"/>
                <w:color w:val="auto"/>
              </w:rPr>
            </w:pPr>
            <w:r>
              <w:rPr>
                <w:rFonts w:ascii="Times New Roman" w:cs="Times New Roman" w:eastAsia="Times New Roman" w:hAnsi="Times New Roman"/>
                <w:sz w:val="14"/>
                <w:szCs w:val="14"/>
                <w:color w:val="auto"/>
              </w:rPr>
              <w:t>Delaware (U.S.A.)</w:t>
            </w:r>
          </w:p>
        </w:tc>
      </w:tr>
      <w:tr>
        <w:trPr>
          <w:trHeight w:val="214"/>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VMware Management Inc.</w:t>
            </w:r>
          </w:p>
        </w:tc>
        <w:tc>
          <w:tcPr>
            <w:tcW w:w="3860" w:type="dxa"/>
            <w:vAlign w:val="bottom"/>
            <w:gridSpan w:val="2"/>
          </w:tcPr>
          <w:p>
            <w:pPr>
              <w:ind w:left="2360"/>
              <w:spacing w:after="0"/>
              <w:rPr>
                <w:sz w:val="20"/>
                <w:szCs w:val="20"/>
                <w:color w:val="auto"/>
              </w:rPr>
            </w:pPr>
            <w:r>
              <w:rPr>
                <w:rFonts w:ascii="Times New Roman" w:cs="Times New Roman" w:eastAsia="Times New Roman" w:hAnsi="Times New Roman"/>
                <w:sz w:val="14"/>
                <w:szCs w:val="14"/>
                <w:color w:val="auto"/>
              </w:rPr>
              <w:t>Delaware (U.S.A.)</w:t>
            </w:r>
          </w:p>
        </w:tc>
      </w:tr>
    </w:tbl>
    <w:p>
      <w:pPr>
        <w:sectPr>
          <w:pgSz w:w="11900" w:h="16838" w:orient="portrait"/>
          <w:cols w:equalWidth="0" w:num="1">
            <w:col w:w="9019"/>
          </w:cols>
          <w:pgMar w:left="1440" w:top="123" w:right="1440" w:bottom="1440" w:gutter="0" w:footer="0" w:header="0"/>
        </w:sectPr>
      </w:pPr>
    </w:p>
    <w:bookmarkStart w:id="71" w:name="page72"/>
    <w:bookmarkEnd w:id="71"/>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66" w:lineRule="exact"/>
        <w:rPr>
          <w:sz w:val="20"/>
          <w:szCs w:val="20"/>
          <w:color w:val="auto"/>
        </w:rPr>
      </w:pPr>
    </w:p>
    <w:p>
      <w:pPr>
        <w:ind w:left="340" w:right="359"/>
        <w:spacing w:after="0" w:line="250"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S-4 of Broadcom Inc. of our report dated December 18, 2025 relating to the financial statements, financial statement schedule and the effectiveness of internal control over financial reporting, which appears in Broadcom Inc.’s Annual Report on Form 10-K for the year ended November 2, 2025. We also consent to the reference to us under the heading “Experts” in such Registration Statement.</w:t>
      </w: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June 9, 2026</w:t>
      </w:r>
    </w:p>
    <w:p>
      <w:pPr>
        <w:sectPr>
          <w:pgSz w:w="11900" w:h="16838" w:orient="portrait"/>
          <w:cols w:equalWidth="0" w:num="1">
            <w:col w:w="9019"/>
          </w:cols>
          <w:pgMar w:left="1440" w:top="123" w:right="1440" w:bottom="1440" w:gutter="0" w:footer="0" w:header="0"/>
        </w:sectPr>
      </w:pPr>
    </w:p>
    <w:bookmarkStart w:id="72" w:name="page73"/>
    <w:bookmarkEnd w:id="72"/>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122555</wp:posOffset>
            </wp:positionV>
            <wp:extent cx="529145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5291455" cy="635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154940</wp:posOffset>
            </wp:positionV>
            <wp:extent cx="529145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5291455" cy="635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T-1</w:t>
      </w:r>
    </w:p>
    <w:p>
      <w:pPr>
        <w:spacing w:after="0" w:line="198" w:lineRule="exact"/>
        <w:rPr>
          <w:sz w:val="20"/>
          <w:szCs w:val="20"/>
          <w:color w:val="auto"/>
        </w:rPr>
      </w:pPr>
    </w:p>
    <w:p>
      <w:pPr>
        <w:ind w:left="680" w:hanging="343"/>
        <w:spacing w:after="0"/>
        <w:tabs>
          <w:tab w:leader="none" w:pos="680" w:val="left"/>
        </w:tabs>
        <w:numPr>
          <w:ilvl w:val="0"/>
          <w:numId w:val="6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if an Application to Determine Eligibility of a Trustee Pursuant to Section 305(b)(2)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WILMINGTON TRUST, NATIONAL ASSOCIATION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16-1486454</w:t>
      </w:r>
    </w:p>
    <w:p>
      <w:pPr>
        <w:ind w:left="4120"/>
        <w:spacing w:after="0"/>
        <w:rPr>
          <w:sz w:val="20"/>
          <w:szCs w:val="20"/>
          <w:color w:val="auto"/>
        </w:rPr>
      </w:pPr>
      <w:r>
        <w:rPr>
          <w:rFonts w:ascii="Times New Roman" w:cs="Times New Roman" w:eastAsia="Times New Roman" w:hAnsi="Times New Roman"/>
          <w:sz w:val="11"/>
          <w:szCs w:val="11"/>
          <w:b w:val="1"/>
          <w:bCs w:val="1"/>
          <w:color w:val="auto"/>
        </w:rPr>
        <w:t>(I.R.S. employer</w:t>
      </w:r>
    </w:p>
    <w:p>
      <w:pPr>
        <w:ind w:left="410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1100 North Market Street</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Wilmington, DE 19890-0001</w:t>
      </w:r>
    </w:p>
    <w:p>
      <w:pPr>
        <w:jc w:val="center"/>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Kyle Barry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Senior Vice President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Wilmington Trust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285 Delaware Ave.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Buffalo, NY 14202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(716) 839-6909</w:t>
      </w:r>
    </w:p>
    <w:p>
      <w:pPr>
        <w:jc w:val="center"/>
        <w:spacing w:after="0"/>
        <w:rPr>
          <w:sz w:val="20"/>
          <w:szCs w:val="20"/>
          <w:color w:val="auto"/>
        </w:rPr>
      </w:pPr>
      <w:r>
        <w:rPr>
          <w:rFonts w:ascii="Times New Roman" w:cs="Times New Roman" w:eastAsia="Times New Roman" w:hAnsi="Times New Roman"/>
          <w:sz w:val="11"/>
          <w:szCs w:val="11"/>
          <w:b w:val="1"/>
          <w:bCs w:val="1"/>
          <w:color w:val="auto"/>
        </w:rPr>
        <w:t>(Name, address and telephone number of agent for service)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obligor as specified in its charter)</w:t>
      </w:r>
    </w:p>
    <w:p>
      <w:pPr>
        <w:sectPr>
          <w:pgSz w:w="11900" w:h="16838" w:orient="portrait"/>
          <w:cols w:equalWidth="0" w:num="1">
            <w:col w:w="9019"/>
          </w:cols>
          <w:pgMar w:left="1440" w:top="123" w:right="1440" w:bottom="1440" w:gutter="0" w:footer="0" w:header="0"/>
        </w:sectPr>
      </w:pPr>
    </w:p>
    <w:p>
      <w:pPr>
        <w:spacing w:after="0" w:line="15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35-2617337</w:t>
      </w:r>
    </w:p>
    <w:p>
      <w:pPr>
        <w:spacing w:after="0" w:line="41" w:lineRule="exact"/>
        <w:rPr>
          <w:sz w:val="20"/>
          <w:szCs w:val="20"/>
          <w:color w:val="auto"/>
        </w:rPr>
      </w:pPr>
    </w:p>
    <w:p>
      <w:pPr>
        <w:sectPr>
          <w:pgSz w:w="11900" w:h="16838" w:orient="portrait"/>
          <w:cols w:equalWidth="0" w:num="2">
            <w:col w:w="5600" w:space="720"/>
            <w:col w:w="2699"/>
          </w:cols>
          <w:pgMar w:left="1440" w:top="123" w:right="1440"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0"/>
          <w:szCs w:val="10"/>
          <w:b w:val="1"/>
          <w:b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(I.R.S. Employer Identification No.)</w:t>
      </w:r>
    </w:p>
    <w:p>
      <w:pPr>
        <w:spacing w:after="0" w:line="145" w:lineRule="exact"/>
        <w:rPr>
          <w:sz w:val="20"/>
          <w:szCs w:val="20"/>
          <w:color w:val="auto"/>
        </w:rPr>
      </w:pPr>
    </w:p>
    <w:p>
      <w:pPr>
        <w:sectPr>
          <w:pgSz w:w="11900" w:h="16838" w:orient="portrait"/>
          <w:cols w:equalWidth="0" w:num="2">
            <w:col w:w="5100" w:space="720"/>
            <w:col w:w="3199"/>
          </w:cols>
          <w:pgMar w:left="1440" w:top="123"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3421 Hillview Avenue</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Palo Alto, California 94304</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1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3.137% Senior Notes due 2035</w:t>
      </w:r>
    </w:p>
    <w:p>
      <w:pPr>
        <w:spacing w:after="0" w:line="1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3.187% Senior Notes due 2036</w:t>
      </w:r>
    </w:p>
    <w:p>
      <w:pPr>
        <w:jc w:val="center"/>
        <w:spacing w:after="0"/>
        <w:rPr>
          <w:sz w:val="20"/>
          <w:szCs w:val="20"/>
          <w:color w:val="auto"/>
        </w:rPr>
      </w:pPr>
      <w:r>
        <w:rPr>
          <w:rFonts w:ascii="Times New Roman" w:cs="Times New Roman" w:eastAsia="Times New Roman" w:hAnsi="Times New Roman"/>
          <w:sz w:val="11"/>
          <w:szCs w:val="11"/>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104775</wp:posOffset>
            </wp:positionV>
            <wp:extent cx="529145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5291455" cy="635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137160</wp:posOffset>
            </wp:positionV>
            <wp:extent cx="529145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5291455" cy="635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73" w:name="page74"/>
    <w:bookmarkEnd w:id="73"/>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ITEM 1. GENERAL INFORMATION.</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Furnish the following information as to the trustee:</w:t>
      </w:r>
    </w:p>
    <w:p>
      <w:pPr>
        <w:spacing w:after="0" w:line="94" w:lineRule="exact"/>
        <w:rPr>
          <w:sz w:val="20"/>
          <w:szCs w:val="20"/>
          <w:color w:val="auto"/>
        </w:rPr>
      </w:pPr>
    </w:p>
    <w:p>
      <w:pPr>
        <w:ind w:left="1400" w:hanging="317"/>
        <w:spacing w:after="0"/>
        <w:tabs>
          <w:tab w:leader="none" w:pos="14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 and address of each examining or supervising authority to which it is subject.</w:t>
      </w:r>
    </w:p>
    <w:p>
      <w:pPr>
        <w:spacing w:after="0" w:line="84" w:lineRule="exact"/>
        <w:rPr>
          <w:rFonts w:ascii="Times New Roman" w:cs="Times New Roman" w:eastAsia="Times New Roman" w:hAnsi="Times New Roman"/>
          <w:sz w:val="14"/>
          <w:szCs w:val="14"/>
          <w:color w:val="auto"/>
        </w:rPr>
      </w:pPr>
    </w:p>
    <w:p>
      <w:pPr>
        <w:ind w:left="1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Comptroller of Currency, Washington, D.C.</w:t>
      </w:r>
    </w:p>
    <w:p>
      <w:pPr>
        <w:spacing w:after="0" w:line="14" w:lineRule="exact"/>
        <w:rPr>
          <w:rFonts w:ascii="Times New Roman" w:cs="Times New Roman" w:eastAsia="Times New Roman" w:hAnsi="Times New Roman"/>
          <w:sz w:val="14"/>
          <w:szCs w:val="14"/>
          <w:color w:val="auto"/>
        </w:rPr>
      </w:pPr>
    </w:p>
    <w:p>
      <w:pPr>
        <w:ind w:left="1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Deposit Insurance Corporation, Washington, D.C.</w:t>
      </w:r>
    </w:p>
    <w:p>
      <w:pPr>
        <w:spacing w:after="0" w:line="82" w:lineRule="exact"/>
        <w:rPr>
          <w:rFonts w:ascii="Times New Roman" w:cs="Times New Roman" w:eastAsia="Times New Roman" w:hAnsi="Times New Roman"/>
          <w:sz w:val="14"/>
          <w:szCs w:val="14"/>
          <w:color w:val="auto"/>
        </w:rPr>
      </w:pPr>
    </w:p>
    <w:p>
      <w:pPr>
        <w:jc w:val="both"/>
        <w:ind w:left="1420" w:right="4359" w:hanging="337"/>
        <w:spacing w:after="0" w:line="491" w:lineRule="auto"/>
        <w:tabs>
          <w:tab w:leader="none" w:pos="1409"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it is authorized to exercise corporate trust powers. The trustee is authorized to exercise corporate trust powers.</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ITEM 2. AFFILIATIONS WITH THE OBLIGOR.</w:t>
      </w:r>
    </w:p>
    <w:p>
      <w:pPr>
        <w:spacing w:after="0" w:line="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If the obligor is an affiliate of the trustee, describe each affiliation:</w:t>
      </w:r>
    </w:p>
    <w:p>
      <w:pPr>
        <w:spacing w:after="0" w:line="84" w:lineRule="exact"/>
        <w:rPr>
          <w:sz w:val="20"/>
          <w:szCs w:val="20"/>
          <w:color w:val="auto"/>
        </w:rPr>
      </w:pPr>
    </w:p>
    <w:p>
      <w:pPr>
        <w:ind w:left="1080" w:right="379"/>
        <w:spacing w:after="0" w:line="264" w:lineRule="auto"/>
        <w:rPr>
          <w:sz w:val="20"/>
          <w:szCs w:val="20"/>
          <w:color w:val="auto"/>
        </w:rPr>
      </w:pPr>
      <w:r>
        <w:rPr>
          <w:rFonts w:ascii="Times New Roman" w:cs="Times New Roman" w:eastAsia="Times New Roman" w:hAnsi="Times New Roman"/>
          <w:sz w:val="14"/>
          <w:szCs w:val="14"/>
          <w:color w:val="auto"/>
        </w:rPr>
        <w:t>Based upon an examination of the books and records of the trustee and information available to the trustee, the obligor is not an affiliate of the trustee.</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 xml:space="preserve">ITEM 3 – 15. </w:t>
      </w:r>
      <w:r>
        <w:rPr>
          <w:rFonts w:ascii="Times New Roman" w:cs="Times New Roman" w:eastAsia="Times New Roman" w:hAnsi="Times New Roman"/>
          <w:sz w:val="14"/>
          <w:szCs w:val="14"/>
          <w:color w:val="auto"/>
        </w:rPr>
        <w:t>Not applicable.</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ITEM 16. LIST OF EXHIBITS.</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Listed below are all exhibits filed as part of this Statement of Eligibility and Qualification.</w:t>
      </w:r>
    </w:p>
    <w:p>
      <w:pPr>
        <w:spacing w:after="0" w:line="94" w:lineRule="exact"/>
        <w:rPr>
          <w:sz w:val="20"/>
          <w:szCs w:val="20"/>
          <w:color w:val="auto"/>
        </w:rPr>
      </w:pPr>
    </w:p>
    <w:p>
      <w:pPr>
        <w:ind w:left="1080" w:hanging="416"/>
        <w:spacing w:after="0"/>
        <w:tabs>
          <w:tab w:leader="none" w:pos="10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Charter for Wilmington Trust, National Association.</w:t>
      </w:r>
    </w:p>
    <w:p>
      <w:pPr>
        <w:spacing w:after="0" w:line="94" w:lineRule="exact"/>
        <w:rPr>
          <w:rFonts w:ascii="Times New Roman" w:cs="Times New Roman" w:eastAsia="Times New Roman" w:hAnsi="Times New Roman"/>
          <w:sz w:val="14"/>
          <w:szCs w:val="14"/>
          <w:color w:val="auto"/>
        </w:rPr>
      </w:pPr>
    </w:p>
    <w:p>
      <w:pPr>
        <w:ind w:left="1080" w:right="679" w:hanging="416"/>
        <w:spacing w:after="0" w:line="264" w:lineRule="auto"/>
        <w:tabs>
          <w:tab w:leader="none" w:pos="10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authority of Wilmington Trust, National Association to commence business was granted under the Charter for Wilmington Trust, National Association, incorporated herein by reference to Exhibit 1 above.</w:t>
      </w:r>
    </w:p>
    <w:p>
      <w:pPr>
        <w:spacing w:after="0" w:line="64" w:lineRule="exact"/>
        <w:rPr>
          <w:rFonts w:ascii="Times New Roman" w:cs="Times New Roman" w:eastAsia="Times New Roman" w:hAnsi="Times New Roman"/>
          <w:sz w:val="14"/>
          <w:szCs w:val="14"/>
          <w:color w:val="auto"/>
        </w:rPr>
      </w:pPr>
    </w:p>
    <w:p>
      <w:pPr>
        <w:ind w:left="1080" w:right="999" w:hanging="416"/>
        <w:spacing w:after="0" w:line="264" w:lineRule="auto"/>
        <w:tabs>
          <w:tab w:leader="none" w:pos="10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authorization to exercise corporate trust powers was granted under the Charter for Wilmington Trust, National Association, incorporated herein by reference to Exhibit 1 above.</w:t>
      </w:r>
    </w:p>
    <w:p>
      <w:pPr>
        <w:spacing w:after="0" w:line="6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Trustee, as now in effect, incorporated herein by reference to Exhibit 4 of this Form T-1.</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94" w:lineRule="exact"/>
        <w:rPr>
          <w:rFonts w:ascii="Times New Roman" w:cs="Times New Roman" w:eastAsia="Times New Roman" w:hAnsi="Times New Roman"/>
          <w:sz w:val="14"/>
          <w:szCs w:val="14"/>
          <w:color w:val="auto"/>
        </w:rPr>
      </w:pPr>
    </w:p>
    <w:p>
      <w:pPr>
        <w:ind w:left="1080" w:right="479" w:hanging="416"/>
        <w:spacing w:after="0" w:line="264" w:lineRule="auto"/>
        <w:tabs>
          <w:tab w:leader="none" w:pos="10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Wilmington Trust, National Association as required by Section 321(b) of the Trust Indenture Act of 1939, attached hereto as Exhibit 6 of this Form T-1.</w:t>
      </w:r>
    </w:p>
    <w:p>
      <w:pPr>
        <w:spacing w:after="0" w:line="64" w:lineRule="exact"/>
        <w:rPr>
          <w:rFonts w:ascii="Times New Roman" w:cs="Times New Roman" w:eastAsia="Times New Roman" w:hAnsi="Times New Roman"/>
          <w:sz w:val="14"/>
          <w:szCs w:val="14"/>
          <w:color w:val="auto"/>
        </w:rPr>
      </w:pPr>
    </w:p>
    <w:p>
      <w:pPr>
        <w:ind w:left="1080" w:right="959" w:hanging="416"/>
        <w:spacing w:after="0" w:line="264" w:lineRule="auto"/>
        <w:tabs>
          <w:tab w:leader="none" w:pos="10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Report of the Condition of Wilmington Trust, National Association, published pursuant to law or the requirements of its supervising or examining authority, attached hereto as Exhibit 7 of this Form T-1.</w:t>
      </w:r>
    </w:p>
    <w:p>
      <w:pPr>
        <w:spacing w:after="0" w:line="6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ectPr>
          <w:pgSz w:w="11900" w:h="16838" w:orient="portrait"/>
          <w:cols w:equalWidth="0" w:num="1">
            <w:col w:w="9019"/>
          </w:cols>
          <w:pgMar w:left="1440" w:top="235"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SIGNATURE</w:t>
      </w:r>
    </w:p>
    <w:p>
      <w:pPr>
        <w:spacing w:after="0" w:line="170" w:lineRule="exact"/>
        <w:rPr>
          <w:sz w:val="20"/>
          <w:szCs w:val="20"/>
          <w:color w:val="auto"/>
        </w:rPr>
      </w:pPr>
    </w:p>
    <w:p>
      <w:pPr>
        <w:ind w:left="340" w:right="359"/>
        <w:spacing w:after="0" w:line="316" w:lineRule="auto"/>
        <w:rPr>
          <w:sz w:val="20"/>
          <w:szCs w:val="20"/>
          <w:color w:val="auto"/>
        </w:rPr>
      </w:pPr>
      <w:r>
        <w:rPr>
          <w:rFonts w:ascii="Times New Roman" w:cs="Times New Roman" w:eastAsia="Times New Roman" w:hAnsi="Times New Roman"/>
          <w:sz w:val="12"/>
          <w:szCs w:val="12"/>
          <w:color w:val="auto"/>
        </w:rPr>
        <w:t>Pursuant to the requirements of the Trust Indenture Act of 1939, as amended, the trustee, Wilmington Trust,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9th day of June, 2026.</w:t>
      </w:r>
    </w:p>
    <w:p>
      <w:pPr>
        <w:spacing w:after="0" w:line="12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WILMINGTON TRUST, NATIONAL ASSOCIATION</w:t>
      </w:r>
    </w:p>
    <w:p>
      <w:pPr>
        <w:spacing w:after="0" w:line="19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 /s/ Sarah Vilhauer</w:t>
      </w:r>
    </w:p>
    <w:p>
      <w:pPr>
        <w:spacing w:after="0" w:line="1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Name: Sarah Vilhauer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-100965</wp:posOffset>
            </wp:positionV>
            <wp:extent cx="196469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1964690" cy="6350"/>
                    </a:xfrm>
                    <a:prstGeom prst="rect">
                      <a:avLst/>
                    </a:prstGeom>
                    <a:noFill/>
                  </pic:spPr>
                </pic:pic>
              </a:graphicData>
            </a:graphic>
          </wp:anchor>
        </w:drawing>
      </w:r>
    </w:p>
    <w:p>
      <w:pPr>
        <w:ind w:left="5340"/>
        <w:spacing w:after="0"/>
        <w:rPr>
          <w:sz w:val="20"/>
          <w:szCs w:val="20"/>
          <w:color w:val="auto"/>
        </w:rPr>
      </w:pPr>
      <w:r>
        <w:rPr>
          <w:rFonts w:ascii="Times New Roman" w:cs="Times New Roman" w:eastAsia="Times New Roman" w:hAnsi="Times New Roman"/>
          <w:sz w:val="14"/>
          <w:szCs w:val="14"/>
          <w:color w:val="auto"/>
        </w:rPr>
        <w:t>Title: Vice President</w:t>
      </w:r>
    </w:p>
    <w:p>
      <w:pPr>
        <w:sectPr>
          <w:pgSz w:w="11900" w:h="16838" w:orient="portrait"/>
          <w:cols w:equalWidth="0" w:num="1">
            <w:col w:w="9019"/>
          </w:cols>
          <w:pgMar w:left="1440" w:top="235" w:right="144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EXHIBIT 1</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CHARTER OF WILMINGTON TRUST, NATIONAL ASSOCIATION</w:t>
      </w:r>
    </w:p>
    <w:p>
      <w:pPr>
        <w:sectPr>
          <w:pgSz w:w="11900" w:h="16838" w:orient="portrait"/>
          <w:cols w:equalWidth="0" w:num="1">
            <w:col w:w="9019"/>
          </w:cols>
          <w:pgMar w:left="1440" w:top="235"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ARTICLES OF ASSOCIATION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WILMINGTON TRUST, NATIONAL ASSOCIATION</w:t>
      </w:r>
    </w:p>
    <w:p>
      <w:pPr>
        <w:spacing w:after="0" w:line="154" w:lineRule="exact"/>
        <w:rPr>
          <w:sz w:val="20"/>
          <w:szCs w:val="20"/>
          <w:color w:val="auto"/>
        </w:rPr>
      </w:pPr>
    </w:p>
    <w:p>
      <w:pPr>
        <w:ind w:left="340" w:right="359" w:firstLine="333"/>
        <w:spacing w:after="0" w:line="264" w:lineRule="auto"/>
        <w:rPr>
          <w:sz w:val="20"/>
          <w:szCs w:val="20"/>
          <w:color w:val="auto"/>
        </w:rPr>
      </w:pPr>
      <w:r>
        <w:rPr>
          <w:rFonts w:ascii="Times New Roman" w:cs="Times New Roman" w:eastAsia="Times New Roman" w:hAnsi="Times New Roman"/>
          <w:sz w:val="14"/>
          <w:szCs w:val="14"/>
          <w:color w:val="auto"/>
        </w:rPr>
        <w:t>For the purpose of organizing an association to perform any lawful activities of national banks, the undersigned do enter into the following articles of association:</w:t>
      </w:r>
    </w:p>
    <w:p>
      <w:pPr>
        <w:sectPr>
          <w:pgSz w:w="11900" w:h="16838" w:orient="portrait"/>
          <w:cols w:equalWidth="0" w:num="1">
            <w:col w:w="9019"/>
          </w:cols>
          <w:pgMar w:left="1440" w:top="235" w:right="1440" w:bottom="1440" w:gutter="0" w:footer="0" w:header="0"/>
        </w:sectPr>
      </w:pP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0"/>
          <w:szCs w:val="10"/>
          <w:color w:val="auto"/>
        </w:rPr>
        <w:t>FIRST. </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The title of this association shall be Wilmington Trust, National Association.</w:t>
      </w:r>
    </w:p>
    <w:p>
      <w:pPr>
        <w:spacing w:after="0" w:line="189" w:lineRule="exact"/>
        <w:rPr>
          <w:sz w:val="20"/>
          <w:szCs w:val="20"/>
          <w:color w:val="auto"/>
        </w:rPr>
      </w:pPr>
    </w:p>
    <w:p>
      <w:pPr>
        <w:sectPr>
          <w:pgSz w:w="11900" w:h="16838" w:orient="portrait"/>
          <w:cols w:equalWidth="0" w:num="2">
            <w:col w:w="760" w:space="100"/>
            <w:col w:w="8159"/>
          </w:cols>
          <w:pgMar w:left="1440" w:top="235" w:right="1440" w:bottom="1440" w:gutter="0" w:footer="0" w:header="0"/>
          <w:type w:val="continuous"/>
        </w:sectPr>
      </w:pPr>
    </w:p>
    <w:p>
      <w:pPr>
        <w:ind w:left="340" w:right="499"/>
        <w:spacing w:after="0" w:line="264" w:lineRule="auto"/>
        <w:rPr>
          <w:sz w:val="20"/>
          <w:szCs w:val="20"/>
          <w:color w:val="auto"/>
        </w:rPr>
      </w:pPr>
      <w:r>
        <w:rPr>
          <w:rFonts w:ascii="Times New Roman" w:cs="Times New Roman" w:eastAsia="Times New Roman" w:hAnsi="Times New Roman"/>
          <w:sz w:val="14"/>
          <w:szCs w:val="14"/>
          <w:color w:val="auto"/>
        </w:rPr>
        <w:t>SECOND.   The main office of the association shall be in the City of Wilmington, County of New Castle, State of Delaware. The general business of the association shall be conducted at its main office and its branches.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THIRD.       The board of directors of this association shall consist of not less than five nor more than twenty-five persons, unless the OCC has</w:t>
      </w:r>
    </w:p>
    <w:p>
      <w:pPr>
        <w:sectPr>
          <w:pgSz w:w="11900" w:h="16838" w:orient="portrait"/>
          <w:cols w:equalWidth="0" w:num="1">
            <w:col w:w="9019"/>
          </w:cols>
          <w:pgMar w:left="1440" w:top="235" w:right="1440" w:bottom="1440" w:gutter="0" w:footer="0" w:header="0"/>
          <w:type w:val="continuous"/>
        </w:sectPr>
      </w:pPr>
    </w:p>
    <w:p>
      <w:pPr>
        <w:spacing w:after="0" w:line="37" w:lineRule="exact"/>
        <w:rPr>
          <w:sz w:val="20"/>
          <w:szCs w:val="20"/>
          <w:color w:val="auto"/>
        </w:rPr>
      </w:pPr>
    </w:p>
    <w:p>
      <w:pPr>
        <w:ind w:left="340" w:right="419"/>
        <w:spacing w:after="0" w:line="244" w:lineRule="auto"/>
        <w:rPr>
          <w:sz w:val="20"/>
          <w:szCs w:val="20"/>
          <w:color w:val="auto"/>
        </w:rPr>
      </w:pPr>
      <w:r>
        <w:rPr>
          <w:rFonts w:ascii="Times New Roman" w:cs="Times New Roman" w:eastAsia="Times New Roman" w:hAnsi="Times New Roman"/>
          <w:sz w:val="14"/>
          <w:szCs w:val="14"/>
          <w:color w:val="auto"/>
        </w:rPr>
        <w:t>exempted the bank from the 25-member limit. The exact number is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$1,000. Determination of these values may be based as of either (i) the date of purchase or (ii) the date the person became a director, whichever value is greater. Any combination of common or preferred stock of the association or holding company may be used.</w:t>
      </w:r>
    </w:p>
    <w:p>
      <w:pPr>
        <w:spacing w:after="0" w:line="150" w:lineRule="exact"/>
        <w:rPr>
          <w:sz w:val="20"/>
          <w:szCs w:val="20"/>
          <w:color w:val="auto"/>
        </w:rPr>
      </w:pPr>
    </w:p>
    <w:p>
      <w:pPr>
        <w:ind w:left="340" w:right="659" w:firstLine="333"/>
        <w:spacing w:after="0" w:line="264" w:lineRule="auto"/>
        <w:rPr>
          <w:sz w:val="20"/>
          <w:szCs w:val="20"/>
          <w:color w:val="auto"/>
        </w:rPr>
      </w:pPr>
      <w:r>
        <w:rPr>
          <w:rFonts w:ascii="Times New Roman" w:cs="Times New Roman" w:eastAsia="Times New Roman" w:hAnsi="Times New Roman"/>
          <w:sz w:val="14"/>
          <w:szCs w:val="14"/>
          <w:color w:val="auto"/>
        </w:rPr>
        <w:t>Any vacancy in the board of directors may be filled by action of a majority of the remaining directors between meetings of shareholders. The board of directors may not increase the number of directors between meetings of shareholders to a number which:</w:t>
      </w:r>
    </w:p>
    <w:p>
      <w:pPr>
        <w:spacing w:after="0" w:line="65" w:lineRule="exact"/>
        <w:rPr>
          <w:sz w:val="20"/>
          <w:szCs w:val="20"/>
          <w:color w:val="auto"/>
        </w:rPr>
      </w:pPr>
    </w:p>
    <w:p>
      <w:pPr>
        <w:ind w:left="1080" w:hanging="416"/>
        <w:spacing w:after="0"/>
        <w:tabs>
          <w:tab w:leader="none" w:pos="10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exceeds by more than two the number of directors last elected by shareholders where the number was 15 or less; or</w:t>
      </w:r>
    </w:p>
    <w:p>
      <w:pPr>
        <w:spacing w:after="0" w:line="94" w:lineRule="exact"/>
        <w:rPr>
          <w:rFonts w:ascii="Times New Roman" w:cs="Times New Roman" w:eastAsia="Times New Roman" w:hAnsi="Times New Roman"/>
          <w:sz w:val="14"/>
          <w:szCs w:val="14"/>
          <w:color w:val="auto"/>
        </w:rPr>
      </w:pPr>
    </w:p>
    <w:p>
      <w:pPr>
        <w:ind w:left="1080" w:right="399" w:hanging="416"/>
        <w:spacing w:after="0" w:line="264" w:lineRule="auto"/>
        <w:tabs>
          <w:tab w:leader="none" w:pos="10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exceeds by more than four the number of directors last elected by shareholders where the number was 16 or more, but in no event shall the number of directors exceed 25, unless the OCC has exempted the bank from the 25-member limit.</w:t>
      </w:r>
    </w:p>
    <w:p>
      <w:pPr>
        <w:spacing w:after="0" w:line="136" w:lineRule="exact"/>
        <w:rPr>
          <w:sz w:val="20"/>
          <w:szCs w:val="20"/>
          <w:color w:val="auto"/>
        </w:rPr>
      </w:pPr>
    </w:p>
    <w:p>
      <w:pPr>
        <w:ind w:left="340" w:right="399" w:firstLine="333"/>
        <w:spacing w:after="0" w:line="250" w:lineRule="auto"/>
        <w:rPr>
          <w:sz w:val="20"/>
          <w:szCs w:val="20"/>
          <w:color w:val="auto"/>
        </w:rPr>
      </w:pPr>
      <w:r>
        <w:rPr>
          <w:rFonts w:ascii="Times New Roman" w:cs="Times New Roman" w:eastAsia="Times New Roman" w:hAnsi="Times New Roman"/>
          <w:sz w:val="14"/>
          <w:szCs w:val="14"/>
          <w:color w:val="auto"/>
        </w:rPr>
        <w:t>Directors shall be elected for terms of one year and until their successors are elected and qualified.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qualifies or until there is a decrease in the number of directors and his or her position is eliminated.</w:t>
      </w:r>
    </w:p>
    <w:p>
      <w:pPr>
        <w:spacing w:after="0" w:line="146" w:lineRule="exact"/>
        <w:rPr>
          <w:sz w:val="20"/>
          <w:szCs w:val="20"/>
          <w:color w:val="auto"/>
        </w:rPr>
      </w:pPr>
    </w:p>
    <w:p>
      <w:pPr>
        <w:ind w:left="340" w:right="359" w:firstLine="333"/>
        <w:spacing w:after="0" w:line="250" w:lineRule="auto"/>
        <w:rPr>
          <w:sz w:val="20"/>
          <w:szCs w:val="20"/>
          <w:color w:val="auto"/>
        </w:rPr>
      </w:pPr>
      <w:r>
        <w:rPr>
          <w:rFonts w:ascii="Times New Roman" w:cs="Times New Roman" w:eastAsia="Times New Roman" w:hAnsi="Times New Roman"/>
          <w:sz w:val="14"/>
          <w:szCs w:val="14"/>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 the number of directors of the association or the presence of a quorum in connection with any board action, and shall not be required to own qualifying shares.</w:t>
      </w:r>
    </w:p>
    <w:p>
      <w:pPr>
        <w:spacing w:after="0" w:line="146" w:lineRule="exact"/>
        <w:rPr>
          <w:sz w:val="20"/>
          <w:szCs w:val="20"/>
          <w:color w:val="auto"/>
        </w:rPr>
      </w:pPr>
    </w:p>
    <w:p>
      <w:pPr>
        <w:ind w:left="340" w:right="399"/>
        <w:spacing w:after="0" w:line="248" w:lineRule="auto"/>
        <w:rPr>
          <w:sz w:val="20"/>
          <w:szCs w:val="20"/>
          <w:color w:val="auto"/>
        </w:rPr>
      </w:pPr>
      <w:r>
        <w:rPr>
          <w:rFonts w:ascii="Times New Roman" w:cs="Times New Roman" w:eastAsia="Times New Roman" w:hAnsi="Times New Roman"/>
          <w:sz w:val="14"/>
          <w:szCs w:val="14"/>
          <w:color w:val="auto"/>
        </w:rPr>
        <w:t>FOURTH.   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w:t>
      </w:r>
    </w:p>
    <w:p>
      <w:pPr>
        <w:sectPr>
          <w:pgSz w:w="11900" w:h="16838" w:orient="portrait"/>
          <w:cols w:equalWidth="0" w:num="1">
            <w:col w:w="9019"/>
          </w:cols>
          <w:pgMar w:left="1440" w:top="235" w:right="1440" w:bottom="1440" w:gutter="0" w:footer="0" w:header="0"/>
          <w:type w:val="continuous"/>
        </w:sectPr>
      </w:pPr>
    </w:p>
    <w:bookmarkStart w:id="77" w:name="page78"/>
    <w:bookmarkEnd w:id="77"/>
    <w:p>
      <w:pPr>
        <w:ind w:left="340" w:right="47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204075" cy="31750"/>
                    </a:xfrm>
                    <a:prstGeom prst="rect">
                      <a:avLst/>
                    </a:prstGeom>
                    <a:noFill/>
                  </pic:spPr>
                </pic:pic>
              </a:graphicData>
            </a:graphic>
          </wp:anchor>
        </w:drawing>
        <w:t>designated by the board of directors, or, if the directors fail to fix the day, by shareholders representing two-thirds of the shares issued and outstanding. In all cases at least 10 days advance notice of the time, place and purpose of a shareholders’ meeting shall be given to the shareholders by first class mail, unless the OCC determines that an emergency circumstance exists. The sole shareholder of the bank is permitted to waive notice of the shareholders’ meeting.</w:t>
      </w:r>
    </w:p>
    <w:p>
      <w:pPr>
        <w:spacing w:after="0" w:line="146" w:lineRule="exact"/>
        <w:rPr>
          <w:sz w:val="20"/>
          <w:szCs w:val="20"/>
          <w:color w:val="auto"/>
        </w:rPr>
      </w:pPr>
    </w:p>
    <w:p>
      <w:pPr>
        <w:ind w:left="340" w:right="419" w:firstLine="333"/>
        <w:spacing w:after="0" w:line="248" w:lineRule="auto"/>
        <w:rPr>
          <w:sz w:val="20"/>
          <w:szCs w:val="20"/>
          <w:color w:val="auto"/>
        </w:rPr>
      </w:pPr>
      <w:r>
        <w:rPr>
          <w:rFonts w:ascii="Times New Roman" w:cs="Times New Roman" w:eastAsia="Times New Roman" w:hAnsi="Times New Roman"/>
          <w:sz w:val="14"/>
          <w:szCs w:val="14"/>
          <w:color w:val="auto"/>
        </w:rPr>
        <w:t>In all elections of directors, the number of votes each common shareholder may cast will be determined by multiplying the number of shares such shareholder owns by the number of directors to be elected. Those votes may be cumulated and cast for a single candidate or may be distributed among two or more candidates in the manner selected by the shareholder. If, after the first ballot, subsequent ballots are necessary to elect directors, a shareholder may not vote shares that he or she has already fully cumulated and voted in favor of a successful candidate. On all other questions, each common shareholder shall be entitled to one vote for each share of stock held by him or her.</w:t>
      </w:r>
    </w:p>
    <w:p>
      <w:pPr>
        <w:spacing w:after="0" w:line="149" w:lineRule="exact"/>
        <w:rPr>
          <w:sz w:val="20"/>
          <w:szCs w:val="20"/>
          <w:color w:val="auto"/>
        </w:rPr>
      </w:pPr>
    </w:p>
    <w:p>
      <w:pPr>
        <w:ind w:left="340" w:right="379" w:firstLine="333"/>
        <w:spacing w:after="0" w:line="297" w:lineRule="auto"/>
        <w:rPr>
          <w:sz w:val="20"/>
          <w:szCs w:val="20"/>
          <w:color w:val="auto"/>
        </w:rPr>
      </w:pPr>
      <w:r>
        <w:rPr>
          <w:rFonts w:ascii="Times New Roman" w:cs="Times New Roman" w:eastAsia="Times New Roman" w:hAnsi="Times New Roman"/>
          <w:sz w:val="12"/>
          <w:szCs w:val="12"/>
          <w:color w:val="auto"/>
        </w:rPr>
        <w:t>Nominations for election to the board of directors may be made by the board of directors or by any stockholder of any outstanding class of capital stock of the association entitled to vote for election of directors. Nominations other than those made by or on behalf of the existing management shall be made in writing and be delivered or mailed to the president of the association not less than 14 days nor more than 50 days prior to any meeting of shareholders called for the election of directors; provided, however, that if less than 21 days notice of the meeting is given to shareholders, such nominations shall be mailed or delivered to the president of the association not later than the close of business on the seventh day following the day on which the notice of meeting was mailed. Such notification shall contain the following information to the extent known to the notifying shareholder:</w:t>
      </w:r>
    </w:p>
    <w:p>
      <w:pPr>
        <w:spacing w:after="0" w:line="48" w:lineRule="exact"/>
        <w:rPr>
          <w:sz w:val="20"/>
          <w:szCs w:val="20"/>
          <w:color w:val="auto"/>
        </w:rPr>
      </w:pPr>
    </w:p>
    <w:p>
      <w:pPr>
        <w:ind w:left="1080" w:hanging="416"/>
        <w:spacing w:after="0"/>
        <w:tabs>
          <w:tab w:leader="none" w:pos="10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each proposed nominee.</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occupation of each proposed nominee.</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of capital stock of the association that will be voted for each proposed nominee.</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residence address of the notifying shareholder.</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capital stock of the association owned by the notifying shareholder.</w:t>
      </w:r>
    </w:p>
    <w:p>
      <w:pPr>
        <w:spacing w:after="0" w:line="166" w:lineRule="exact"/>
        <w:rPr>
          <w:sz w:val="20"/>
          <w:szCs w:val="20"/>
          <w:color w:val="auto"/>
        </w:rPr>
      </w:pPr>
    </w:p>
    <w:p>
      <w:pPr>
        <w:ind w:left="340" w:right="579" w:firstLine="333"/>
        <w:spacing w:after="0" w:line="264" w:lineRule="auto"/>
        <w:rPr>
          <w:sz w:val="20"/>
          <w:szCs w:val="20"/>
          <w:color w:val="auto"/>
        </w:rPr>
      </w:pPr>
      <w:r>
        <w:rPr>
          <w:rFonts w:ascii="Times New Roman" w:cs="Times New Roman" w:eastAsia="Times New Roman" w:hAnsi="Times New Roman"/>
          <w:sz w:val="14"/>
          <w:szCs w:val="14"/>
          <w:color w:val="auto"/>
        </w:rPr>
        <w:t>Nominations not made in accordance herewith may, in his/her discretion, be disregarded by the chairperson of the meeting, and the vote tellers may disregard all votes cast for each such nominee. No bylaw may unreasonably restrict the nomination of directors by shareholders.</w:t>
      </w:r>
    </w:p>
    <w:p>
      <w:pPr>
        <w:spacing w:after="0" w:line="136" w:lineRule="exact"/>
        <w:rPr>
          <w:sz w:val="20"/>
          <w:szCs w:val="20"/>
          <w:color w:val="auto"/>
        </w:rPr>
      </w:pPr>
    </w:p>
    <w:p>
      <w:pPr>
        <w:ind w:left="340" w:right="579" w:firstLine="333"/>
        <w:spacing w:after="0" w:line="264" w:lineRule="auto"/>
        <w:rPr>
          <w:sz w:val="20"/>
          <w:szCs w:val="20"/>
          <w:color w:val="auto"/>
        </w:rPr>
      </w:pPr>
      <w:r>
        <w:rPr>
          <w:rFonts w:ascii="Times New Roman" w:cs="Times New Roman" w:eastAsia="Times New Roman" w:hAnsi="Times New Roman"/>
          <w:sz w:val="14"/>
          <w:szCs w:val="14"/>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36"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A director may be removed by shareholders at a meeting called to remove the director, when notice of the meeting stating that the purpose or one of the purposes is to remove the director is provided, if there is a failure to fulfill one of the affirmative requirements for qualification, or for cause; provided, however, that a director may not be removed if the number of votes sufficient to elect the director under cumulative voting is voted against the director’s removal.</w:t>
      </w:r>
    </w:p>
    <w:p>
      <w:pPr>
        <w:sectPr>
          <w:pgSz w:w="11900" w:h="16838" w:orient="portrait"/>
          <w:cols w:equalWidth="0" w:num="1">
            <w:col w:w="9019"/>
          </w:cols>
          <w:pgMar w:left="1440" w:top="239" w:right="1440" w:bottom="1440" w:gutter="0" w:footer="0" w:header="0"/>
        </w:sectPr>
      </w:pPr>
    </w:p>
    <w:bookmarkStart w:id="78" w:name="page79"/>
    <w:bookmarkEnd w:id="78"/>
    <w:p>
      <w:pPr>
        <w:jc w:val="both"/>
        <w:ind w:left="340" w:right="399"/>
        <w:spacing w:after="0" w:line="34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204075" cy="31750"/>
                    </a:xfrm>
                    <a:prstGeom prst="rect">
                      <a:avLst/>
                    </a:prstGeom>
                    <a:noFill/>
                  </pic:spPr>
                </pic:pic>
              </a:graphicData>
            </a:graphic>
          </wp:anchor>
        </w:drawing>
        <w:t>FIFTH.         The authorized amount of capital stock of this association shall be ten thousand shares of common stock of the par value of one hundred dollars ($100) each; but said capital stock may be increased or decreased from time to time, according to the provisions of the laws of the United States.</w:t>
      </w:r>
    </w:p>
    <w:p>
      <w:pPr>
        <w:spacing w:after="0" w:line="89"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 Preemptive rights also must be approved by a vote of holders of two-thirds of the bank’s outstanding voting shares. Unless otherwise specified in these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147" w:lineRule="exact"/>
        <w:rPr>
          <w:sz w:val="20"/>
          <w:szCs w:val="20"/>
          <w:color w:val="auto"/>
        </w:rPr>
      </w:pPr>
    </w:p>
    <w:p>
      <w:pPr>
        <w:jc w:val="both"/>
        <w:ind w:left="340" w:right="479" w:firstLine="333"/>
        <w:spacing w:after="0" w:line="254" w:lineRule="auto"/>
        <w:rPr>
          <w:sz w:val="20"/>
          <w:szCs w:val="20"/>
          <w:color w:val="auto"/>
        </w:rPr>
      </w:pPr>
      <w:r>
        <w:rPr>
          <w:rFonts w:ascii="Times New Roman" w:cs="Times New Roman" w:eastAsia="Times New Roman" w:hAnsi="Times New Roman"/>
          <w:sz w:val="14"/>
          <w:szCs w:val="14"/>
          <w:color w:val="auto"/>
        </w:rPr>
        <w:t>Unless otherwise specified in these articles of association or required by law, all shares of voting stock shall be voted together as a class, on any matters requiring shareholder approval. If a proposed amendment would affect two or more classes or series in the same or a substantially similar way, all the classes or series so affected must vote together as a single voting group on the proposed amendment.</w:t>
      </w:r>
    </w:p>
    <w:p>
      <w:pPr>
        <w:spacing w:after="0" w:line="142" w:lineRule="exact"/>
        <w:rPr>
          <w:sz w:val="20"/>
          <w:szCs w:val="20"/>
          <w:color w:val="auto"/>
        </w:rPr>
      </w:pPr>
    </w:p>
    <w:p>
      <w:pPr>
        <w:ind w:left="340" w:right="439" w:firstLine="333"/>
        <w:spacing w:after="0" w:line="248" w:lineRule="auto"/>
        <w:rPr>
          <w:sz w:val="20"/>
          <w:szCs w:val="20"/>
          <w:color w:val="auto"/>
        </w:rPr>
      </w:pPr>
      <w:r>
        <w:rPr>
          <w:rFonts w:ascii="Times New Roman" w:cs="Times New Roman" w:eastAsia="Times New Roman" w:hAnsi="Times New Roman"/>
          <w:sz w:val="14"/>
          <w:szCs w:val="14"/>
          <w:color w:val="auto"/>
        </w:rPr>
        <w:t>Shares of one class or series may be issued as a dividend for shares of the same class or series on a pro rata basis and without consideration. Shares of one class or series may be issued as share dividends for a different class or series of stock if approved by a majority of the votes entitled to be cast by the class or series to be issued, unless there are no outstanding shares of the class or series to be issued. Unless otherwise provided by the board of directors, the record date for determining shareholders entitled to a share dividend shall be the date authorized by the board of directors for the share dividend.</w:t>
      </w:r>
    </w:p>
    <w:p>
      <w:pPr>
        <w:spacing w:after="0" w:line="149" w:lineRule="exact"/>
        <w:rPr>
          <w:sz w:val="20"/>
          <w:szCs w:val="20"/>
          <w:color w:val="auto"/>
        </w:rPr>
      </w:pPr>
    </w:p>
    <w:p>
      <w:pPr>
        <w:ind w:left="340" w:right="359" w:firstLine="333"/>
        <w:spacing w:after="0" w:line="254" w:lineRule="auto"/>
        <w:rPr>
          <w:sz w:val="20"/>
          <w:szCs w:val="20"/>
          <w:color w:val="auto"/>
        </w:rPr>
      </w:pPr>
      <w:r>
        <w:rPr>
          <w:rFonts w:ascii="Times New Roman" w:cs="Times New Roman" w:eastAsia="Times New Roman" w:hAnsi="Times New Roman"/>
          <w:sz w:val="14"/>
          <w:szCs w:val="14"/>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42" w:lineRule="exact"/>
        <w:rPr>
          <w:sz w:val="20"/>
          <w:szCs w:val="20"/>
          <w:color w:val="auto"/>
        </w:rPr>
      </w:pPr>
    </w:p>
    <w:p>
      <w:pPr>
        <w:ind w:left="340" w:right="459" w:firstLine="333"/>
        <w:spacing w:after="0" w:line="245" w:lineRule="auto"/>
        <w:rPr>
          <w:sz w:val="20"/>
          <w:szCs w:val="20"/>
          <w:color w:val="auto"/>
        </w:rPr>
      </w:pPr>
      <w:r>
        <w:rPr>
          <w:rFonts w:ascii="Times New Roman" w:cs="Times New Roman" w:eastAsia="Times New Roman" w:hAnsi="Times New Roman"/>
          <w:sz w:val="14"/>
          <w:szCs w:val="14"/>
          <w:color w:val="auto"/>
        </w:rPr>
        <w:t>If a shareholder is entitled to fractional shares pursuant to a stock dividend, consolidation or merger, reverse stock split or otherwise, the association may: (a) issue fractional shares; (b) in lieu of the issuance of fractional shares, issue script or warrants entitling the holder to receive a full share upon surrendering enough script or warrants to equal a full share; (c) if there is an established and active market in the association’s stock, make reasonable arrangements to provide the shareholder with an opportunity to realize a fair price through sale of the fraction, or purchase of the additional fraction required for a full share; (d) remit the cash equivalent of the fraction to the shareholder; or (e) sell full shares representing all the fractions at public auction or to the highest bidder after having solicited and received sealed bids from at least three licensed stock brokers; and distribute the proceeds pro rata to shareholders who otherwise would be entitled to the fractional shares. The holder of a fractional share is entitled to exercise the rights for shareholder, including the right to vote, to receive dividends, and to participate in the assets of the association upon liquidation, in proportion to the fractional interest. The holder of script or warrants is not entitled to any of these rights unless the script or warrants explicitly provide for such rights. The script or warrants may be subject to such additional conditions as: (1) that the script or warrants will become void if not exchanged for full shares before a specified date; and (2) that the shares for which the script or warrants are exchangeable may be sold at the option of the association and the proceeds paid to scriptholders.</w:t>
      </w:r>
    </w:p>
    <w:p>
      <w:pPr>
        <w:spacing w:after="0" w:line="152"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The association, at any time and from time to time, may authorize and issue debt obligations, whether or not subordinated, without the approval of the shareholders. Obligations classified as debt, whether or not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ectPr>
          <w:pgSz w:w="11900" w:h="16838" w:orient="portrait"/>
          <w:cols w:equalWidth="0" w:num="1">
            <w:col w:w="9019"/>
          </w:cols>
          <w:pgMar w:left="1440" w:top="239" w:right="1440" w:bottom="1440" w:gutter="0" w:footer="0" w:header="0"/>
        </w:sectPr>
      </w:pPr>
    </w:p>
    <w:bookmarkStart w:id="79" w:name="page80"/>
    <w:bookmarkEnd w:id="79"/>
    <w:p>
      <w:pPr>
        <w:ind w:left="340" w:right="41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SIXTH.        The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w:t>
      </w:r>
    </w:p>
    <w:p>
      <w:pPr>
        <w:spacing w:after="0" w:line="146" w:lineRule="exact"/>
        <w:rPr>
          <w:sz w:val="20"/>
          <w:szCs w:val="20"/>
          <w:color w:val="auto"/>
        </w:rPr>
      </w:pPr>
    </w:p>
    <w:p>
      <w:pPr>
        <w:ind w:left="340" w:right="719" w:firstLine="333"/>
        <w:spacing w:after="0" w:line="264" w:lineRule="auto"/>
        <w:rPr>
          <w:sz w:val="20"/>
          <w:szCs w:val="20"/>
          <w:color w:val="auto"/>
        </w:rPr>
      </w:pPr>
      <w:r>
        <w:rPr>
          <w:rFonts w:ascii="Times New Roman" w:cs="Times New Roman" w:eastAsia="Times New Roman" w:hAnsi="Times New Roman"/>
          <w:sz w:val="14"/>
          <w:szCs w:val="14"/>
          <w:color w:val="auto"/>
        </w:rPr>
        <w:t>A duly appointed officer may appoint one or more officers or assistant officers if authorized by the board of directors in accordance with the bylaws.</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board of directors shall have the power to:</w:t>
      </w:r>
    </w:p>
    <w:p>
      <w:pPr>
        <w:spacing w:after="0" w:line="94" w:lineRule="exact"/>
        <w:rPr>
          <w:sz w:val="20"/>
          <w:szCs w:val="20"/>
          <w:color w:val="auto"/>
        </w:rPr>
      </w:pPr>
    </w:p>
    <w:p>
      <w:pPr>
        <w:ind w:left="1080" w:hanging="416"/>
        <w:spacing w:after="0"/>
        <w:tabs>
          <w:tab w:leader="none" w:pos="10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 the duties of the officers, employees, and agents of the association.</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Delegate the performance of its duties, but not the responsibility for its duties, to the officers, employees, and agents of the association.</w:t>
      </w:r>
    </w:p>
    <w:p>
      <w:pPr>
        <w:spacing w:after="0" w:line="94" w:lineRule="exact"/>
        <w:rPr>
          <w:rFonts w:ascii="Times New Roman" w:cs="Times New Roman" w:eastAsia="Times New Roman" w:hAnsi="Times New Roman"/>
          <w:sz w:val="14"/>
          <w:szCs w:val="14"/>
          <w:color w:val="auto"/>
        </w:rPr>
      </w:pPr>
    </w:p>
    <w:p>
      <w:pPr>
        <w:ind w:left="1080" w:right="359" w:hanging="416"/>
        <w:spacing w:after="0" w:line="264" w:lineRule="auto"/>
        <w:tabs>
          <w:tab w:leader="none" w:pos="10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 the compensation and enter into employment contracts with its officers and employees upon reasonable terms and conditions consistent with applicable law.</w:t>
      </w:r>
    </w:p>
    <w:p>
      <w:pPr>
        <w:spacing w:after="0" w:line="6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Dismiss officers and employees.</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bonds from officers and employees and to fix the penalty thereof.</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Ratify written policies authorized by the association’s management or committees of the board.</w:t>
      </w:r>
    </w:p>
    <w:p>
      <w:pPr>
        <w:spacing w:after="0" w:line="94" w:lineRule="exact"/>
        <w:rPr>
          <w:rFonts w:ascii="Times New Roman" w:cs="Times New Roman" w:eastAsia="Times New Roman" w:hAnsi="Times New Roman"/>
          <w:sz w:val="14"/>
          <w:szCs w:val="14"/>
          <w:color w:val="auto"/>
        </w:rPr>
      </w:pPr>
    </w:p>
    <w:p>
      <w:pPr>
        <w:jc w:val="both"/>
        <w:ind w:left="1080" w:right="539" w:hanging="416"/>
        <w:spacing w:after="0" w:line="254" w:lineRule="auto"/>
        <w:tabs>
          <w:tab w:leader="none" w:pos="10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 the manner in which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70"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and administer the business and affairs of the association.</w:t>
      </w:r>
    </w:p>
    <w:p>
      <w:pPr>
        <w:spacing w:after="0" w:line="94" w:lineRule="exact"/>
        <w:rPr>
          <w:rFonts w:ascii="Times New Roman" w:cs="Times New Roman" w:eastAsia="Times New Roman" w:hAnsi="Times New Roman"/>
          <w:sz w:val="14"/>
          <w:szCs w:val="14"/>
          <w:color w:val="auto"/>
        </w:rPr>
      </w:pPr>
    </w:p>
    <w:p>
      <w:pPr>
        <w:ind w:left="1080" w:right="599" w:hanging="416"/>
        <w:spacing w:after="0" w:line="264" w:lineRule="auto"/>
        <w:tabs>
          <w:tab w:leader="none" w:pos="10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initial bylaws, not inconsistent with law or the articles of association, for managing the business and regulating the affairs of the association.</w:t>
      </w:r>
    </w:p>
    <w:p>
      <w:pPr>
        <w:spacing w:after="0" w:line="6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repeal bylaws, except to the extent that the articles of association reserve this power in whole or in part to shareholders.</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contracts.</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perform all acts that are legal for a board of directors to perform.</w:t>
      </w:r>
    </w:p>
    <w:p>
      <w:pPr>
        <w:spacing w:after="0" w:line="166" w:lineRule="exact"/>
        <w:rPr>
          <w:sz w:val="20"/>
          <w:szCs w:val="20"/>
          <w:color w:val="auto"/>
        </w:rPr>
      </w:pPr>
    </w:p>
    <w:p>
      <w:pPr>
        <w:ind w:left="340" w:right="399"/>
        <w:spacing w:after="0" w:line="247" w:lineRule="auto"/>
        <w:rPr>
          <w:sz w:val="20"/>
          <w:szCs w:val="20"/>
          <w:color w:val="auto"/>
        </w:rPr>
      </w:pPr>
      <w:r>
        <w:rPr>
          <w:rFonts w:ascii="Times New Roman" w:cs="Times New Roman" w:eastAsia="Times New Roman" w:hAnsi="Times New Roman"/>
          <w:sz w:val="14"/>
          <w:szCs w:val="14"/>
          <w:color w:val="auto"/>
        </w:rPr>
        <w:t>SEVENTH.  The board of directors shall have the power to change the location of the main office to any other place within the limits of Wilmington, Delaware, without the approval of the shareholders, or with a vote of shareholders owning two-thirds of the stock of such association for a relocation outside such limits and upon receipt of a certificate of approval from the Comptroller of the Currency, to any other location within or outside the limits of Wilmington Delaware, but not more than 30 miles beyond such limits. The board of directors shall have the power to establish or change the location of any branch or branches of the association to any other location permitted under applicable law, without approval of shareholders, subject to approval by the Comptroller of the Currency.</w:t>
      </w:r>
    </w:p>
    <w:p>
      <w:pPr>
        <w:sectPr>
          <w:pgSz w:w="11900" w:h="16838" w:orient="portrait"/>
          <w:cols w:equalWidth="0" w:num="1">
            <w:col w:w="9019"/>
          </w:cols>
          <w:pgMar w:left="1440" w:top="239" w:right="1440" w:bottom="1440" w:gutter="0" w:footer="0" w:header="0"/>
        </w:sectPr>
      </w:pPr>
    </w:p>
    <w:bookmarkStart w:id="80" w:name="page81"/>
    <w:bookmarkEnd w:id="80"/>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EIGHTH.        The corporate existence of this association shall continue until termination according to the laws of the United States.</w:t>
      </w:r>
    </w:p>
    <w:p>
      <w:pPr>
        <w:spacing w:after="0" w:line="166" w:lineRule="exact"/>
        <w:rPr>
          <w:sz w:val="20"/>
          <w:szCs w:val="20"/>
          <w:color w:val="auto"/>
        </w:rPr>
      </w:pPr>
    </w:p>
    <w:p>
      <w:pPr>
        <w:ind w:left="340" w:right="399"/>
        <w:spacing w:after="0" w:line="247" w:lineRule="auto"/>
        <w:rPr>
          <w:sz w:val="20"/>
          <w:szCs w:val="20"/>
          <w:color w:val="auto"/>
        </w:rPr>
      </w:pPr>
      <w:r>
        <w:rPr>
          <w:rFonts w:ascii="Times New Roman" w:cs="Times New Roman" w:eastAsia="Times New Roman" w:hAnsi="Times New Roman"/>
          <w:sz w:val="14"/>
          <w:szCs w:val="14"/>
          <w:color w:val="auto"/>
        </w:rPr>
        <w:t>NINTH.         The board of directors of this association, or any one or more shareholders owning, in the aggregate, not less than 50 percent of the stock of this association, may call a special meeting of shareholders at any time. Unless otherwise provided by the bylaws or the laws of the United States, a notice of the time, place, and purpose of every annual and special meeting of the shareholders shall be given at least 10 days prior to the meeting by first-class mail, unless the OCC determines that an emergency circumstance exists. If the association is a wholly-owned subsidiary, the sole shareholder may waive notice of the shareholders’ meeting. Unless otherwise provided by the bylaws or these articles, any action requiring approval of shareholders must be effected at a duly called annual or special meeting.</w:t>
      </w:r>
    </w:p>
    <w:p>
      <w:pPr>
        <w:spacing w:after="0" w:line="150" w:lineRule="exact"/>
        <w:rPr>
          <w:sz w:val="20"/>
          <w:szCs w:val="20"/>
          <w:color w:val="auto"/>
        </w:rPr>
      </w:pPr>
    </w:p>
    <w:p>
      <w:pPr>
        <w:ind w:left="340" w:right="519"/>
        <w:spacing w:after="0" w:line="264" w:lineRule="auto"/>
        <w:rPr>
          <w:sz w:val="20"/>
          <w:szCs w:val="20"/>
          <w:color w:val="auto"/>
        </w:rPr>
      </w:pPr>
      <w:r>
        <w:rPr>
          <w:rFonts w:ascii="Times New Roman" w:cs="Times New Roman" w:eastAsia="Times New Roman" w:hAnsi="Times New Roman"/>
          <w:sz w:val="14"/>
          <w:szCs w:val="14"/>
          <w:color w:val="auto"/>
        </w:rPr>
        <w:t>TENTH.         For purposes of this Article Tenth, the term “institution-affiliated party” shall mean any institution-affiliated party of the association as such term is defined in 12 U.S.C. 1813(u).</w:t>
      </w:r>
    </w:p>
    <w:p>
      <w:pPr>
        <w:spacing w:after="0" w:line="136" w:lineRule="exact"/>
        <w:rPr>
          <w:sz w:val="20"/>
          <w:szCs w:val="20"/>
          <w:color w:val="auto"/>
        </w:rPr>
      </w:pPr>
    </w:p>
    <w:p>
      <w:pPr>
        <w:ind w:left="340" w:right="399" w:firstLine="333"/>
        <w:spacing w:after="0" w:line="245" w:lineRule="auto"/>
        <w:rPr>
          <w:sz w:val="20"/>
          <w:szCs w:val="20"/>
          <w:color w:val="auto"/>
        </w:rPr>
      </w:pPr>
      <w:r>
        <w:rPr>
          <w:rFonts w:ascii="Times New Roman" w:cs="Times New Roman" w:eastAsia="Times New Roman" w:hAnsi="Times New Roman"/>
          <w:sz w:val="14"/>
          <w:szCs w:val="14"/>
          <w:color w:val="auto"/>
        </w:rPr>
        <w:t>Any institution-affiliated party (or his or her heirs, executors or administrators) may be indemnified or reimbursed by the association for reasonable expenses actually incurred in connection with any threatened, pending or completed actions or proceedings and appeals therein, whether civil, criminal, governmental, administrative or investigative, in accordance with and to the fullest extent permitted by law, as such law now or hereafter exists; provided, however, that when an administrative proceeding or action instituted by a federal banking agency results in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then the association shall require the repayment of all legal fees and expenses advanced pursuant to the next succeeding paragraph and may not indemnify such institution-affiliated parties (or their heirs, executors or administrators) for expenses, including expenses for legal fees, penalties or other payments incurred. The association shall provide indemnification in connection with an action or proceeding (or part thereof) initiated by an institution-affiliated party (or by his or her heirs, executors or administrators) only if such action or proceeding (or part thereof) was authorized by the board of directors.</w:t>
      </w:r>
    </w:p>
    <w:p>
      <w:pPr>
        <w:spacing w:after="0" w:line="153" w:lineRule="exact"/>
        <w:rPr>
          <w:sz w:val="20"/>
          <w:szCs w:val="20"/>
          <w:color w:val="auto"/>
        </w:rPr>
      </w:pPr>
    </w:p>
    <w:p>
      <w:pPr>
        <w:ind w:left="340" w:right="379" w:firstLine="333"/>
        <w:spacing w:after="0" w:line="288" w:lineRule="auto"/>
        <w:rPr>
          <w:sz w:val="20"/>
          <w:szCs w:val="20"/>
          <w:color w:val="auto"/>
        </w:rPr>
      </w:pPr>
      <w:r>
        <w:rPr>
          <w:rFonts w:ascii="Times New Roman" w:cs="Times New Roman" w:eastAsia="Times New Roman" w:hAnsi="Times New Roman"/>
          <w:sz w:val="12"/>
          <w:szCs w:val="12"/>
          <w:color w:val="auto"/>
        </w:rPr>
        <w:t>Expenses incurred by an institution-affiliated party (or by his or her heirs, executors or administrators) in connection with any action or proceeding under 12 U.S.C. 164 or 1818 may be paid by the association in advance of the final disposition of such action or proceeding upon (a) a determination by the board of directors acting by a quorum consisting of directors who are not parties to such action or proceeding that the institution-affiliated party (or his or her heirs, executors or administrators) has a reasonable basis for prevailing on the merits, (b) a determination that the indemnified individual (or his or her heirs, executors or administrators) will have the financial capacity to reimburse the bank in the event he or she does not prevail, (c) a determination that the payment of expenses and fees by the association will not adversely affect the safety and soundness of the association, and (d) receipt of an undertaking by or on behalf of such institution-affiliated party (or by his or her heirs, executors or administrators) to repay such advancement in the event of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In all other instances, expenses incurred by an institution-affiliated party (or by his or her heirs, executors or administrators) in connection with any action or proceeding as to which indemnification may be given under these articles of association may be paid by the association in advance of the final disposition of such action or proceeding upon (a) receipt of an undertaking by or on behalf of such institution-affiliated party (or by or on behalf of his or her heirs, executors or administrators) to repay such advancement in the event that such institution-affiliated party (or his or her heirs, executors or administrators) is ultimately found not to be entitled to indemnification as authorized by these articles of association and (b) approval by the board of directors acting by a quorum consisting of directors who are not parties to such action or proceeding or, if such a quorum is not obtainable, then approval by stockholders. To the extent permitted by law, the board of directors or, if applicable, the stockholders, shall not be required to find that the institution-affiliated party has met the applicable standard of conduct provided by law for indemnification in connection with such action or proceeding.</w:t>
      </w:r>
    </w:p>
    <w:p>
      <w:pPr>
        <w:sectPr>
          <w:pgSz w:w="11900" w:h="16838" w:orient="portrait"/>
          <w:cols w:equalWidth="0" w:num="1">
            <w:col w:w="9019"/>
          </w:cols>
          <w:pgMar w:left="1440" w:top="239" w:right="1440" w:bottom="1440" w:gutter="0" w:footer="0" w:header="0"/>
        </w:sectPr>
      </w:pPr>
    </w:p>
    <w:bookmarkStart w:id="81" w:name="page82"/>
    <w:bookmarkEnd w:id="81"/>
    <w:p>
      <w:pPr>
        <w:ind w:left="340" w:right="399" w:firstLine="333"/>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204075" cy="31750"/>
                    </a:xfrm>
                    <a:prstGeom prst="rect">
                      <a:avLst/>
                    </a:prstGeom>
                    <a:noFill/>
                  </pic:spPr>
                </pic:pic>
              </a:graphicData>
            </a:graphic>
          </wp:anchor>
        </w:drawing>
        <w:t>In the event that a majority of the members of the board of directors are named as respondents in an administrative proceeding or civil action and request indemnification, the remaining members of the board may authorize independent legal counsel to review the indemnification request and provide the remaining members of the board with a written opinion of counsel as to whether the conditions delineated in the first four paragraphs of this Article Tenth have been met. If independent legal counsel opines that said conditions have been met, the remaining members of the board of directors may rely on such opinion in authorizing the requested indemnification.</w:t>
      </w:r>
    </w:p>
    <w:p>
      <w:pPr>
        <w:spacing w:after="0" w:line="149" w:lineRule="exact"/>
        <w:rPr>
          <w:sz w:val="20"/>
          <w:szCs w:val="20"/>
          <w:color w:val="auto"/>
        </w:rPr>
      </w:pPr>
    </w:p>
    <w:p>
      <w:pPr>
        <w:ind w:left="340" w:right="439" w:firstLine="333"/>
        <w:spacing w:after="0" w:line="250" w:lineRule="auto"/>
        <w:rPr>
          <w:sz w:val="20"/>
          <w:szCs w:val="20"/>
          <w:color w:val="auto"/>
        </w:rPr>
      </w:pPr>
      <w:r>
        <w:rPr>
          <w:rFonts w:ascii="Times New Roman" w:cs="Times New Roman" w:eastAsia="Times New Roman" w:hAnsi="Times New Roman"/>
          <w:sz w:val="14"/>
          <w:szCs w:val="14"/>
          <w:color w:val="auto"/>
        </w:rPr>
        <w:t>In the event that all of the members of the board of directors are named as respondents in an administrative proceeding or civil action and request indemnification, the board shall authorize independent legal counsel to review the indemnification request and provide the board with a written opinion of counsel as to whether the conditions delineated in the first four paragraphs of this Article Tenth have been met. If legal counsel opines that said conditions have been met, the board of directors may rely on such opinion in authorizing the requested indemnification.</w:t>
      </w:r>
    </w:p>
    <w:p>
      <w:pPr>
        <w:spacing w:after="0" w:line="146"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To the extent permitted under applicable law, the rights of indemnification and to the advancement of expenses provided in these articles of association (a) shall be available with respect to events occurring prior to the adoption of these articles of association, (b) shall continue to exist after any restrictive amendment of these articles of association with respect to events occurring prior to such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association and the institution-affiliated party (or his or her heirs, executors or administrators) for whom such rights are sought were parties to a separate written agreement.</w:t>
      </w:r>
    </w:p>
    <w:p>
      <w:pPr>
        <w:spacing w:after="0" w:line="147" w:lineRule="exact"/>
        <w:rPr>
          <w:sz w:val="20"/>
          <w:szCs w:val="20"/>
          <w:color w:val="auto"/>
        </w:rPr>
      </w:pPr>
    </w:p>
    <w:p>
      <w:pPr>
        <w:ind w:left="340" w:right="359" w:firstLine="333"/>
        <w:spacing w:after="0" w:line="246" w:lineRule="auto"/>
        <w:rPr>
          <w:sz w:val="20"/>
          <w:szCs w:val="20"/>
          <w:color w:val="auto"/>
        </w:rPr>
      </w:pPr>
      <w:r>
        <w:rPr>
          <w:rFonts w:ascii="Times New Roman" w:cs="Times New Roman" w:eastAsia="Times New Roman" w:hAnsi="Times New Roman"/>
          <w:sz w:val="14"/>
          <w:szCs w:val="14"/>
          <w:color w:val="auto"/>
        </w:rPr>
        <w:t>The rights of indemnification and to the advancement of expenses provided in these articles of association shall not, to the extent permitted under applicable law, be deemed exclusive of any other rights to which any such institution affiliated party (or his or her heirs, executors or administrators) may now or hereafter be otherwise entitled whether contained in these articles of association, the bylaws, a resolution of stockholders, a resolution of the board of directors, or an agreement providing such indemnification, the creation of such other rights being hereby expressly authorized. Without limiting the generality of the foregoing, the rights of indemnification and to the advancement of expenses provided in these articles of association shall not be deemed exclusive of any rights, pursuant to statute or otherwise, of any such institution-affiliated party (or of his or her heirs, executors or administrators) in any such action or proceeding to have assessed or allowed in his or her favor, against the association or otherwise, his or her costs and expenses incurred therein or in connection therewith or any part thereof.</w:t>
      </w:r>
    </w:p>
    <w:p>
      <w:pPr>
        <w:spacing w:after="0" w:line="150" w:lineRule="exact"/>
        <w:rPr>
          <w:sz w:val="20"/>
          <w:szCs w:val="20"/>
          <w:color w:val="auto"/>
        </w:rPr>
      </w:pPr>
    </w:p>
    <w:p>
      <w:pPr>
        <w:ind w:left="340" w:right="399" w:firstLine="333"/>
        <w:spacing w:after="0" w:line="264" w:lineRule="auto"/>
        <w:rPr>
          <w:sz w:val="20"/>
          <w:szCs w:val="20"/>
          <w:color w:val="auto"/>
        </w:rPr>
      </w:pPr>
      <w:r>
        <w:rPr>
          <w:rFonts w:ascii="Times New Roman" w:cs="Times New Roman" w:eastAsia="Times New Roman" w:hAnsi="Times New Roman"/>
          <w:sz w:val="14"/>
          <w:szCs w:val="14"/>
          <w:color w:val="auto"/>
        </w:rPr>
        <w:t>If this Article Tenth or any part hereof shall be held unenforceable in any respect by a court of competent jurisdiction, it shall be deemed modified to the minimum extent necessary to make it enforceable, and the remainder of this Article Tenth shall remain fully enforceable.</w:t>
      </w:r>
    </w:p>
    <w:p>
      <w:pPr>
        <w:sectPr>
          <w:pgSz w:w="11900" w:h="16838" w:orient="portrait"/>
          <w:cols w:equalWidth="0" w:num="1">
            <w:col w:w="9019"/>
          </w:cols>
          <w:pgMar w:left="1440" w:top="239" w:right="1440" w:bottom="1440" w:gutter="0" w:footer="0" w:header="0"/>
        </w:sectPr>
      </w:pPr>
    </w:p>
    <w:bookmarkStart w:id="82" w:name="page83"/>
    <w:bookmarkEnd w:id="82"/>
    <w:p>
      <w:pPr>
        <w:ind w:left="340" w:right="419" w:firstLine="333"/>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association may, upon affirmative vote of a majority of its board of directors, purchase insurance to indemnify its institution-affiliated parties to the extent that such indemnification is allowed in these articles of association; provided, however, that no such insurance shall include coverage to pay or reimburse any institution-affiliated party for the cost of any judgment or civil money penalty assessed against such person in an administrative proceeding or civil action commenced by any federal banking agency. Such insurance may, but need not, be for the benefit of all institution-affiliated parties.</w:t>
      </w:r>
    </w:p>
    <w:p>
      <w:pPr>
        <w:spacing w:after="0" w:line="149" w:lineRule="exact"/>
        <w:rPr>
          <w:sz w:val="20"/>
          <w:szCs w:val="20"/>
          <w:color w:val="auto"/>
        </w:rPr>
      </w:pPr>
    </w:p>
    <w:p>
      <w:pPr>
        <w:ind w:left="340" w:right="359"/>
        <w:spacing w:after="0" w:line="250" w:lineRule="auto"/>
        <w:rPr>
          <w:sz w:val="20"/>
          <w:szCs w:val="20"/>
          <w:color w:val="auto"/>
        </w:rPr>
      </w:pPr>
      <w:r>
        <w:rPr>
          <w:rFonts w:ascii="Times New Roman" w:cs="Times New Roman" w:eastAsia="Times New Roman" w:hAnsi="Times New Roman"/>
          <w:sz w:val="14"/>
          <w:szCs w:val="14"/>
          <w:color w:val="auto"/>
        </w:rPr>
        <w:t>ELEVENTH.   These articles of association may be amended at any regular or special meeting of the shareholders by the affirmative vote of the holders of a majority of the stock of this association, unless the vote of the holders of a greater amount of stock is required by law, and in that case by the vote of the holders of such greater amount. The association’s board of directors may propose one or more amendments to the articles of association for submission to the shareholders.</w:t>
      </w:r>
    </w:p>
    <w:p>
      <w:pPr>
        <w:sectPr>
          <w:pgSz w:w="11900" w:h="16838" w:orient="portrait"/>
          <w:cols w:equalWidth="0" w:num="1">
            <w:col w:w="9019"/>
          </w:cols>
          <w:pgMar w:left="1440" w:top="239"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204075" cy="31750"/>
                    </a:xfrm>
                    <a:prstGeom prst="rect">
                      <a:avLst/>
                    </a:prstGeom>
                    <a:noFill/>
                  </pic:spPr>
                </pic:pic>
              </a:graphicData>
            </a:graphic>
          </wp:anchor>
        </w:drawing>
        <w:t>EXHIBIT 4</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BY-LAWS OF WILMINGTON TRUST, NATIONAL ASSOCIATION</w:t>
      </w:r>
    </w:p>
    <w:p>
      <w:pPr>
        <w:sectPr>
          <w:pgSz w:w="11900" w:h="16838" w:orient="portrait"/>
          <w:cols w:equalWidth="0" w:num="1">
            <w:col w:w="9019"/>
          </w:cols>
          <w:pgMar w:left="1440" w:top="235"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WILMINGTON TRUST, NATIONAL ASSOCIATION</w:t>
      </w:r>
    </w:p>
    <w:p>
      <w:pPr>
        <w:sectPr>
          <w:pgSz w:w="11900" w:h="16838" w:orient="portrait"/>
          <w:cols w:equalWidth="0" w:num="1">
            <w:col w:w="9019"/>
          </w:cols>
          <w:pgMar w:left="1440" w:top="235" w:right="1440" w:bottom="1440"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AMENDED AND RESTATED BYLAWS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(Effective as of March 7, 2024)</w:t>
      </w:r>
    </w:p>
    <w:p>
      <w:pPr>
        <w:sectPr>
          <w:pgSz w:w="11900" w:h="16838" w:orient="portrait"/>
          <w:cols w:equalWidth="0" w:num="1">
            <w:col w:w="9019"/>
          </w:cols>
          <w:pgMar w:left="1440" w:top="235" w:right="1440"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AMENDED AND RESTATED BYLAWS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WILMINGTON TRUST, NATIONAL ASSOCIATION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Meetings of Shareholders</w:t>
      </w:r>
    </w:p>
    <w:p>
      <w:pPr>
        <w:spacing w:after="0" w:line="150" w:lineRule="exact"/>
        <w:rPr>
          <w:sz w:val="20"/>
          <w:szCs w:val="20"/>
          <w:color w:val="auto"/>
        </w:rPr>
      </w:pPr>
    </w:p>
    <w:p>
      <w:pPr>
        <w:ind w:left="340" w:right="419"/>
        <w:spacing w:after="0" w:line="247" w:lineRule="auto"/>
        <w:rPr>
          <w:sz w:val="20"/>
          <w:szCs w:val="20"/>
          <w:color w:val="auto"/>
        </w:rPr>
      </w:pPr>
      <w:r>
        <w:rPr>
          <w:rFonts w:ascii="Times New Roman" w:cs="Times New Roman" w:eastAsia="Times New Roman" w:hAnsi="Times New Roman"/>
          <w:sz w:val="14"/>
          <w:szCs w:val="14"/>
          <w:b w:val="1"/>
          <w:bCs w:val="1"/>
          <w:color w:val="auto"/>
        </w:rPr>
        <w:t>Section 1. Annual Meeting</w:t>
      </w:r>
      <w:r>
        <w:rPr>
          <w:rFonts w:ascii="Times New Roman" w:cs="Times New Roman" w:eastAsia="Times New Roman" w:hAnsi="Times New Roman"/>
          <w:sz w:val="14"/>
          <w:szCs w:val="14"/>
          <w:color w:val="auto"/>
        </w:rPr>
        <w:t>. The annual meeting of shareholders shall be held on such date and at such time as may be designated by the chair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Board of Directors, the chief executive officer, the president, the chief operating officer, the secretary, or the Board of Directors for the purpose of the election of directors and for the transaction of such other business as may properly come before the meeting, except such date shall not be a legal holiday in Delaware. Notice of the meeting shall be mailed by first class mail, postage prepaid, at least 10 days and no more than 60 days prior to the date thereof, addressed to each shareholder at his or her address appearing on the books of the association. If, for any cause, an election of directors is not made on that date, an election may be held on any subsequent day within 60 days of the date fixed, to be designated by the Board of Directors, or, if the directors fail to fix the date, by shareholders representing two-thirds of the shares. In these circumstances, at least 10 days’ notice must be given by first class mail to shareholders.</w:t>
      </w:r>
    </w:p>
    <w:p>
      <w:pPr>
        <w:spacing w:after="0" w:line="145" w:lineRule="exact"/>
        <w:rPr>
          <w:sz w:val="20"/>
          <w:szCs w:val="20"/>
          <w:color w:val="auto"/>
        </w:rPr>
      </w:pPr>
    </w:p>
    <w:p>
      <w:pPr>
        <w:ind w:left="340" w:right="399"/>
        <w:spacing w:after="0" w:line="249" w:lineRule="auto"/>
        <w:rPr>
          <w:sz w:val="20"/>
          <w:szCs w:val="20"/>
          <w:color w:val="auto"/>
        </w:rPr>
      </w:pPr>
      <w:r>
        <w:rPr>
          <w:rFonts w:ascii="Times New Roman" w:cs="Times New Roman" w:eastAsia="Times New Roman" w:hAnsi="Times New Roman"/>
          <w:sz w:val="14"/>
          <w:szCs w:val="14"/>
          <w:b w:val="1"/>
          <w:bCs w:val="1"/>
          <w:color w:val="auto"/>
        </w:rPr>
        <w:t>Section 2. Special Meetings</w:t>
      </w:r>
      <w:r>
        <w:rPr>
          <w:rFonts w:ascii="Times New Roman" w:cs="Times New Roman" w:eastAsia="Times New Roman" w:hAnsi="Times New Roman"/>
          <w:sz w:val="14"/>
          <w:szCs w:val="14"/>
          <w:color w:val="auto"/>
        </w:rPr>
        <w:t>. The chair of the Board of Directors, the president, the chief executive officer, the secretary, or the Board of Directors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call a special meeting of the shareholders. A special meeting shall be called to act on any matter that may properly be considered at a meeting of shareholders upon the written request of shareholders entitled to cast not less than a majority of all the votes entitled to be cast on such matter at the meeting. Every such special meeting, unless otherwise provided by law, shall be called by mailing, postage prepaid, not less than 10 days nor more than 60 days prior to the date fixed for the meeting, to each shareholder at the address appearing on the books of the association a notice stating the purpose of the meeting.</w:t>
      </w:r>
    </w:p>
    <w:p>
      <w:pPr>
        <w:spacing w:after="0" w:line="146" w:lineRule="exact"/>
        <w:rPr>
          <w:sz w:val="20"/>
          <w:szCs w:val="20"/>
          <w:color w:val="auto"/>
        </w:rPr>
      </w:pPr>
    </w:p>
    <w:p>
      <w:pPr>
        <w:jc w:val="both"/>
        <w:ind w:left="340" w:right="459"/>
        <w:spacing w:after="0" w:line="254" w:lineRule="auto"/>
        <w:rPr>
          <w:sz w:val="20"/>
          <w:szCs w:val="20"/>
          <w:color w:val="auto"/>
        </w:rPr>
      </w:pPr>
      <w:r>
        <w:rPr>
          <w:rFonts w:ascii="Times New Roman" w:cs="Times New Roman" w:eastAsia="Times New Roman" w:hAnsi="Times New Roman"/>
          <w:sz w:val="14"/>
          <w:szCs w:val="14"/>
          <w:color w:val="auto"/>
        </w:rPr>
        <w:t>The Board of Directors may fix a record date for determining shareholders entitled to notice and to vote at any meeting, in reasonable proximity to the date of giving notice to the shareholders of such meeting. The record date for determining shareholders entitled to demand a special meeting is the date the first shareholder signs a demand for the meeting describing the purpose or purposes for which it is to be held.</w:t>
      </w:r>
    </w:p>
    <w:p>
      <w:pPr>
        <w:spacing w:after="0" w:line="138" w:lineRule="exact"/>
        <w:rPr>
          <w:sz w:val="20"/>
          <w:szCs w:val="20"/>
          <w:color w:val="auto"/>
        </w:rPr>
      </w:pPr>
    </w:p>
    <w:p>
      <w:pPr>
        <w:ind w:left="340" w:right="419"/>
        <w:spacing w:after="0" w:line="249" w:lineRule="auto"/>
        <w:rPr>
          <w:sz w:val="20"/>
          <w:szCs w:val="20"/>
          <w:color w:val="auto"/>
        </w:rPr>
      </w:pPr>
      <w:r>
        <w:rPr>
          <w:rFonts w:ascii="Times New Roman" w:cs="Times New Roman" w:eastAsia="Times New Roman" w:hAnsi="Times New Roman"/>
          <w:sz w:val="14"/>
          <w:szCs w:val="14"/>
          <w:b w:val="1"/>
          <w:bCs w:val="1"/>
          <w:color w:val="auto"/>
        </w:rPr>
        <w:t>Section 3. Adjournment</w:t>
      </w:r>
      <w:r>
        <w:rPr>
          <w:rFonts w:ascii="Times New Roman" w:cs="Times New Roman" w:eastAsia="Times New Roman" w:hAnsi="Times New Roman"/>
          <w:sz w:val="14"/>
          <w:szCs w:val="14"/>
          <w:color w:val="auto"/>
        </w:rPr>
        <w:t>. If an annual or special shareholders’ meeting is adjourned to a different date, time, or place, notice need not be given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new date, time or place, if the new date, time or place is announced at the meeting before adjournment, unless any additional items of business are to be considered, or the association becomes aware of an intervening event materially affecting any matter to be voted on more than 10 days prior to the date to which the meeting is adjourned. If a new record date for the adjourned meeting is fixed, however, notice of the adjourned meeting must be given to persons who are shareholders as of the new record date. If, however, the meeting to elect the directors is adjourned before the election takes place, at least ten days’ notice of the new election must be given to the shareholders by first-class mail.</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ectPr>
          <w:pgSz w:w="11900" w:h="16838" w:orient="portrait"/>
          <w:cols w:equalWidth="0" w:num="1">
            <w:col w:w="9019"/>
          </w:cols>
          <w:pgMar w:left="1440" w:top="235" w:right="1440" w:bottom="1440" w:gutter="0" w:footer="0" w:header="0"/>
        </w:sectPr>
      </w:pPr>
    </w:p>
    <w:bookmarkStart w:id="86" w:name="page87"/>
    <w:bookmarkEnd w:id="86"/>
    <w:p>
      <w:pPr>
        <w:ind w:left="340" w:right="399"/>
        <w:spacing w:after="0" w:line="248"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4. Nominations of Directors</w:t>
      </w:r>
      <w:r>
        <w:rPr>
          <w:rFonts w:ascii="Times New Roman" w:cs="Times New Roman" w:eastAsia="Times New Roman" w:hAnsi="Times New Roman"/>
          <w:sz w:val="14"/>
          <w:szCs w:val="14"/>
          <w:color w:val="auto"/>
        </w:rPr>
        <w:t>. Nominations for election to the Board of Directors may be made by the Board of Directors or by any shareholder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of any outstanding class of capital stock of the association entitled to vote for the election of directors. Nominations, other than those made by or on behalf of the existing management of the association, shall be made in writing and shall be delivered or mailed to the president of the association, not less than 14 days nor more than 50 days prior to any meeting of shareholders called for the election of directors;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if less than 21 days’ notice of the meeting is given to shareholders, such nomination shall be mailed or delivered to the president of the association not later than the close of business on the seventh day following the day on which the notice of meeting was mailed. Such notification shall contain the following information to the extent known to the notifying shareholder:</w:t>
      </w:r>
    </w:p>
    <w:p>
      <w:pPr>
        <w:spacing w:after="0" w:line="75" w:lineRule="exact"/>
        <w:rPr>
          <w:sz w:val="20"/>
          <w:szCs w:val="20"/>
          <w:color w:val="auto"/>
        </w:rPr>
      </w:pPr>
    </w:p>
    <w:p>
      <w:pPr>
        <w:ind w:left="1080" w:hanging="416"/>
        <w:spacing w:after="0"/>
        <w:tabs>
          <w:tab w:leader="none" w:pos="10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each proposed nominee;</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occupation of each proposed nominee;</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of capital stock of the association that will be voted for each proposed nominee;</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residence of the notifying shareholder; and</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capital stock of the association owned by the notifying shareholder</w:t>
      </w:r>
    </w:p>
    <w:p>
      <w:pPr>
        <w:spacing w:after="0" w:line="166" w:lineRule="exact"/>
        <w:rPr>
          <w:sz w:val="20"/>
          <w:szCs w:val="20"/>
          <w:color w:val="auto"/>
        </w:rPr>
      </w:pPr>
    </w:p>
    <w:p>
      <w:pPr>
        <w:ind w:left="340" w:right="519"/>
        <w:spacing w:after="0" w:line="264" w:lineRule="auto"/>
        <w:rPr>
          <w:sz w:val="20"/>
          <w:szCs w:val="20"/>
          <w:color w:val="auto"/>
        </w:rPr>
      </w:pPr>
      <w:r>
        <w:rPr>
          <w:rFonts w:ascii="Times New Roman" w:cs="Times New Roman" w:eastAsia="Times New Roman" w:hAnsi="Times New Roman"/>
          <w:sz w:val="14"/>
          <w:szCs w:val="14"/>
          <w:color w:val="auto"/>
        </w:rPr>
        <w:t>Nominations not made in accordance herewith may, in his/her discretion, be disregarded by the chair of the meeting, and upon his/her instructions, all votes cast for each such nominee may be disregarded.</w:t>
      </w:r>
    </w:p>
    <w:p>
      <w:pPr>
        <w:spacing w:after="0" w:line="132" w:lineRule="exact"/>
        <w:rPr>
          <w:sz w:val="20"/>
          <w:szCs w:val="20"/>
          <w:color w:val="auto"/>
        </w:rPr>
      </w:pPr>
    </w:p>
    <w:p>
      <w:pPr>
        <w:ind w:left="340" w:right="379"/>
        <w:spacing w:after="0" w:line="302" w:lineRule="auto"/>
        <w:rPr>
          <w:sz w:val="20"/>
          <w:szCs w:val="20"/>
          <w:color w:val="auto"/>
        </w:rPr>
      </w:pPr>
      <w:r>
        <w:rPr>
          <w:rFonts w:ascii="Times New Roman" w:cs="Times New Roman" w:eastAsia="Times New Roman" w:hAnsi="Times New Roman"/>
          <w:sz w:val="12"/>
          <w:szCs w:val="12"/>
          <w:b w:val="1"/>
          <w:bCs w:val="1"/>
          <w:color w:val="auto"/>
        </w:rPr>
        <w:t>Section 5. Proxies</w:t>
      </w:r>
      <w:r>
        <w:rPr>
          <w:rFonts w:ascii="Times New Roman" w:cs="Times New Roman" w:eastAsia="Times New Roman" w:hAnsi="Times New Roman"/>
          <w:sz w:val="12"/>
          <w:szCs w:val="12"/>
          <w:color w:val="auto"/>
        </w:rPr>
        <w:t>. Shareholders may vote at any meeting of the shareholders by proxies duly authorized in writing, but no officer or employee of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association shall act as proxy. A director or an attorney of the association may act as proxy for shareholders voting if they are not also employed as an officer of the association. Proxies shall be valid only for one meeting, to be specified therein, and any adjournments of such meeting. Proxies shall be dated and filed with the records of the meeting. Proxies with facsimile signatures may be used and unexecuted proxies may be counted upon receipt of a written confirmation from the shareholder. Proxies meeting the above requirements submitted at any time during a meeting shall be accepted.</w:t>
      </w:r>
    </w:p>
    <w:p>
      <w:pPr>
        <w:spacing w:after="0" w:line="112" w:lineRule="exact"/>
        <w:rPr>
          <w:sz w:val="20"/>
          <w:szCs w:val="20"/>
          <w:color w:val="auto"/>
        </w:rPr>
      </w:pPr>
    </w:p>
    <w:p>
      <w:pPr>
        <w:ind w:left="340" w:right="379"/>
        <w:spacing w:after="0" w:line="250" w:lineRule="auto"/>
        <w:rPr>
          <w:sz w:val="20"/>
          <w:szCs w:val="20"/>
          <w:color w:val="auto"/>
        </w:rPr>
      </w:pPr>
      <w:r>
        <w:rPr>
          <w:rFonts w:ascii="Times New Roman" w:cs="Times New Roman" w:eastAsia="Times New Roman" w:hAnsi="Times New Roman"/>
          <w:sz w:val="14"/>
          <w:szCs w:val="14"/>
          <w:b w:val="1"/>
          <w:bCs w:val="1"/>
          <w:color w:val="auto"/>
        </w:rPr>
        <w:t>Section 6. Quorum</w:t>
      </w:r>
      <w:r>
        <w:rPr>
          <w:rFonts w:ascii="Times New Roman" w:cs="Times New Roman" w:eastAsia="Times New Roman" w:hAnsi="Times New Roman"/>
          <w:sz w:val="14"/>
          <w:szCs w:val="14"/>
          <w:color w:val="auto"/>
        </w:rPr>
        <w:t>. A majority of the outstanding capital stock, represented in person or by proxy, shall constitute a quorum at any meeting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 If a meeting for the election of directors is not held on the fixed date, at least 10 days’ notice must be given by first-class mail to the shareholders.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ectPr>
          <w:pgSz w:w="11900" w:h="16838" w:orient="portrait"/>
          <w:cols w:equalWidth="0" w:num="1">
            <w:col w:w="9019"/>
          </w:cols>
          <w:pgMar w:left="1440" w:top="235"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204075" cy="31750"/>
                    </a:xfrm>
                    <a:prstGeom prst="rect">
                      <a:avLst/>
                    </a:prstGeom>
                    <a:noFill/>
                  </pic:spPr>
                </pic:pic>
              </a:graphicData>
            </a:graphic>
          </wp:anchor>
        </w:drawing>
        <w:t>ARTICLE 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Directors</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Section 1. Board of Directors</w:t>
      </w:r>
      <w:r>
        <w:rPr>
          <w:rFonts w:ascii="Times New Roman" w:cs="Times New Roman" w:eastAsia="Times New Roman" w:hAnsi="Times New Roman"/>
          <w:sz w:val="14"/>
          <w:szCs w:val="14"/>
          <w:color w:val="auto"/>
        </w:rPr>
        <w:t>. The Board of Directors shall have the power to manage and administer the business and affairs of the association.</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Except as expressly limited by law, all corporate powers of the association shall be vested in and may be exercised by the Board of Directors.</w:t>
      </w:r>
    </w:p>
    <w:p>
      <w:pPr>
        <w:spacing w:after="0" w:line="150" w:lineRule="exact"/>
        <w:rPr>
          <w:sz w:val="20"/>
          <w:szCs w:val="20"/>
          <w:color w:val="auto"/>
        </w:rPr>
      </w:pPr>
    </w:p>
    <w:p>
      <w:pPr>
        <w:ind w:left="340" w:right="399"/>
        <w:spacing w:after="0" w:line="248" w:lineRule="auto"/>
        <w:rPr>
          <w:sz w:val="20"/>
          <w:szCs w:val="20"/>
          <w:color w:val="auto"/>
        </w:rPr>
      </w:pPr>
      <w:r>
        <w:rPr>
          <w:rFonts w:ascii="Times New Roman" w:cs="Times New Roman" w:eastAsia="Times New Roman" w:hAnsi="Times New Roman"/>
          <w:sz w:val="14"/>
          <w:szCs w:val="14"/>
          <w:b w:val="1"/>
          <w:bCs w:val="1"/>
          <w:color w:val="auto"/>
        </w:rPr>
        <w:t>Section 2. Number</w:t>
      </w:r>
      <w:r>
        <w:rPr>
          <w:rFonts w:ascii="Times New Roman" w:cs="Times New Roman" w:eastAsia="Times New Roman" w:hAnsi="Times New Roman"/>
          <w:sz w:val="14"/>
          <w:szCs w:val="14"/>
          <w:color w:val="auto"/>
        </w:rPr>
        <w:t>. The Board of Directors shall consist of not less than five nor more than twenty-five members, unless the OCC has exempted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association from the 25-member limit. The exact number within such minimum and maximum limits is to be fixed and determined from time to time by resolution of a majority of the full Board of Directors or by resolution of a majority of the shareholders at any meeting thereof. The Board of Directors may not increase the number of directors between meetings of shareholders to a number which: (a) exceeds by more than 2 the number of directors last elected by shareholders where the number was 15 or less; or (b) exceeds by more than 4 the number of directors last elected by shareholders where the number was 16 or more, but in no event shall the number of directors exceed 25, unless the OCC has exempted the association from the 25-member limit.</w:t>
      </w:r>
    </w:p>
    <w:p>
      <w:pPr>
        <w:spacing w:after="0" w:line="143" w:lineRule="exact"/>
        <w:rPr>
          <w:sz w:val="20"/>
          <w:szCs w:val="20"/>
          <w:color w:val="auto"/>
        </w:rPr>
      </w:pPr>
    </w:p>
    <w:p>
      <w:pPr>
        <w:ind w:left="340" w:right="41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Section 3. Qualifications. </w:t>
      </w:r>
      <w:r>
        <w:rPr>
          <w:rFonts w:ascii="Times New Roman" w:cs="Times New Roman" w:eastAsia="Times New Roman" w:hAnsi="Times New Roman"/>
          <w:sz w:val="14"/>
          <w:szCs w:val="14"/>
          <w:color w:val="auto"/>
        </w:rPr>
        <w:t>Each director must be a citizen of the United States and must own in his or her own right either shares of the capital stock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association or a company that controls the association that has not less than an aggregate par value of $1,000, an aggregate shareholders’ equity of $1,000, or an aggregate fair market value of $1,000. The value of the common or preferred stock held by a director is valued as of the date purchased or the date on which the individual became a director, whichever is greater.</w:t>
      </w:r>
    </w:p>
    <w:p>
      <w:pPr>
        <w:spacing w:after="0" w:line="141" w:lineRule="exact"/>
        <w:rPr>
          <w:sz w:val="20"/>
          <w:szCs w:val="20"/>
          <w:color w:val="auto"/>
        </w:rPr>
      </w:pPr>
    </w:p>
    <w:p>
      <w:pPr>
        <w:ind w:left="340" w:right="419"/>
        <w:spacing w:after="0" w:line="252" w:lineRule="auto"/>
        <w:rPr>
          <w:sz w:val="20"/>
          <w:szCs w:val="20"/>
          <w:color w:val="auto"/>
        </w:rPr>
      </w:pPr>
      <w:r>
        <w:rPr>
          <w:rFonts w:ascii="Times New Roman" w:cs="Times New Roman" w:eastAsia="Times New Roman" w:hAnsi="Times New Roman"/>
          <w:sz w:val="14"/>
          <w:szCs w:val="14"/>
          <w:b w:val="1"/>
          <w:bCs w:val="1"/>
          <w:color w:val="auto"/>
        </w:rPr>
        <w:t>Section 4. Organization Meeting</w:t>
      </w:r>
      <w:r>
        <w:rPr>
          <w:rFonts w:ascii="Times New Roman" w:cs="Times New Roman" w:eastAsia="Times New Roman" w:hAnsi="Times New Roman"/>
          <w:sz w:val="14"/>
          <w:szCs w:val="14"/>
          <w:color w:val="auto"/>
        </w:rPr>
        <w:t>. After each annual meeting of shareholders at which directors shall have been elected, the Board of Directors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 as soon as practicable for the purpose of organization and the transaction of other business. Such first regular meeting shall be held at any place as may be designated by the chair, the president or the Board of Directors for such first regular meeting or, in default of such designation, where the immediately preceding meeting of shareholders was held.</w:t>
      </w:r>
    </w:p>
    <w:p>
      <w:pPr>
        <w:spacing w:after="0" w:line="141" w:lineRule="exact"/>
        <w:rPr>
          <w:sz w:val="20"/>
          <w:szCs w:val="20"/>
          <w:color w:val="auto"/>
        </w:rPr>
      </w:pPr>
    </w:p>
    <w:p>
      <w:pPr>
        <w:ind w:left="340" w:right="359"/>
        <w:spacing w:after="0" w:line="270" w:lineRule="auto"/>
        <w:rPr>
          <w:sz w:val="20"/>
          <w:szCs w:val="20"/>
          <w:color w:val="auto"/>
        </w:rPr>
      </w:pPr>
      <w:r>
        <w:rPr>
          <w:rFonts w:ascii="Times New Roman" w:cs="Times New Roman" w:eastAsia="Times New Roman" w:hAnsi="Times New Roman"/>
          <w:sz w:val="14"/>
          <w:szCs w:val="14"/>
          <w:b w:val="1"/>
          <w:bCs w:val="1"/>
          <w:color w:val="auto"/>
        </w:rPr>
        <w:t>Section 5. Regular Meetings</w:t>
      </w:r>
      <w:r>
        <w:rPr>
          <w:rFonts w:ascii="Times New Roman" w:cs="Times New Roman" w:eastAsia="Times New Roman" w:hAnsi="Times New Roman"/>
          <w:sz w:val="14"/>
          <w:szCs w:val="14"/>
          <w:color w:val="auto"/>
        </w:rPr>
        <w:t>. Regular meetings of the Board of Directors shall be held on such dates and at such places as may be designated from time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time by the chair. No notice of regular meetings shall be necessary.</w:t>
      </w:r>
    </w:p>
    <w:p>
      <w:pPr>
        <w:spacing w:after="0" w:line="128" w:lineRule="exact"/>
        <w:rPr>
          <w:sz w:val="20"/>
          <w:szCs w:val="20"/>
          <w:color w:val="auto"/>
        </w:rPr>
      </w:pPr>
    </w:p>
    <w:p>
      <w:pPr>
        <w:ind w:left="340" w:right="359"/>
        <w:spacing w:after="0" w:line="248" w:lineRule="auto"/>
        <w:rPr>
          <w:sz w:val="20"/>
          <w:szCs w:val="20"/>
          <w:color w:val="auto"/>
        </w:rPr>
      </w:pPr>
      <w:r>
        <w:rPr>
          <w:rFonts w:ascii="Times New Roman" w:cs="Times New Roman" w:eastAsia="Times New Roman" w:hAnsi="Times New Roman"/>
          <w:sz w:val="14"/>
          <w:szCs w:val="14"/>
          <w:b w:val="1"/>
          <w:bCs w:val="1"/>
          <w:color w:val="auto"/>
        </w:rPr>
        <w:t>Section 6. Special Meetings</w:t>
      </w:r>
      <w:r>
        <w:rPr>
          <w:rFonts w:ascii="Times New Roman" w:cs="Times New Roman" w:eastAsia="Times New Roman" w:hAnsi="Times New Roman"/>
          <w:sz w:val="14"/>
          <w:szCs w:val="14"/>
          <w:color w:val="auto"/>
        </w:rPr>
        <w:t>. Special meetings of the Board of Directors may be called at any time by the chair, the chief executive officer, the president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by a majority of the then- acting directors by vote at a meeting or in writing, or by a majority of the members of the executive committee, if one is constituted, by vote at a meeting or in writing. A special meeting of the Board of Directors shall be held on such date and at any place as may be designated from time to time by the Board of Directors. In the absence of such designation, such meeting shall be held at such place as may be designated in the call. Each member of the Board of Directors shall be given notice stating the date, time and place, by letter, electronic delivery or in person, of each special meeting not less than one day before the meeting. Such notice need not specify the purpose for which the meeting is called, unless required by the Articles of Association or the bylaws.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5" w:right="1440" w:bottom="1440" w:gutter="0" w:footer="0" w:header="0"/>
        </w:sectPr>
      </w:pPr>
    </w:p>
    <w:bookmarkStart w:id="88" w:name="page89"/>
    <w:bookmarkEnd w:id="88"/>
    <w:p>
      <w:pPr>
        <w:ind w:left="340" w:right="379"/>
        <w:spacing w:after="0" w:line="250"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7. Quorum</w:t>
      </w:r>
      <w:r>
        <w:rPr>
          <w:rFonts w:ascii="Times New Roman" w:cs="Times New Roman" w:eastAsia="Times New Roman" w:hAnsi="Times New Roman"/>
          <w:sz w:val="14"/>
          <w:szCs w:val="14"/>
          <w:color w:val="auto"/>
        </w:rPr>
        <w:t>. A majority of the entire Board then in office shall constitute a quorum at any meeting, except when otherwise provided by law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these Bylaws, but a lesser number may adjourn any meeting, from time to time, and the meeting may be held, as adjourned, without further notice. If the number of directors present at the meeting is reduced below the number that would constitute a quorum, no business may be transacted, except selecting directors to fill vacancies in conformance with Article II, Section 11. If a quorum is present, the board of directors may take action through the vote of a majority of the directors who are in attendance. No director may vote by proxy.</w:t>
      </w:r>
    </w:p>
    <w:p>
      <w:pPr>
        <w:spacing w:after="0" w:line="142" w:lineRule="exact"/>
        <w:rPr>
          <w:sz w:val="20"/>
          <w:szCs w:val="20"/>
          <w:color w:val="auto"/>
        </w:rPr>
      </w:pPr>
    </w:p>
    <w:p>
      <w:pPr>
        <w:ind w:left="340" w:right="43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Section 8. Attendance by Electronic, Telephonic or Similar Means. </w:t>
      </w:r>
      <w:r>
        <w:rPr>
          <w:rFonts w:ascii="Times New Roman" w:cs="Times New Roman" w:eastAsia="Times New Roman" w:hAnsi="Times New Roman"/>
          <w:sz w:val="14"/>
          <w:szCs w:val="14"/>
          <w:color w:val="auto"/>
        </w:rPr>
        <w:t>Any one or more members of the Board of Directors or any committee 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participate in a regular or special meeting of such board or committee by, or conduct the meeting through the use of, conference telephone or other communications equipment by which all directors or committee members participating may simultaneously hear each other during the meeting. Participation in a meeting by these means constitutes presence in person at a meeting.</w:t>
      </w:r>
    </w:p>
    <w:p>
      <w:pPr>
        <w:spacing w:after="0" w:line="141" w:lineRule="exact"/>
        <w:rPr>
          <w:sz w:val="20"/>
          <w:szCs w:val="20"/>
          <w:color w:val="auto"/>
        </w:rPr>
      </w:pPr>
    </w:p>
    <w:p>
      <w:pPr>
        <w:ind w:left="340" w:right="519"/>
        <w:spacing w:after="0" w:line="270" w:lineRule="auto"/>
        <w:rPr>
          <w:sz w:val="20"/>
          <w:szCs w:val="20"/>
          <w:color w:val="auto"/>
        </w:rPr>
      </w:pPr>
      <w:r>
        <w:rPr>
          <w:rFonts w:ascii="Times New Roman" w:cs="Times New Roman" w:eastAsia="Times New Roman" w:hAnsi="Times New Roman"/>
          <w:sz w:val="14"/>
          <w:szCs w:val="14"/>
          <w:b w:val="1"/>
          <w:bCs w:val="1"/>
          <w:color w:val="auto"/>
        </w:rPr>
        <w:t>Section 9. Procedures</w:t>
      </w:r>
      <w:r>
        <w:rPr>
          <w:rFonts w:ascii="Times New Roman" w:cs="Times New Roman" w:eastAsia="Times New Roman" w:hAnsi="Times New Roman"/>
          <w:sz w:val="14"/>
          <w:szCs w:val="14"/>
          <w:color w:val="auto"/>
        </w:rPr>
        <w:t>. The order of business and all other matters of procedure at every meeting of the Board of Directors may be determined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person presiding at the meeting.</w:t>
      </w:r>
    </w:p>
    <w:p>
      <w:pPr>
        <w:spacing w:after="0" w:line="128" w:lineRule="exact"/>
        <w:rPr>
          <w:sz w:val="20"/>
          <w:szCs w:val="20"/>
          <w:color w:val="auto"/>
        </w:rPr>
      </w:pPr>
    </w:p>
    <w:p>
      <w:pPr>
        <w:ind w:left="340" w:right="359"/>
        <w:spacing w:after="0" w:line="308" w:lineRule="auto"/>
        <w:rPr>
          <w:sz w:val="20"/>
          <w:szCs w:val="20"/>
          <w:color w:val="auto"/>
        </w:rPr>
      </w:pPr>
      <w:r>
        <w:rPr>
          <w:rFonts w:ascii="Times New Roman" w:cs="Times New Roman" w:eastAsia="Times New Roman" w:hAnsi="Times New Roman"/>
          <w:sz w:val="12"/>
          <w:szCs w:val="12"/>
          <w:b w:val="1"/>
          <w:bCs w:val="1"/>
          <w:color w:val="auto"/>
        </w:rPr>
        <w:t>Section 10. Removal of Directors</w:t>
      </w:r>
      <w:r>
        <w:rPr>
          <w:rFonts w:ascii="Times New Roman" w:cs="Times New Roman" w:eastAsia="Times New Roman" w:hAnsi="Times New Roman"/>
          <w:sz w:val="12"/>
          <w:szCs w:val="12"/>
          <w:color w:val="auto"/>
        </w:rPr>
        <w:t>. Any director may be removed for cause at any meeting of shareholders, notice of which shall have referred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proposed action, by vote of the shareholders. Any director may be removed without cause at any meeting of shareholders, notice of which shall have referred to the proposed action, by the vote of the holders of a majority of the shares of the association entitled to vote. Any director may be removed for cause at any meeting of the directors, notice of which shall have referred to the proposed action, by vote of a majority of the entire Board of Directors.</w:t>
      </w:r>
    </w:p>
    <w:p>
      <w:pPr>
        <w:spacing w:after="0" w:line="109" w:lineRule="exact"/>
        <w:rPr>
          <w:sz w:val="20"/>
          <w:szCs w:val="20"/>
          <w:color w:val="auto"/>
        </w:rPr>
      </w:pPr>
    </w:p>
    <w:p>
      <w:pPr>
        <w:ind w:left="340" w:right="419"/>
        <w:spacing w:after="0" w:line="249" w:lineRule="auto"/>
        <w:rPr>
          <w:sz w:val="20"/>
          <w:szCs w:val="20"/>
          <w:color w:val="auto"/>
        </w:rPr>
      </w:pPr>
      <w:r>
        <w:rPr>
          <w:rFonts w:ascii="Times New Roman" w:cs="Times New Roman" w:eastAsia="Times New Roman" w:hAnsi="Times New Roman"/>
          <w:sz w:val="14"/>
          <w:szCs w:val="14"/>
          <w:b w:val="1"/>
          <w:bCs w:val="1"/>
          <w:color w:val="auto"/>
        </w:rPr>
        <w:t>Section 11. Vacancies</w:t>
      </w:r>
      <w:r>
        <w:rPr>
          <w:rFonts w:ascii="Times New Roman" w:cs="Times New Roman" w:eastAsia="Times New Roman" w:hAnsi="Times New Roman"/>
          <w:sz w:val="14"/>
          <w:szCs w:val="14"/>
          <w:color w:val="auto"/>
        </w:rPr>
        <w:t>. When any vacancy occurs among the directors, a majority of the remaining members of the Board of Directors may appoint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 to fill such vacancy until the next election at any regular meeting of the Board of Directors, or at a special meeting called for that purpose at which a quorum is present, or if the directors remaining in office constitute fewer than a quorum of the Board of Directors, by the affirmative vote of a majority of all the directors remaining in office, or by shareholders at a special meeting called for that purpose in conformance with Section 2 of Article I. A vacancy that will occur at a specific later date (by reason of a resignation effective at a later date) may be filled before the vacancy occurs but the new director may not take office until the vacancy occurs.</w:t>
      </w:r>
    </w:p>
    <w:p>
      <w:pPr>
        <w:spacing w:after="0" w:line="142" w:lineRule="exact"/>
        <w:rPr>
          <w:sz w:val="20"/>
          <w:szCs w:val="20"/>
          <w:color w:val="auto"/>
        </w:rPr>
      </w:pPr>
    </w:p>
    <w:p>
      <w:pPr>
        <w:ind w:left="340" w:right="359"/>
        <w:spacing w:after="0" w:line="252" w:lineRule="auto"/>
        <w:rPr>
          <w:sz w:val="20"/>
          <w:szCs w:val="20"/>
          <w:color w:val="auto"/>
        </w:rPr>
      </w:pPr>
      <w:r>
        <w:rPr>
          <w:rFonts w:ascii="Times New Roman" w:cs="Times New Roman" w:eastAsia="Times New Roman" w:hAnsi="Times New Roman"/>
          <w:sz w:val="14"/>
          <w:szCs w:val="14"/>
          <w:b w:val="1"/>
          <w:bCs w:val="1"/>
          <w:color w:val="auto"/>
        </w:rPr>
        <w:t>Section 12. Consent of Directors without a Meeting</w:t>
      </w:r>
      <w:r>
        <w:rPr>
          <w:rFonts w:ascii="Times New Roman" w:cs="Times New Roman" w:eastAsia="Times New Roman" w:hAnsi="Times New Roman"/>
          <w:sz w:val="14"/>
          <w:szCs w:val="14"/>
          <w:color w:val="auto"/>
        </w:rPr>
        <w:t>. Any action required or permitted to be taken at any meeting of the Board of Directors may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taken without a meeting if the action is taken by all members of the Board. The action may be evidenced by one or more written consents signed by each director before or after such action, describing the action taken, and included in the minutes or filed with the corporate records. A director’s consent to action taken without a meeting may be in electronic form and delivered by electronic means.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ectPr>
          <w:pgSz w:w="11900" w:h="16838" w:orient="portrait"/>
          <w:cols w:equalWidth="0" w:num="1">
            <w:col w:w="9019"/>
          </w:cols>
          <w:pgMar w:left="1440" w:top="235" w:right="1440" w:bottom="1440" w:gutter="0" w:footer="0" w:header="0"/>
        </w:sectPr>
      </w:pPr>
    </w:p>
    <w:bookmarkStart w:id="89" w:name="page90"/>
    <w:bookmarkEnd w:id="89"/>
    <w:p>
      <w:pPr>
        <w:ind w:left="340" w:right="359"/>
        <w:spacing w:after="0" w:line="248"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204075" cy="31750"/>
                    </a:xfrm>
                    <a:prstGeom prst="rect">
                      <a:avLst/>
                    </a:prstGeom>
                    <a:noFill/>
                  </pic:spPr>
                </pic:pic>
              </a:graphicData>
            </a:graphic>
          </wp:anchor>
        </w:drawing>
        <w:t>Section 13. Ratification</w:t>
      </w:r>
      <w:r>
        <w:rPr>
          <w:rFonts w:ascii="Times New Roman" w:cs="Times New Roman" w:eastAsia="Times New Roman" w:hAnsi="Times New Roman"/>
          <w:sz w:val="14"/>
          <w:szCs w:val="14"/>
          <w:color w:val="auto"/>
        </w:rPr>
        <w:t>. The board of directors may ratify and make binding on the association any action or inaction by the association or its officers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extent that the Board of Directors or the shareholders could have originally authorized the matter and as permitted by law. Moreover, any action or inaction questioned in any shareholders’ derivative proceeding or any other proceeding on the ground of lack of authority, defective or irregular execution, adverse interest of a director, officer or shareholder, non-disclosure, miscomputation, the application of improper principles or practices of accounting or otherwise, may be ratified, before or after judgment, by the Board of Directors or by the shareholders, and if so ratified, shall have the same force and effect as if the questioned action or inaction had been originally duly authorized, and such ratification shall be binding upon the shareholders and shall constitute a bar to any claim or execution of any judgment in respect of such questioned action or inaction.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Committees</w:t>
      </w:r>
    </w:p>
    <w:p>
      <w:pPr>
        <w:spacing w:after="0" w:line="150" w:lineRule="exact"/>
        <w:rPr>
          <w:sz w:val="20"/>
          <w:szCs w:val="20"/>
          <w:color w:val="auto"/>
        </w:rPr>
      </w:pPr>
    </w:p>
    <w:p>
      <w:pPr>
        <w:ind w:left="340" w:right="439"/>
        <w:spacing w:after="0" w:line="252" w:lineRule="auto"/>
        <w:rPr>
          <w:sz w:val="20"/>
          <w:szCs w:val="20"/>
          <w:color w:val="auto"/>
        </w:rPr>
      </w:pPr>
      <w:r>
        <w:rPr>
          <w:rFonts w:ascii="Times New Roman" w:cs="Times New Roman" w:eastAsia="Times New Roman" w:hAnsi="Times New Roman"/>
          <w:sz w:val="14"/>
          <w:szCs w:val="14"/>
          <w:b w:val="1"/>
          <w:bCs w:val="1"/>
          <w:color w:val="auto"/>
        </w:rPr>
        <w:t>Section 1. Executive Committee</w:t>
      </w:r>
      <w:r>
        <w:rPr>
          <w:rFonts w:ascii="Times New Roman" w:cs="Times New Roman" w:eastAsia="Times New Roman" w:hAnsi="Times New Roman"/>
          <w:sz w:val="14"/>
          <w:szCs w:val="14"/>
          <w:color w:val="auto"/>
        </w:rPr>
        <w:t>. The Board of Directors may appoint an Executive Committee, which shall have and may exercise, during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intervals between meetings of the Board of Directors, all the powers of the Board of Directors in the management of the business, properties and affairs of the association except as prohibited by law, the Articles of Association or these Bylaws. All acts done and powers conferred by the Executive Committee shall be deemed to be and may be certified as being, done or conferred under authority of the Board of Directors.</w:t>
      </w:r>
    </w:p>
    <w:p>
      <w:pPr>
        <w:spacing w:after="0" w:line="141" w:lineRule="exact"/>
        <w:rPr>
          <w:sz w:val="20"/>
          <w:szCs w:val="20"/>
          <w:color w:val="auto"/>
        </w:rPr>
      </w:pPr>
    </w:p>
    <w:p>
      <w:pPr>
        <w:ind w:left="340" w:right="459"/>
        <w:spacing w:after="0" w:line="248" w:lineRule="auto"/>
        <w:rPr>
          <w:sz w:val="20"/>
          <w:szCs w:val="20"/>
          <w:color w:val="auto"/>
        </w:rPr>
      </w:pPr>
      <w:r>
        <w:rPr>
          <w:rFonts w:ascii="Times New Roman" w:cs="Times New Roman" w:eastAsia="Times New Roman" w:hAnsi="Times New Roman"/>
          <w:sz w:val="14"/>
          <w:szCs w:val="14"/>
          <w:b w:val="1"/>
          <w:bCs w:val="1"/>
          <w:color w:val="auto"/>
        </w:rPr>
        <w:t xml:space="preserve">Section 2. Trust Audit Committee. </w:t>
      </w:r>
      <w:r>
        <w:rPr>
          <w:rFonts w:ascii="Times New Roman" w:cs="Times New Roman" w:eastAsia="Times New Roman" w:hAnsi="Times New Roman"/>
          <w:sz w:val="14"/>
          <w:szCs w:val="14"/>
          <w:color w:val="auto"/>
        </w:rPr>
        <w:t>Unless delegated pursuant to Section 5 of this Article III, there shall be a Trust Audit Committee composed of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less than 2 directors, appointed by the Board of Directors, which shall, at least once during each calendar year make suitable audits of the association’s fiduciary activities or cause suitable audits to be made by auditors responsible only to the Board, and at such time shall ascertain whether fiduciary powers have been administered according to law, Part 9 of the Regulations of the Comptroller of the Currency, and sound fiduciary principles. Such committee: (1) must not include any officers of the association or an affiliate who participate significantly in the administration of the association’s fiduciary activities; and (2) must consist of a majority of members who are not also members of any committee to which the Board of Directors has delegated power to manage and control the fiduciary activities of the bank.</w:t>
      </w:r>
    </w:p>
    <w:p>
      <w:pPr>
        <w:spacing w:after="0" w:line="143" w:lineRule="exact"/>
        <w:rPr>
          <w:sz w:val="20"/>
          <w:szCs w:val="20"/>
          <w:color w:val="auto"/>
        </w:rPr>
      </w:pPr>
    </w:p>
    <w:p>
      <w:pPr>
        <w:ind w:left="340" w:right="419"/>
        <w:spacing w:after="0" w:line="248" w:lineRule="auto"/>
        <w:rPr>
          <w:sz w:val="20"/>
          <w:szCs w:val="20"/>
          <w:color w:val="auto"/>
        </w:rPr>
      </w:pPr>
      <w:r>
        <w:rPr>
          <w:rFonts w:ascii="Times New Roman" w:cs="Times New Roman" w:eastAsia="Times New Roman" w:hAnsi="Times New Roman"/>
          <w:sz w:val="14"/>
          <w:szCs w:val="14"/>
          <w:b w:val="1"/>
          <w:bCs w:val="1"/>
          <w:color w:val="auto"/>
        </w:rPr>
        <w:t>Section 3. Examining Committee</w:t>
      </w:r>
      <w:r>
        <w:rPr>
          <w:rFonts w:ascii="Times New Roman" w:cs="Times New Roman" w:eastAsia="Times New Roman" w:hAnsi="Times New Roman"/>
          <w:sz w:val="14"/>
          <w:szCs w:val="14"/>
          <w:color w:val="auto"/>
        </w:rPr>
        <w:t>. Unless delegated pursuant to Section 5 of this Article III, there shall be an examining committee composed of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less than 2 directors, exclusive of any active officers, appointed by the board of directors annually or more often. The duty of that committee shall be to examine at least once during each calendar year and within 15 months of the last examination the affairs of the association or cause suitable examinations to be made by auditors responsible only to the board of directors and to report the result of such examination in writing to the board of directors at the next regular meeting thereafter. Such report shall state whether the association is in a sound condition, and whether adequate internal controls and procedures are being maintained and shall recommend to the board of directors such changes in the manner of conducting the affairs of the association as shall be deemed advisable.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- 5 -</w:t>
      </w:r>
    </w:p>
    <w:p>
      <w:pPr>
        <w:sectPr>
          <w:pgSz w:w="11900" w:h="16838" w:orient="portrait"/>
          <w:cols w:equalWidth="0" w:num="1">
            <w:col w:w="9019"/>
          </w:cols>
          <w:pgMar w:left="1440" w:top="235" w:right="1440" w:bottom="1440" w:gutter="0" w:footer="0" w:header="0"/>
        </w:sectPr>
      </w:pPr>
    </w:p>
    <w:bookmarkStart w:id="90" w:name="page91"/>
    <w:bookmarkEnd w:id="90"/>
    <w:p>
      <w:pPr>
        <w:ind w:left="340" w:right="519"/>
        <w:spacing w:after="0" w:line="302"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4. Other Committees</w:t>
      </w:r>
      <w:r>
        <w:rPr>
          <w:rFonts w:ascii="Times New Roman" w:cs="Times New Roman" w:eastAsia="Times New Roman" w:hAnsi="Times New Roman"/>
          <w:sz w:val="12"/>
          <w:szCs w:val="12"/>
          <w:color w:val="auto"/>
        </w:rPr>
        <w:t>. The Board of Directors may from time to time by resolution adopted by affirmative vote of a majority of the Board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Directors, appoint other committees of the Board of Directors which shall have such powers and duties as the Board of Directors may properly determine. No such other committee of the Board of Directors shall be composed of fewer than three (3) directors. The Board of Directors may also appoint one or more directors as alternative members of a committee. All acts done and powers conferred by the Board of Directors on committees of the Board of Directors shall be deemed to be and may be certified as being, done or conferred under that authority of the Board of Directors.</w:t>
      </w:r>
    </w:p>
    <w:p>
      <w:pPr>
        <w:spacing w:after="0" w:line="112" w:lineRule="exact"/>
        <w:rPr>
          <w:sz w:val="20"/>
          <w:szCs w:val="20"/>
          <w:color w:val="auto"/>
        </w:rPr>
      </w:pPr>
    </w:p>
    <w:p>
      <w:pPr>
        <w:ind w:left="340" w:right="379"/>
        <w:spacing w:after="0" w:line="356" w:lineRule="auto"/>
        <w:rPr>
          <w:sz w:val="20"/>
          <w:szCs w:val="20"/>
          <w:color w:val="auto"/>
        </w:rPr>
      </w:pPr>
      <w:r>
        <w:rPr>
          <w:rFonts w:ascii="Times New Roman" w:cs="Times New Roman" w:eastAsia="Times New Roman" w:hAnsi="Times New Roman"/>
          <w:sz w:val="12"/>
          <w:szCs w:val="12"/>
          <w:b w:val="1"/>
          <w:bCs w:val="1"/>
          <w:color w:val="auto"/>
        </w:rPr>
        <w:t>Section 5. Delegation of Responsibility and Authority</w:t>
      </w:r>
      <w:r>
        <w:rPr>
          <w:rFonts w:ascii="Times New Roman" w:cs="Times New Roman" w:eastAsia="Times New Roman" w:hAnsi="Times New Roman"/>
          <w:sz w:val="12"/>
          <w:szCs w:val="12"/>
          <w:color w:val="auto"/>
        </w:rPr>
        <w:t>. The responsibility, authority and constitution of any committee under this Article III may, if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authorized by law, be given over to a duly constituted committee of the association’s parent corporation by resolution adopted by the Board of Directors.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Officers and Employees</w:t>
      </w:r>
    </w:p>
    <w:p>
      <w:pPr>
        <w:spacing w:after="0" w:line="150" w:lineRule="exact"/>
        <w:rPr>
          <w:sz w:val="20"/>
          <w:szCs w:val="20"/>
          <w:color w:val="auto"/>
        </w:rPr>
      </w:pPr>
    </w:p>
    <w:p>
      <w:pPr>
        <w:ind w:left="340" w:right="359"/>
        <w:spacing w:after="0" w:line="247" w:lineRule="auto"/>
        <w:rPr>
          <w:sz w:val="20"/>
          <w:szCs w:val="20"/>
          <w:color w:val="auto"/>
        </w:rPr>
      </w:pPr>
      <w:r>
        <w:rPr>
          <w:rFonts w:ascii="Times New Roman" w:cs="Times New Roman" w:eastAsia="Times New Roman" w:hAnsi="Times New Roman"/>
          <w:sz w:val="14"/>
          <w:szCs w:val="14"/>
          <w:b w:val="1"/>
          <w:bCs w:val="1"/>
          <w:color w:val="auto"/>
        </w:rPr>
        <w:t xml:space="preserve">Section 1 Officers. </w:t>
      </w:r>
      <w:r>
        <w:rPr>
          <w:rFonts w:ascii="Times New Roman" w:cs="Times New Roman" w:eastAsia="Times New Roman" w:hAnsi="Times New Roman"/>
          <w:sz w:val="14"/>
          <w:szCs w:val="14"/>
          <w:color w:val="auto"/>
        </w:rPr>
        <w:t>The Board of Directors shall annually, at the Annual Reorganization Meeting of the Board of Directors following the annual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 of shareholders, appoint or elect a chair of the Board, a chief executive officer, a president, one (1) or more senior executive vice presidents, a corporate secretary, a treasurer, a chief auditor, and such other officers as it may determine, each to hold office until the next Annual Reorganization meeting. The officers below the level of senior executive vice president may be elected as follows: the head of the Human Resources Department of M&amp;T Bank, or his or her designee, may appoint officers up to and including (without limitation as to title or number) one (1) or more executive vice presidents, senior vice presidents, vice presidents, assistant vice presidents, assistant secretaries, assistant treasurers, and assistant auditors, and any other officer positions as they deem necessary and appropriate, except the chair of the board, chief executive officer, president, any “Executive Officer” of the association for the purposes of Regulation O (codified at 12 C.F.R. §215.2(e)(1)), and any “Senior Executive Officer” within the meaning of 12 C.F.R. §5.51(c)(4) may only be appointed by the Board of Directors.</w:t>
      </w:r>
    </w:p>
    <w:p>
      <w:pPr>
        <w:spacing w:after="0" w:line="143" w:lineRule="exact"/>
        <w:rPr>
          <w:sz w:val="20"/>
          <w:szCs w:val="20"/>
          <w:color w:val="auto"/>
        </w:rPr>
      </w:pPr>
    </w:p>
    <w:p>
      <w:pPr>
        <w:ind w:left="340" w:right="379"/>
        <w:spacing w:after="0" w:line="252" w:lineRule="auto"/>
        <w:rPr>
          <w:sz w:val="20"/>
          <w:szCs w:val="20"/>
          <w:color w:val="auto"/>
        </w:rPr>
      </w:pPr>
      <w:r>
        <w:rPr>
          <w:rFonts w:ascii="Times New Roman" w:cs="Times New Roman" w:eastAsia="Times New Roman" w:hAnsi="Times New Roman"/>
          <w:sz w:val="14"/>
          <w:szCs w:val="14"/>
          <w:b w:val="1"/>
          <w:bCs w:val="1"/>
          <w:color w:val="auto"/>
        </w:rPr>
        <w:t>Section 2. Chair of the Board</w:t>
      </w:r>
      <w:r>
        <w:rPr>
          <w:rFonts w:ascii="Times New Roman" w:cs="Times New Roman" w:eastAsia="Times New Roman" w:hAnsi="Times New Roman"/>
          <w:sz w:val="14"/>
          <w:szCs w:val="14"/>
          <w:color w:val="auto"/>
        </w:rPr>
        <w:t>. The Board of Directors shall appoint one of its members to be the chair of the Board to serve at its pleasure.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person shall preside at all meetings of the Board of Directors. The chair of the Board shall supervise the carrying out of the policies adopted or approved by the Board of Directors; shall have general executive powers, as well as the specific powers conferred by these Bylaws; and shall also have and may exercise such further powers and duties as from time to time may be conferred upon or assigned by the Board of Directors.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- 6 -</w:t>
      </w:r>
    </w:p>
    <w:p>
      <w:pPr>
        <w:sectPr>
          <w:pgSz w:w="11900" w:h="16838" w:orient="portrait"/>
          <w:cols w:equalWidth="0" w:num="1">
            <w:col w:w="9019"/>
          </w:cols>
          <w:pgMar w:left="1440" w:top="235" w:right="1440" w:bottom="1440" w:gutter="0" w:footer="0" w:header="0"/>
        </w:sectPr>
      </w:pPr>
    </w:p>
    <w:bookmarkStart w:id="91" w:name="page92"/>
    <w:bookmarkEnd w:id="91"/>
    <w:p>
      <w:pPr>
        <w:ind w:left="340" w:right="379"/>
        <w:spacing w:after="0" w:line="250"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204075" cy="31750"/>
                    </a:xfrm>
                    <a:prstGeom prst="rect">
                      <a:avLst/>
                    </a:prstGeom>
                    <a:noFill/>
                  </pic:spPr>
                </pic:pic>
              </a:graphicData>
            </a:graphic>
          </wp:anchor>
        </w:drawing>
        <w:t>Section 3. President</w:t>
      </w:r>
      <w:r>
        <w:rPr>
          <w:rFonts w:ascii="Times New Roman" w:cs="Times New Roman" w:eastAsia="Times New Roman" w:hAnsi="Times New Roman"/>
          <w:sz w:val="14"/>
          <w:szCs w:val="14"/>
          <w:color w:val="auto"/>
        </w:rPr>
        <w:t>. The Board of Directors shall appoint one of its members to be the president of the association. The president shall be a member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Board of Directors. In the absence of the chair, the president shall preside at any meeting of the Board of Directors. The president shall have general executive powers and shall have and may exercise any and all other powers and duties pertaining by law, regulation, or practice to the office of president, or imposed by these Bylaws. The president shall also have and may exercise such further powers and duties as from time to time may be conferred or assigned by the Board of Directors.</w:t>
      </w:r>
    </w:p>
    <w:p>
      <w:pPr>
        <w:spacing w:after="0" w:line="142" w:lineRule="exact"/>
        <w:rPr>
          <w:sz w:val="20"/>
          <w:szCs w:val="20"/>
          <w:color w:val="auto"/>
        </w:rPr>
      </w:pPr>
    </w:p>
    <w:p>
      <w:pPr>
        <w:ind w:left="340" w:right="399"/>
        <w:spacing w:after="0" w:line="257" w:lineRule="auto"/>
        <w:rPr>
          <w:sz w:val="20"/>
          <w:szCs w:val="20"/>
          <w:color w:val="auto"/>
        </w:rPr>
      </w:pPr>
      <w:r>
        <w:rPr>
          <w:rFonts w:ascii="Times New Roman" w:cs="Times New Roman" w:eastAsia="Times New Roman" w:hAnsi="Times New Roman"/>
          <w:sz w:val="14"/>
          <w:szCs w:val="14"/>
          <w:b w:val="1"/>
          <w:bCs w:val="1"/>
          <w:color w:val="auto"/>
        </w:rPr>
        <w:t>Section 4. Vice President</w:t>
      </w:r>
      <w:r>
        <w:rPr>
          <w:rFonts w:ascii="Times New Roman" w:cs="Times New Roman" w:eastAsia="Times New Roman" w:hAnsi="Times New Roman"/>
          <w:sz w:val="14"/>
          <w:szCs w:val="14"/>
          <w:color w:val="auto"/>
        </w:rPr>
        <w:t>. The Board of Directors may appoint one or more vice presidents. Each vice president shall have such powers and duties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be assigned by the Board of Directors. One vice president shall be designated by the Board of Directors, in the absence of the president, to perform all the duties of the president.</w:t>
      </w:r>
    </w:p>
    <w:p>
      <w:pPr>
        <w:spacing w:after="0" w:line="136" w:lineRule="exact"/>
        <w:rPr>
          <w:sz w:val="20"/>
          <w:szCs w:val="20"/>
          <w:color w:val="auto"/>
        </w:rPr>
      </w:pPr>
    </w:p>
    <w:p>
      <w:pPr>
        <w:ind w:left="340" w:right="419"/>
        <w:spacing w:after="0" w:line="250" w:lineRule="auto"/>
        <w:rPr>
          <w:sz w:val="20"/>
          <w:szCs w:val="20"/>
          <w:color w:val="auto"/>
        </w:rPr>
      </w:pPr>
      <w:r>
        <w:rPr>
          <w:rFonts w:ascii="Times New Roman" w:cs="Times New Roman" w:eastAsia="Times New Roman" w:hAnsi="Times New Roman"/>
          <w:sz w:val="14"/>
          <w:szCs w:val="14"/>
          <w:b w:val="1"/>
          <w:bCs w:val="1"/>
          <w:color w:val="auto"/>
        </w:rPr>
        <w:t>Section 5. Secretary</w:t>
      </w:r>
      <w:r>
        <w:rPr>
          <w:rFonts w:ascii="Times New Roman" w:cs="Times New Roman" w:eastAsia="Times New Roman" w:hAnsi="Times New Roman"/>
          <w:sz w:val="14"/>
          <w:szCs w:val="14"/>
          <w:color w:val="auto"/>
        </w:rPr>
        <w:t>. The Board of Directors shall appoint a secretary or other designated officer who shall be secretary of the Board of Directors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association and who shall keep accurate minutes of all meetings. The secretary shall attend to the giving of all notices required by these Bylaws; shall be custodian of the corporate seal, records, documents and papers of the association; shall provide for the keeping of proper records of all transactions of the association; shall have and may exercise any and all other powers and duties pertaining by law, regulation or practice, or imposed by these bylaws; and shall also perform such other duties as may be assigned from time to time, by the Board of Directors.</w:t>
      </w:r>
    </w:p>
    <w:p>
      <w:pPr>
        <w:spacing w:after="0" w:line="142" w:lineRule="exact"/>
        <w:rPr>
          <w:sz w:val="20"/>
          <w:szCs w:val="20"/>
          <w:color w:val="auto"/>
        </w:rPr>
      </w:pPr>
    </w:p>
    <w:p>
      <w:pPr>
        <w:ind w:left="340" w:right="399"/>
        <w:spacing w:after="0" w:line="249" w:lineRule="auto"/>
        <w:rPr>
          <w:sz w:val="20"/>
          <w:szCs w:val="20"/>
          <w:color w:val="auto"/>
        </w:rPr>
      </w:pPr>
      <w:r>
        <w:rPr>
          <w:rFonts w:ascii="Times New Roman" w:cs="Times New Roman" w:eastAsia="Times New Roman" w:hAnsi="Times New Roman"/>
          <w:sz w:val="14"/>
          <w:szCs w:val="14"/>
          <w:b w:val="1"/>
          <w:bCs w:val="1"/>
          <w:color w:val="auto"/>
        </w:rPr>
        <w:t>Section 6. Other Officers</w:t>
      </w:r>
      <w:r>
        <w:rPr>
          <w:rFonts w:ascii="Times New Roman" w:cs="Times New Roman" w:eastAsia="Times New Roman" w:hAnsi="Times New Roman"/>
          <w:sz w:val="14"/>
          <w:szCs w:val="14"/>
          <w:color w:val="auto"/>
        </w:rPr>
        <w:t>. The Board of Directors may appoint one or more assistant vice presidents, one or more trust officers, one or more officers,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one or more assistant secretaries, one or more assistant treasurers, one or more managers and assistant managers of branches and such other officers and attorneys in fact as from time to time may appear to the Board of Directors to be required or desirable to transact the business of the association. Such officers shall respectively exercise such powers and perform such duties as pertain to their several offices, or as may be conferred upon or assigned to them by the Board of Directors, the chair of the Board, or the president. The Board of Directors may authorize an officer to appoint one or more officers or assistant officers.</w:t>
      </w:r>
    </w:p>
    <w:p>
      <w:pPr>
        <w:spacing w:after="0" w:line="142" w:lineRule="exact"/>
        <w:rPr>
          <w:sz w:val="20"/>
          <w:szCs w:val="20"/>
          <w:color w:val="auto"/>
        </w:rPr>
      </w:pPr>
    </w:p>
    <w:p>
      <w:pPr>
        <w:ind w:left="340" w:right="599"/>
        <w:spacing w:after="0" w:line="270" w:lineRule="auto"/>
        <w:rPr>
          <w:sz w:val="20"/>
          <w:szCs w:val="20"/>
          <w:color w:val="auto"/>
        </w:rPr>
      </w:pPr>
      <w:r>
        <w:rPr>
          <w:rFonts w:ascii="Times New Roman" w:cs="Times New Roman" w:eastAsia="Times New Roman" w:hAnsi="Times New Roman"/>
          <w:sz w:val="14"/>
          <w:szCs w:val="14"/>
          <w:b w:val="1"/>
          <w:bCs w:val="1"/>
          <w:color w:val="auto"/>
        </w:rPr>
        <w:t>Section 7. Resignation</w:t>
      </w:r>
      <w:r>
        <w:rPr>
          <w:rFonts w:ascii="Times New Roman" w:cs="Times New Roman" w:eastAsia="Times New Roman" w:hAnsi="Times New Roman"/>
          <w:sz w:val="14"/>
          <w:szCs w:val="14"/>
          <w:color w:val="auto"/>
        </w:rPr>
        <w:t>. An officer may resign at any time by delivering notice to the association. A resignation is effective when the notice is given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the notice specifies a later effective date.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Stock and Stock Certificates</w:t>
      </w:r>
    </w:p>
    <w:p>
      <w:pPr>
        <w:spacing w:after="0" w:line="150" w:lineRule="exact"/>
        <w:rPr>
          <w:sz w:val="20"/>
          <w:szCs w:val="20"/>
          <w:color w:val="auto"/>
        </w:rPr>
      </w:pPr>
    </w:p>
    <w:p>
      <w:pPr>
        <w:ind w:left="340" w:right="419"/>
        <w:spacing w:after="0" w:line="308" w:lineRule="auto"/>
        <w:rPr>
          <w:sz w:val="20"/>
          <w:szCs w:val="20"/>
          <w:color w:val="auto"/>
        </w:rPr>
      </w:pPr>
      <w:r>
        <w:rPr>
          <w:rFonts w:ascii="Times New Roman" w:cs="Times New Roman" w:eastAsia="Times New Roman" w:hAnsi="Times New Roman"/>
          <w:sz w:val="12"/>
          <w:szCs w:val="12"/>
          <w:b w:val="1"/>
          <w:bCs w:val="1"/>
          <w:color w:val="auto"/>
        </w:rPr>
        <w:t>Section 1. Transfers</w:t>
      </w:r>
      <w:r>
        <w:rPr>
          <w:rFonts w:ascii="Times New Roman" w:cs="Times New Roman" w:eastAsia="Times New Roman" w:hAnsi="Times New Roman"/>
          <w:sz w:val="12"/>
          <w:szCs w:val="12"/>
          <w:color w:val="auto"/>
        </w:rPr>
        <w:t>. Shares of stock shall be transferable on the books of the association, and a transfer book shall be kept in which all transfers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stock shall be recorded. Every person becoming a shareholder by such transfer shall in proportion to such shareholder’s shares, succeed to all rights of the prior holder of such shares. The Board of Directors may impose conditions upon the transfer of the stock reasonably calculated to simplify the work of the association with respect to stock transfers, voting at shareholder meetings and related matters and to protect it against fraudulent transfers.</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- 7 -</w:t>
      </w:r>
    </w:p>
    <w:p>
      <w:pPr>
        <w:sectPr>
          <w:pgSz w:w="11900" w:h="16838" w:orient="portrait"/>
          <w:cols w:equalWidth="0" w:num="1">
            <w:col w:w="9019"/>
          </w:cols>
          <w:pgMar w:left="1440" w:top="235" w:right="1440" w:bottom="1440" w:gutter="0" w:footer="0" w:header="0"/>
        </w:sectPr>
      </w:pPr>
    </w:p>
    <w:bookmarkStart w:id="92" w:name="page93"/>
    <w:bookmarkEnd w:id="92"/>
    <w:p>
      <w:pPr>
        <w:ind w:left="340" w:right="419"/>
        <w:spacing w:after="0" w:line="250"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2. Stock Certificates</w:t>
      </w:r>
      <w:r>
        <w:rPr>
          <w:rFonts w:ascii="Times New Roman" w:cs="Times New Roman" w:eastAsia="Times New Roman" w:hAnsi="Times New Roman"/>
          <w:sz w:val="14"/>
          <w:szCs w:val="14"/>
          <w:color w:val="auto"/>
        </w:rPr>
        <w:t>. Certificates of stock shall bear the signature of the president (which may be engraved, printed or impressed) and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signed manually, by facsimile process, or electronic means by the secretary, assistant secretary, treasurer, assistant treasurer, or any other officer appointed by the Board of Directors for that purpose, to be known as an authorized officer, and the seal of the association shall be engraved thereon. Each certificate shall recite on its face that the stock represented thereby is transferable only upon the books of the association properly endorsed and otherwise comply with the requirements of 12 U.S.C. 52 and 12 C.F.R. §7.2016(b).</w:t>
      </w:r>
    </w:p>
    <w:p>
      <w:pPr>
        <w:spacing w:after="0" w:line="142" w:lineRule="exact"/>
        <w:rPr>
          <w:sz w:val="20"/>
          <w:szCs w:val="20"/>
          <w:color w:val="auto"/>
        </w:rPr>
      </w:pPr>
    </w:p>
    <w:p>
      <w:pPr>
        <w:ind w:left="340" w:right="459"/>
        <w:spacing w:after="0" w:line="257" w:lineRule="auto"/>
        <w:rPr>
          <w:sz w:val="20"/>
          <w:szCs w:val="20"/>
          <w:color w:val="auto"/>
        </w:rPr>
      </w:pPr>
      <w:r>
        <w:rPr>
          <w:rFonts w:ascii="Times New Roman" w:cs="Times New Roman" w:eastAsia="Times New Roman" w:hAnsi="Times New Roman"/>
          <w:sz w:val="14"/>
          <w:szCs w:val="14"/>
          <w:b w:val="1"/>
          <w:bCs w:val="1"/>
          <w:color w:val="auto"/>
        </w:rPr>
        <w:t>Section 3. Lost, Stolen or Destroyed Certificates</w:t>
      </w:r>
      <w:r>
        <w:rPr>
          <w:rFonts w:ascii="Times New Roman" w:cs="Times New Roman" w:eastAsia="Times New Roman" w:hAnsi="Times New Roman"/>
          <w:sz w:val="14"/>
          <w:szCs w:val="14"/>
          <w:color w:val="auto"/>
        </w:rPr>
        <w:t>. In case any certificate representing shares shall be lost, stolen or destroyed, the Board of Directors,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its discretion, or any officer or officers thereunder duly authorized by the Board of Directors, may authorize the issue of a substitute certificate or substitute shares in uncertificated form in the place of the certificate so lost, stolen or destroyed.</w:t>
      </w:r>
    </w:p>
    <w:p>
      <w:pPr>
        <w:spacing w:after="0" w:line="136" w:lineRule="exact"/>
        <w:rPr>
          <w:sz w:val="20"/>
          <w:szCs w:val="20"/>
          <w:color w:val="auto"/>
        </w:rPr>
      </w:pPr>
    </w:p>
    <w:p>
      <w:pPr>
        <w:ind w:left="340" w:right="399"/>
        <w:spacing w:after="0" w:line="250" w:lineRule="auto"/>
        <w:rPr>
          <w:sz w:val="20"/>
          <w:szCs w:val="20"/>
          <w:color w:val="auto"/>
        </w:rPr>
      </w:pPr>
      <w:r>
        <w:rPr>
          <w:rFonts w:ascii="Times New Roman" w:cs="Times New Roman" w:eastAsia="Times New Roman" w:hAnsi="Times New Roman"/>
          <w:sz w:val="14"/>
          <w:szCs w:val="14"/>
          <w:b w:val="1"/>
          <w:bCs w:val="1"/>
          <w:color w:val="auto"/>
        </w:rPr>
        <w:t>Section 4. Fixing of Record Date</w:t>
      </w:r>
      <w:r>
        <w:rPr>
          <w:rFonts w:ascii="Times New Roman" w:cs="Times New Roman" w:eastAsia="Times New Roman" w:hAnsi="Times New Roman"/>
          <w:sz w:val="14"/>
          <w:szCs w:val="14"/>
          <w:color w:val="auto"/>
        </w:rPr>
        <w:t>. The Board of Directors may set, in advance, a record date for the purpose of determining shareholders entitled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notice of or to vote at any meeting of shareholders or determining shareholders entitled to receive payment of any dividend or the allotment of any other rights, in order to make a determination of shareholders for any other proper purpose. Such date, in any case, shall be the close of business on the day before the first notice is mailed or otherwise sent to the shareholders, provided that in no event may a record date be more than 10 days before the meeting.</w:t>
      </w:r>
    </w:p>
    <w:p>
      <w:pPr>
        <w:spacing w:after="0" w:line="30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1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u w:val="single" w:color="auto"/>
          <w:color w:val="auto"/>
        </w:rPr>
        <w:t>Corporate Seal</w:t>
      </w:r>
    </w:p>
    <w:p>
      <w:pPr>
        <w:spacing w:after="0" w:line="150" w:lineRule="exact"/>
        <w:rPr>
          <w:sz w:val="20"/>
          <w:szCs w:val="20"/>
          <w:color w:val="auto"/>
        </w:rPr>
      </w:pPr>
    </w:p>
    <w:p>
      <w:pPr>
        <w:ind w:left="340" w:right="459"/>
        <w:spacing w:after="0" w:line="252" w:lineRule="auto"/>
        <w:rPr>
          <w:sz w:val="20"/>
          <w:szCs w:val="20"/>
          <w:color w:val="auto"/>
        </w:rPr>
      </w:pPr>
      <w:r>
        <w:rPr>
          <w:rFonts w:ascii="Times New Roman" w:cs="Times New Roman" w:eastAsia="Times New Roman" w:hAnsi="Times New Roman"/>
          <w:sz w:val="14"/>
          <w:szCs w:val="14"/>
          <w:b w:val="1"/>
          <w:bCs w:val="1"/>
          <w:color w:val="auto"/>
        </w:rPr>
        <w:t>Section 1. Seal</w:t>
      </w:r>
      <w:r>
        <w:rPr>
          <w:rFonts w:ascii="Times New Roman" w:cs="Times New Roman" w:eastAsia="Times New Roman" w:hAnsi="Times New Roman"/>
          <w:sz w:val="14"/>
          <w:szCs w:val="14"/>
          <w:color w:val="auto"/>
        </w:rPr>
        <w:t>. The seal of the association shall be in such form as may be determined from time to time by the Board of Directors. The president,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treasurer, the secretary or any assistant treasurer or assistant secretary, or other officer thereunto designated by the Board of Directors shall have authority to affix the corporate seal to any document requiring such seal and to attest the same. The seal on any corporate obligation for the payment of money may be facsimile.</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Miscellaneous Provisions</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Section 1. Fiscal Year</w:t>
      </w:r>
      <w:r>
        <w:rPr>
          <w:rFonts w:ascii="Times New Roman" w:cs="Times New Roman" w:eastAsia="Times New Roman" w:hAnsi="Times New Roman"/>
          <w:sz w:val="14"/>
          <w:szCs w:val="14"/>
          <w:color w:val="auto"/>
        </w:rPr>
        <w:t>. The fiscal year of the association shall be the calendar year.</w:t>
      </w:r>
    </w:p>
    <w:p>
      <w:pPr>
        <w:spacing w:after="0" w:line="166" w:lineRule="exact"/>
        <w:rPr>
          <w:sz w:val="20"/>
          <w:szCs w:val="20"/>
          <w:color w:val="auto"/>
        </w:rPr>
      </w:pPr>
    </w:p>
    <w:p>
      <w:pPr>
        <w:ind w:left="340" w:right="439"/>
        <w:spacing w:after="0" w:line="249" w:lineRule="auto"/>
        <w:rPr>
          <w:sz w:val="20"/>
          <w:szCs w:val="20"/>
          <w:color w:val="auto"/>
        </w:rPr>
      </w:pPr>
      <w:r>
        <w:rPr>
          <w:rFonts w:ascii="Times New Roman" w:cs="Times New Roman" w:eastAsia="Times New Roman" w:hAnsi="Times New Roman"/>
          <w:sz w:val="14"/>
          <w:szCs w:val="14"/>
          <w:b w:val="1"/>
          <w:bCs w:val="1"/>
          <w:color w:val="auto"/>
        </w:rPr>
        <w:t>Section 2. Execution of Instruments</w:t>
      </w:r>
      <w:r>
        <w:rPr>
          <w:rFonts w:ascii="Times New Roman" w:cs="Times New Roman" w:eastAsia="Times New Roman" w:hAnsi="Times New Roman"/>
          <w:sz w:val="14"/>
          <w:szCs w:val="14"/>
          <w:color w:val="auto"/>
        </w:rPr>
        <w:t>. All agreements, indentures, mortgages, deeds, conveyances, transfers, certificates, declarations, receipts,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discharges, releases, satisfactions, settlements, petitions, schedules, accounts, affidavits, bonds, undertakings, proxies and other instruments or documents may be signed, executed, acknowledged, verified, delivered or accepted on behalf of the association by any officer elected or appointed pursuant to Article IV of these Bylaws. Any such instruments may also be executed, acknowledged, verified, delivered or accepted on behalf of the association in such other manner and by such other officers as the Board of Directors may from time to time direct. The provisions of this Section 2 are supplementary to any other provision of these Bylaws.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- 8 -</w:t>
      </w:r>
    </w:p>
    <w:p>
      <w:pPr>
        <w:sectPr>
          <w:pgSz w:w="11900" w:h="16838" w:orient="portrait"/>
          <w:cols w:equalWidth="0" w:num="1">
            <w:col w:w="9019"/>
          </w:cols>
          <w:pgMar w:left="1440" w:top="235" w:right="1440" w:bottom="1440" w:gutter="0" w:footer="0" w:header="0"/>
        </w:sectPr>
      </w:pPr>
    </w:p>
    <w:bookmarkStart w:id="93" w:name="page94"/>
    <w:bookmarkEnd w:id="93"/>
    <w:p>
      <w:pPr>
        <w:ind w:left="340" w:right="559"/>
        <w:spacing w:after="0" w:line="25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204075" cy="31750"/>
                    </a:xfrm>
                    <a:prstGeom prst="rect">
                      <a:avLst/>
                    </a:prstGeom>
                    <a:noFill/>
                  </pic:spPr>
                </pic:pic>
              </a:graphicData>
            </a:graphic>
          </wp:anchor>
        </w:drawing>
        <w:t>Section 3. Records</w:t>
      </w:r>
      <w:r>
        <w:rPr>
          <w:rFonts w:ascii="Times New Roman" w:cs="Times New Roman" w:eastAsia="Times New Roman" w:hAnsi="Times New Roman"/>
          <w:sz w:val="14"/>
          <w:szCs w:val="14"/>
          <w:color w:val="auto"/>
        </w:rPr>
        <w:t>. The Articles of Association, the Bylaws and the proceedings of all meetings of the shareholders, the Board of Directors,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standing committees of the Board of Directors shall be recorded in appropriate minute books provided for that purpose. The minutes of each meeting shall be signed by the secretary, treasurer or other officer appointed to act as secretary of the meeting.</w:t>
      </w:r>
    </w:p>
    <w:p>
      <w:pPr>
        <w:spacing w:after="0" w:line="136" w:lineRule="exact"/>
        <w:rPr>
          <w:sz w:val="20"/>
          <w:szCs w:val="20"/>
          <w:color w:val="auto"/>
        </w:rPr>
      </w:pPr>
    </w:p>
    <w:p>
      <w:pPr>
        <w:jc w:val="both"/>
        <w:ind w:left="340" w:right="379"/>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Section 4. Corporate Governance Procedures. </w:t>
      </w:r>
      <w:r>
        <w:rPr>
          <w:rFonts w:ascii="Times New Roman" w:cs="Times New Roman" w:eastAsia="Times New Roman" w:hAnsi="Times New Roman"/>
          <w:sz w:val="14"/>
          <w:szCs w:val="14"/>
          <w:color w:val="auto"/>
        </w:rPr>
        <w:t>To the extent not inconsistent with federal banking statutes and regulations, or safe and sound banking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practices, the association may follow the Delaware General Corporation Law, Del. Code Ann. tit. 8 (1991, as amended 1994, and as amended thereafter) with respect to matters of corporate governance procedures.</w:t>
      </w:r>
    </w:p>
    <w:p>
      <w:pPr>
        <w:spacing w:after="0" w:line="136" w:lineRule="exact"/>
        <w:rPr>
          <w:sz w:val="20"/>
          <w:szCs w:val="20"/>
          <w:color w:val="auto"/>
        </w:rPr>
      </w:pPr>
    </w:p>
    <w:p>
      <w:pPr>
        <w:ind w:left="340" w:right="599"/>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Section 5. Indemnification. </w:t>
      </w:r>
      <w:r>
        <w:rPr>
          <w:rFonts w:ascii="Times New Roman" w:cs="Times New Roman" w:eastAsia="Times New Roman" w:hAnsi="Times New Roman"/>
          <w:sz w:val="14"/>
          <w:szCs w:val="14"/>
          <w:color w:val="auto"/>
        </w:rPr>
        <w:t>For purposes of this Section 5 of Article VIII, the term “institution-affiliated party” shall mean any institution-affiliated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party of the association as such term is defined in 12 U.S.C. 1813(u).</w:t>
      </w:r>
    </w:p>
    <w:p>
      <w:pPr>
        <w:spacing w:after="0" w:line="132" w:lineRule="exact"/>
        <w:rPr>
          <w:sz w:val="20"/>
          <w:szCs w:val="20"/>
          <w:color w:val="auto"/>
        </w:rPr>
      </w:pPr>
    </w:p>
    <w:p>
      <w:pPr>
        <w:ind w:left="340" w:right="359"/>
        <w:spacing w:after="0" w:line="245" w:lineRule="auto"/>
        <w:rPr>
          <w:sz w:val="20"/>
          <w:szCs w:val="20"/>
          <w:color w:val="auto"/>
        </w:rPr>
      </w:pPr>
      <w:r>
        <w:rPr>
          <w:rFonts w:ascii="Times New Roman" w:cs="Times New Roman" w:eastAsia="Times New Roman" w:hAnsi="Times New Roman"/>
          <w:sz w:val="14"/>
          <w:szCs w:val="14"/>
          <w:color w:val="auto"/>
        </w:rPr>
        <w:t>Any institution-affiliated party (or his or her heirs, executors or administrators) may be indemnified or reimbursed by the association for reasonable expenses actually incurred in connection with any threatened, pending or completed actions or proceedings and appeals therein, whether civil, criminal, governmental, administrative or investigative, in accordance with and to the fullest extent permitted by law, as such law now or hereafter exists; provided, however, that when an administrative proceeding or action instituted by a federal banking agency results in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then the association shall require the repayment of all legal fees and expenses advanced pursuant to the next succeeding paragraph and may not indemnify such institution-affiliated parties (or their heirs, executors or administrators) for expenses, including expenses for legal fees, penalties or other payments incurred. The association shall provide indemnification in connection with an action or proceeding (or part thereof) initiated by an institution-affiliated party (or by his or her heirs, executors or administrators) only if such action or proceeding (or part thereof) was authorized by the Board of Directors.</w:t>
      </w:r>
    </w:p>
    <w:p>
      <w:pPr>
        <w:spacing w:after="0" w:line="153" w:lineRule="exact"/>
        <w:rPr>
          <w:sz w:val="20"/>
          <w:szCs w:val="20"/>
          <w:color w:val="auto"/>
        </w:rPr>
      </w:pPr>
    </w:p>
    <w:p>
      <w:pPr>
        <w:ind w:left="340" w:right="379"/>
        <w:spacing w:after="0" w:line="247" w:lineRule="auto"/>
        <w:rPr>
          <w:sz w:val="20"/>
          <w:szCs w:val="20"/>
          <w:color w:val="auto"/>
        </w:rPr>
      </w:pPr>
      <w:r>
        <w:rPr>
          <w:rFonts w:ascii="Times New Roman" w:cs="Times New Roman" w:eastAsia="Times New Roman" w:hAnsi="Times New Roman"/>
          <w:sz w:val="14"/>
          <w:szCs w:val="14"/>
          <w:color w:val="auto"/>
        </w:rPr>
        <w:t>Expenses incurred by an institution-affiliated party (or by his or her heirs, executors or administrators) in connection with any action or proceeding under 12 U.S.C. 164 or 1818 may be paid by the association in advance of the final disposition of such action or proceeding upon (a) a determination by the Board of Directors acting by a quorum consisting of directors who are not parties to such action or proceeding that the institution-affiliated party (or his or her heirs, executors or administrators) has a reasonable basis for prevailing on the merits, (b) a determination that the indemnified individual (or his or her heirs, executors or administrators) will have the financial capacity to reimburse the association in the event he or she does not prevail, (c) a determination that the payment of expenses and fees by the association will not adversely affect the safety and soundness of the association, and (d) receipt of an undertaking by</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- 9 -</w:t>
      </w:r>
    </w:p>
    <w:p>
      <w:pPr>
        <w:sectPr>
          <w:pgSz w:w="11900" w:h="16838" w:orient="portrait"/>
          <w:cols w:equalWidth="0" w:num="1">
            <w:col w:w="9019"/>
          </w:cols>
          <w:pgMar w:left="1440" w:top="235" w:right="1440" w:bottom="1440" w:gutter="0" w:footer="0" w:header="0"/>
        </w:sectPr>
      </w:pPr>
    </w:p>
    <w:bookmarkStart w:id="94" w:name="page95"/>
    <w:bookmarkEnd w:id="94"/>
    <w:p>
      <w:pPr>
        <w:ind w:left="340" w:right="37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or on behalf of such institution-affiliated party (or by his or her heirs, executors or administrators) to repay such advancement in the event of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In all other instances, expenses incurred by an institution-affiliated party (or by his or her heirs, executors or administrators) in connection with any action or proceeding as to which indemnification may be given under the Articles of Association may be paid by the association in advance of the final disposition of such action or proceeding upon (a) receipt of an undertaking by or on behalf of such institution-affiliated party (or by or on behalf of his or her heirs, executors or administrators) to repay such advancement in the event that such institution- affiliated party (or his or her heirs, executors or administrators) is ultimately found not to be entitled to indemnification as authorized by these Bylaws and</w:t>
      </w:r>
    </w:p>
    <w:p>
      <w:pPr>
        <w:spacing w:after="0" w:line="4" w:lineRule="exact"/>
        <w:rPr>
          <w:sz w:val="20"/>
          <w:szCs w:val="20"/>
          <w:color w:val="auto"/>
        </w:rPr>
      </w:pPr>
    </w:p>
    <w:p>
      <w:pPr>
        <w:ind w:left="340" w:right="359" w:hanging="3"/>
        <w:spacing w:after="0" w:line="244" w:lineRule="auto"/>
        <w:tabs>
          <w:tab w:leader="none" w:pos="533"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the Board of Directors acting by a quorum consisting of directors who are not parties to such action or proceeding or, if such a quorum is not obtainable, then approval by shareholders. To the extent permitted by law, the Board of Directors or, if applicable, the shareholders, shall not be required to find that the institution-affiliated party has met the applicable standard of conduct provided by law for indemnification in connection with such action or proceeding.</w:t>
      </w:r>
    </w:p>
    <w:p>
      <w:pPr>
        <w:spacing w:after="0" w:line="150" w:lineRule="exact"/>
        <w:rPr>
          <w:sz w:val="20"/>
          <w:szCs w:val="20"/>
          <w:color w:val="auto"/>
        </w:rPr>
      </w:pPr>
    </w:p>
    <w:p>
      <w:pPr>
        <w:ind w:left="340" w:right="379"/>
        <w:spacing w:after="0" w:line="248" w:lineRule="auto"/>
        <w:rPr>
          <w:sz w:val="20"/>
          <w:szCs w:val="20"/>
          <w:color w:val="auto"/>
        </w:rPr>
      </w:pPr>
      <w:r>
        <w:rPr>
          <w:rFonts w:ascii="Times New Roman" w:cs="Times New Roman" w:eastAsia="Times New Roman" w:hAnsi="Times New Roman"/>
          <w:sz w:val="14"/>
          <w:szCs w:val="14"/>
          <w:color w:val="auto"/>
        </w:rPr>
        <w:t>In the event that a majority of the members of the Board of Directors are named as respondents in an administrative proceeding or civil action and request indemnification, the remaining members of the Board may authorize independent legal counsel to review the indemnification request and provide the remaining members of the Board with a written opinion of counsel as to whether the conditions delineated in the first four paragraphs of this Section 5 of Article VIII have been met. If independent legal counsel opines that said conditions have been met, the remaining members of the Board of Directors may rely on such opinion in authorizing the requested indemnification.</w:t>
      </w:r>
    </w:p>
    <w:p>
      <w:pPr>
        <w:spacing w:after="0" w:line="149" w:lineRule="exact"/>
        <w:rPr>
          <w:sz w:val="20"/>
          <w:szCs w:val="20"/>
          <w:color w:val="auto"/>
        </w:rPr>
      </w:pPr>
    </w:p>
    <w:p>
      <w:pPr>
        <w:ind w:left="340" w:right="379"/>
        <w:spacing w:after="0" w:line="250" w:lineRule="auto"/>
        <w:rPr>
          <w:sz w:val="20"/>
          <w:szCs w:val="20"/>
          <w:color w:val="auto"/>
        </w:rPr>
      </w:pPr>
      <w:r>
        <w:rPr>
          <w:rFonts w:ascii="Times New Roman" w:cs="Times New Roman" w:eastAsia="Times New Roman" w:hAnsi="Times New Roman"/>
          <w:sz w:val="14"/>
          <w:szCs w:val="14"/>
          <w:color w:val="auto"/>
        </w:rPr>
        <w:t>In the event that all of the members of the Board of Directors are named as respondents in an administrative proceeding or civil action and request indemnification, the Board shall authorize independent legal counsel to review the indemnification request and provide the Board with a written opinion of counsel as to whether the conditions delineated in the first four paragraphs of this Section 5 of Article VIII have been met. If legal counsel opines that said conditions have been met, the Board of Directors may rely on such opinion in authorizing the requested indemnification.</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To the extent permitted under applicable law, the rights of indemnification and to the advancement of expenses provided in the Articles of Association</w:t>
      </w:r>
    </w:p>
    <w:p>
      <w:pPr>
        <w:spacing w:after="0" w:line="37" w:lineRule="exact"/>
        <w:rPr>
          <w:sz w:val="20"/>
          <w:szCs w:val="20"/>
          <w:color w:val="auto"/>
        </w:rPr>
      </w:pPr>
    </w:p>
    <w:p>
      <w:pPr>
        <w:ind w:left="340" w:right="359" w:hanging="3"/>
        <w:spacing w:after="0" w:line="295" w:lineRule="auto"/>
        <w:tabs>
          <w:tab w:leader="none" w:pos="525"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 available with respect to events occurring prior to the adoption of these Bylaws, (b) shall continue to exist after any restrictive amendment of these Bylaws with respect to events occurring prior to such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association and the institution-affiliated party (or his or her heirs, executors or administrators) for whom such rights are sought were parties to a separate written agreement.</w:t>
      </w:r>
    </w:p>
    <w:p>
      <w:pPr>
        <w:spacing w:after="0" w:line="69" w:lineRule="exact"/>
        <w:rPr>
          <w:rFonts w:ascii="Times New Roman" w:cs="Times New Roman" w:eastAsia="Times New Roman" w:hAnsi="Times New Roman"/>
          <w:sz w:val="12"/>
          <w:szCs w:val="12"/>
          <w:color w:val="auto"/>
        </w:rPr>
      </w:pPr>
    </w:p>
    <w:p>
      <w:pPr>
        <w:ind w:left="4440" w:hanging="83"/>
        <w:spacing w:after="0"/>
        <w:tabs>
          <w:tab w:leader="none" w:pos="444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w:t>
      </w:r>
    </w:p>
    <w:p>
      <w:pPr>
        <w:sectPr>
          <w:pgSz w:w="11900" w:h="16838" w:orient="portrait"/>
          <w:cols w:equalWidth="0" w:num="1">
            <w:col w:w="9019"/>
          </w:cols>
          <w:pgMar w:left="1440" w:top="239" w:right="1440" w:bottom="1440" w:gutter="0" w:footer="0" w:header="0"/>
        </w:sectPr>
      </w:pPr>
    </w:p>
    <w:bookmarkStart w:id="95" w:name="page96"/>
    <w:bookmarkEnd w:id="95"/>
    <w:p>
      <w:pPr>
        <w:ind w:left="340" w:right="359"/>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204075" cy="31750"/>
                    </a:xfrm>
                    <a:prstGeom prst="rect">
                      <a:avLst/>
                    </a:prstGeom>
                    <a:noFill/>
                  </pic:spPr>
                </pic:pic>
              </a:graphicData>
            </a:graphic>
          </wp:anchor>
        </w:drawing>
        <w:t>The rights of indemnification and to the advancement of expenses provided in these Bylaws shall not, to the extent permitted under applicable law, be deemed exclusive of any other rights to which any such institution-affiliated party (or his or her heirs, executors or administrators) may now or hereafter be otherwise entitled whether contained in the association’s Articles of Association, these Bylaws, a resolution of shareholders, a resolution of the Board of Directors, or an agreement providing such indemnification, the creation of such other rights being hereby expressly authorized. Without limiting the generality of the foregoing, the rights of indemnification and to the advancement of expenses provided in these Bylaws shall not be deemed exclusive of any rights, pursuant to statute or otherwise, of any such institution-affiliated party (or of his or her heirs, executors or administrators) in any such action or proceeding to have assessed or allowed in his or her favor, against the association or otherwise, his or her costs and expenses incurred therein or in connection therewith or any part thereof.</w:t>
      </w:r>
    </w:p>
    <w:p>
      <w:pPr>
        <w:spacing w:after="0" w:line="150" w:lineRule="exact"/>
        <w:rPr>
          <w:sz w:val="20"/>
          <w:szCs w:val="20"/>
          <w:color w:val="auto"/>
        </w:rPr>
      </w:pPr>
    </w:p>
    <w:p>
      <w:pPr>
        <w:jc w:val="both"/>
        <w:ind w:left="340" w:right="619"/>
        <w:spacing w:after="0" w:line="349" w:lineRule="auto"/>
        <w:rPr>
          <w:sz w:val="20"/>
          <w:szCs w:val="20"/>
          <w:color w:val="auto"/>
        </w:rPr>
      </w:pPr>
      <w:r>
        <w:rPr>
          <w:rFonts w:ascii="Times New Roman" w:cs="Times New Roman" w:eastAsia="Times New Roman" w:hAnsi="Times New Roman"/>
          <w:sz w:val="12"/>
          <w:szCs w:val="12"/>
          <w:color w:val="auto"/>
        </w:rPr>
        <w:t>If this Section 5 of Article VIII or any part hereof shall be held unenforceable in any respect by a court of competent jurisdiction, it shall be deemed modified to the minimum extent necessary to make it enforceable, and the remainder of this Section 5 of Article VIII shall remain fully enforceable.</w:t>
      </w:r>
    </w:p>
    <w:p>
      <w:pPr>
        <w:spacing w:after="0" w:line="89" w:lineRule="exact"/>
        <w:rPr>
          <w:sz w:val="20"/>
          <w:szCs w:val="20"/>
          <w:color w:val="auto"/>
        </w:rPr>
      </w:pPr>
    </w:p>
    <w:p>
      <w:pPr>
        <w:jc w:val="both"/>
        <w:ind w:left="340" w:right="359"/>
        <w:spacing w:after="0" w:line="250" w:lineRule="auto"/>
        <w:rPr>
          <w:sz w:val="20"/>
          <w:szCs w:val="20"/>
          <w:color w:val="auto"/>
        </w:rPr>
      </w:pPr>
      <w:r>
        <w:rPr>
          <w:rFonts w:ascii="Times New Roman" w:cs="Times New Roman" w:eastAsia="Times New Roman" w:hAnsi="Times New Roman"/>
          <w:sz w:val="14"/>
          <w:szCs w:val="14"/>
          <w:color w:val="auto"/>
        </w:rPr>
        <w:t>The association may, upon affirmative vote of a majority of its Board of Directors, purchase insurance to indemnify its institution-affiliated parties to the extent that such indemnification is allowed in these Bylaws; provided, however, that no such insurance shall include coverage for a final order assessing civil money penalties against such persons by a bank regulatory agency. Such insurance may, but need not, be for the benefit of all institution- affiliated parties.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Inspection and Amendments</w:t>
      </w:r>
    </w:p>
    <w:p>
      <w:pPr>
        <w:spacing w:after="0" w:line="150" w:lineRule="exact"/>
        <w:rPr>
          <w:sz w:val="20"/>
          <w:szCs w:val="20"/>
          <w:color w:val="auto"/>
        </w:rPr>
      </w:pPr>
    </w:p>
    <w:p>
      <w:pPr>
        <w:jc w:val="both"/>
        <w:ind w:left="340" w:right="359"/>
        <w:spacing w:after="0" w:line="270" w:lineRule="auto"/>
        <w:rPr>
          <w:sz w:val="20"/>
          <w:szCs w:val="20"/>
          <w:color w:val="auto"/>
        </w:rPr>
      </w:pPr>
      <w:r>
        <w:rPr>
          <w:rFonts w:ascii="Times New Roman" w:cs="Times New Roman" w:eastAsia="Times New Roman" w:hAnsi="Times New Roman"/>
          <w:sz w:val="14"/>
          <w:szCs w:val="14"/>
          <w:b w:val="1"/>
          <w:bCs w:val="1"/>
          <w:color w:val="auto"/>
        </w:rPr>
        <w:t>Section 1. Inspection</w:t>
      </w:r>
      <w:r>
        <w:rPr>
          <w:rFonts w:ascii="Times New Roman" w:cs="Times New Roman" w:eastAsia="Times New Roman" w:hAnsi="Times New Roman"/>
          <w:sz w:val="14"/>
          <w:szCs w:val="14"/>
          <w:color w:val="auto"/>
        </w:rPr>
        <w:t>. A copy of the bylaws of the association, with all amendments, shall at all times be kept in a convenient place at the main office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association, and shall be open for inspection to all shareholders during banking hours.</w:t>
      </w:r>
    </w:p>
    <w:p>
      <w:pPr>
        <w:spacing w:after="0" w:line="128" w:lineRule="exact"/>
        <w:rPr>
          <w:sz w:val="20"/>
          <w:szCs w:val="20"/>
          <w:color w:val="auto"/>
        </w:rPr>
      </w:pPr>
    </w:p>
    <w:p>
      <w:pPr>
        <w:ind w:left="340" w:right="419"/>
        <w:spacing w:after="0" w:line="257" w:lineRule="auto"/>
        <w:rPr>
          <w:sz w:val="20"/>
          <w:szCs w:val="20"/>
          <w:color w:val="auto"/>
        </w:rPr>
      </w:pPr>
      <w:r>
        <w:rPr>
          <w:rFonts w:ascii="Times New Roman" w:cs="Times New Roman" w:eastAsia="Times New Roman" w:hAnsi="Times New Roman"/>
          <w:sz w:val="14"/>
          <w:szCs w:val="14"/>
          <w:b w:val="1"/>
          <w:bCs w:val="1"/>
          <w:color w:val="auto"/>
        </w:rPr>
        <w:t>Section 2. Amendments</w:t>
      </w:r>
      <w:r>
        <w:rPr>
          <w:rFonts w:ascii="Times New Roman" w:cs="Times New Roman" w:eastAsia="Times New Roman" w:hAnsi="Times New Roman"/>
          <w:sz w:val="14"/>
          <w:szCs w:val="14"/>
          <w:color w:val="auto"/>
        </w:rPr>
        <w:t>. The Board of Directors shall have the power, at any regular or special meeting thereof, to amend, alter or repeal the bylaws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association, or to make and adopt new bylaws. These Bylaws may be amended, altered or repealed and new bylaws may be adopted by the shareholders of the association to the extent and as permitted in the Articles of Association or applicable law.</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- 11 -</w:t>
      </w:r>
    </w:p>
    <w:p>
      <w:pPr>
        <w:sectPr>
          <w:pgSz w:w="11900" w:h="16838" w:orient="portrait"/>
          <w:cols w:equalWidth="0" w:num="1">
            <w:col w:w="9019"/>
          </w:cols>
          <w:pgMar w:left="1440" w:top="239" w:right="1440"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EXHIBIT 6</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321(b) Consent</w:t>
      </w:r>
    </w:p>
    <w:p>
      <w:pPr>
        <w:spacing w:after="0" w:line="170" w:lineRule="exact"/>
        <w:rPr>
          <w:sz w:val="20"/>
          <w:szCs w:val="20"/>
          <w:color w:val="auto"/>
        </w:rPr>
      </w:pPr>
    </w:p>
    <w:p>
      <w:pPr>
        <w:ind w:left="340" w:right="399"/>
        <w:spacing w:after="0" w:line="254" w:lineRule="auto"/>
        <w:rPr>
          <w:sz w:val="20"/>
          <w:szCs w:val="20"/>
          <w:color w:val="auto"/>
        </w:rPr>
      </w:pPr>
      <w:r>
        <w:rPr>
          <w:rFonts w:ascii="Times New Roman" w:cs="Times New Roman" w:eastAsia="Times New Roman" w:hAnsi="Times New Roman"/>
          <w:sz w:val="14"/>
          <w:szCs w:val="14"/>
          <w:color w:val="auto"/>
        </w:rPr>
        <w:t>Pursuant to Section 321(b) of the Trust Indenture Act of 1939, as amended, Wilmington Trust, National Association hereby consents that reports of examinations by Federal, State, Territorial or District authorities may be furnished by such authorities to the Securities and Exchange Commission upon requests therefor.</w:t>
      </w:r>
    </w:p>
    <w:p>
      <w:pPr>
        <w:spacing w:after="0" w:line="15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WILMINGTON TRUST, NATIONAL ASSOCIATION</w:t>
      </w:r>
    </w:p>
    <w:p>
      <w:pPr>
        <w:spacing w:after="0" w:line="170" w:lineRule="exact"/>
        <w:rPr>
          <w:sz w:val="20"/>
          <w:szCs w:val="20"/>
          <w:color w:val="auto"/>
        </w:rPr>
      </w:pPr>
    </w:p>
    <w:p>
      <w:pPr>
        <w:ind w:left="340"/>
        <w:spacing w:after="0"/>
        <w:tabs>
          <w:tab w:leader="none" w:pos="4580" w:val="left"/>
          <w:tab w:leader="none" w:pos="4900" w:val="left"/>
        </w:tabs>
        <w:rPr>
          <w:sz w:val="20"/>
          <w:szCs w:val="20"/>
          <w:color w:val="auto"/>
        </w:rPr>
      </w:pPr>
      <w:r>
        <w:rPr>
          <w:rFonts w:ascii="Times New Roman" w:cs="Times New Roman" w:eastAsia="Times New Roman" w:hAnsi="Times New Roman"/>
          <w:sz w:val="14"/>
          <w:szCs w:val="14"/>
          <w:color w:val="auto"/>
        </w:rPr>
        <w:t>Dated: June 9,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2"/>
          <w:szCs w:val="12"/>
          <w:color w:val="auto"/>
        </w:rPr>
        <w:t>/s/ Sarah Vilhauer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9525</wp:posOffset>
            </wp:positionV>
            <wp:extent cx="237998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2379980" cy="6350"/>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Name: Sarah Vilhauer</w:t>
      </w:r>
    </w:p>
    <w:p>
      <w:pPr>
        <w:spacing w:after="0" w:line="1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Title: Vice President</w:t>
      </w:r>
    </w:p>
    <w:p>
      <w:pPr>
        <w:sectPr>
          <w:pgSz w:w="11900" w:h="16838" w:orient="portrait"/>
          <w:cols w:equalWidth="0" w:num="1">
            <w:col w:w="9019"/>
          </w:cols>
          <w:pgMar w:left="1440" w:top="235" w:right="1440" w:bottom="1440" w:gutter="0" w:footer="0" w:header="0"/>
        </w:sectPr>
      </w:pPr>
    </w:p>
    <w:bookmarkStart w:id="97" w:name="page98"/>
    <w:bookmarkEnd w:id="97"/>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204075" cy="31750"/>
                    </a:xfrm>
                    <a:prstGeom prst="rect">
                      <a:avLst/>
                    </a:prstGeom>
                    <a:noFill/>
                  </pic:spPr>
                </pic:pic>
              </a:graphicData>
            </a:graphic>
          </wp:anchor>
        </w:drawing>
        <w:t>EXHIBIT 7</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CONDITION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WILMINGTON TRUST, NATIONAL ASSOCIATION</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of the close of business on March 31, 2026</w:t>
      </w:r>
    </w:p>
    <w:p>
      <w:pPr>
        <w:spacing w:after="0" w:line="199" w:lineRule="exact"/>
        <w:rPr>
          <w:sz w:val="20"/>
          <w:szCs w:val="20"/>
          <w:color w:val="auto"/>
        </w:rPr>
      </w:pPr>
    </w:p>
    <w:tbl>
      <w:tblPr>
        <w:tblLayout w:type="fixed"/>
        <w:tblInd w:w="340" w:type="dxa"/>
        <w:tblCellMar>
          <w:top w:w="0" w:type="dxa"/>
          <w:left w:w="0" w:type="dxa"/>
          <w:bottom w:w="0" w:type="dxa"/>
          <w:right w:w="0" w:type="dxa"/>
        </w:tblCellMar>
      </w:tblPr>
      <w:tr>
        <w:trPr>
          <w:trHeight w:val="16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 of Dollars</w:t>
            </w:r>
          </w:p>
        </w:tc>
      </w:tr>
      <w:tr>
        <w:trPr>
          <w:trHeight w:val="163"/>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639,459</w:t>
            </w:r>
          </w:p>
        </w:tc>
      </w:tr>
      <w:tr>
        <w:trPr>
          <w:trHeight w:val="16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w:t>
            </w:r>
          </w:p>
        </w:tc>
      </w:tr>
      <w:tr>
        <w:trPr>
          <w:trHeight w:val="163"/>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 to resell:</w:t>
            </w: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3"/>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Loans and leases net of unearned income, allowance:</w:t>
            </w: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24,999</w:t>
            </w:r>
          </w:p>
        </w:tc>
      </w:tr>
      <w:tr>
        <w:trPr>
          <w:trHeight w:val="16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 and fixed asset</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24,578</w:t>
            </w:r>
          </w:p>
        </w:tc>
      </w:tr>
      <w:tr>
        <w:trPr>
          <w:trHeight w:val="163"/>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3"/>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3"/>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69,365</w:t>
            </w:r>
          </w:p>
        </w:tc>
      </w:tr>
      <w:tr>
        <w:trPr>
          <w:trHeight w:val="16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759,503</w:t>
            </w:r>
          </w:p>
        </w:tc>
      </w:tr>
    </w:tbl>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6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 of Dollars</w:t>
            </w:r>
          </w:p>
        </w:tc>
      </w:tr>
      <w:tr>
        <w:trPr>
          <w:trHeight w:val="163"/>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Deposits</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4,991</w:t>
            </w:r>
          </w:p>
        </w:tc>
      </w:tr>
      <w:tr>
        <w:trPr>
          <w:trHeight w:val="16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3"/>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81,411</w:t>
            </w:r>
          </w:p>
        </w:tc>
      </w:tr>
      <w:tr>
        <w:trPr>
          <w:trHeight w:val="163"/>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86,402</w:t>
            </w:r>
          </w:p>
        </w:tc>
      </w:tr>
      <w:tr>
        <w:trPr>
          <w:trHeight w:val="163"/>
        </w:trPr>
        <w:tc>
          <w:tcPr>
            <w:tcW w:w="55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63"/>
        </w:trPr>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EQUITY CAPITAL</w:t>
            </w:r>
          </w:p>
        </w:tc>
        <w:tc>
          <w:tcPr>
            <w:tcW w:w="3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Surplus</w:t>
            </w:r>
          </w:p>
        </w:tc>
        <w:tc>
          <w:tcPr>
            <w:tcW w:w="3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362,780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309,320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3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Equity Capital</w:t>
            </w: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673,101</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6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Equity Capital</w:t>
            </w: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759,503</w:t>
            </w:r>
          </w:p>
        </w:tc>
        <w:tc>
          <w:tcPr>
            <w:tcW w:w="0" w:type="dxa"/>
            <w:vAlign w:val="bottom"/>
          </w:tcPr>
          <w:p>
            <w:pPr>
              <w:spacing w:after="0"/>
              <w:rPr>
                <w:sz w:val="1"/>
                <w:szCs w:val="1"/>
                <w:color w:val="auto"/>
              </w:rPr>
            </w:pPr>
          </w:p>
        </w:tc>
      </w:tr>
    </w:tbl>
    <w:p>
      <w:pPr>
        <w:sectPr>
          <w:pgSz w:w="11900" w:h="16838" w:orient="portrait"/>
          <w:cols w:equalWidth="0" w:num="1">
            <w:col w:w="9019"/>
          </w:cols>
          <w:pgMar w:left="1440" w:top="235" w:right="1440" w:bottom="1440" w:gutter="0" w:footer="0" w:header="0"/>
        </w:sectPr>
      </w:pPr>
    </w:p>
    <w:bookmarkStart w:id="98" w:name="page99"/>
    <w:bookmarkEnd w:id="98"/>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LETTER TO DTC PARTICIPANTS REGARDING THE OFFER TO EXCHANGE</w:t>
      </w:r>
    </w:p>
    <w:p>
      <w:pPr>
        <w:spacing w:after="0" w:line="16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Up to $3,249,984,000 3.137% Senior Notes due 2035</w:t>
      </w:r>
    </w:p>
    <w:p>
      <w:pPr>
        <w:spacing w:after="0" w:line="1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Up to $2,750,000,000 3.187% Senior Notes due 2036</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p>
      <w:pPr>
        <w:spacing w:after="0" w:line="16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$3,249,984,000 3.137% Senior Notes due 2035</w:t>
      </w:r>
    </w:p>
    <w:p>
      <w:pPr>
        <w:spacing w:after="0" w:line="1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$2,750,000,000 3.187% Senior Notes due 2036</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BROADCOM INC.</w:t>
      </w:r>
    </w:p>
    <w:p>
      <w:pPr>
        <w:spacing w:after="0" w:line="154" w:lineRule="exact"/>
        <w:rPr>
          <w:sz w:val="20"/>
          <w:szCs w:val="20"/>
          <w:color w:val="auto"/>
        </w:rPr>
      </w:pPr>
    </w:p>
    <w:tbl>
      <w:tblPr>
        <w:tblLayout w:type="fixed"/>
        <w:tblInd w:w="2000" w:type="dxa"/>
        <w:tblCellMar>
          <w:top w:w="0" w:type="dxa"/>
          <w:left w:w="0" w:type="dxa"/>
          <w:bottom w:w="0" w:type="dxa"/>
          <w:right w:w="0" w:type="dxa"/>
        </w:tblCellMar>
      </w:tblPr>
      <w:tr>
        <w:trPr>
          <w:trHeight w:val="179"/>
        </w:trPr>
        <w:tc>
          <w:tcPr>
            <w:tcW w:w="366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w w:val="98"/>
              </w:rPr>
              <w:t xml:space="preserve">PURSUANT TO THE PROSPECTUS DATED     </w:t>
            </w:r>
          </w:p>
        </w:tc>
        <w:tc>
          <w:tcPr>
            <w:tcW w:w="1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 2026</w:t>
            </w:r>
          </w:p>
        </w:tc>
      </w:tr>
      <w:tr>
        <w:trPr>
          <w:trHeight w:val="347"/>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144A CUSIPS:</w:t>
            </w:r>
          </w:p>
        </w:tc>
        <w:tc>
          <w:tcPr>
            <w:tcW w:w="14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w w:val="95"/>
              </w:rPr>
              <w:t>Reg S CUSIPS:</w:t>
            </w:r>
          </w:p>
        </w:tc>
      </w:tr>
      <w:tr>
        <w:trPr>
          <w:trHeight w:val="311"/>
        </w:trPr>
        <w:tc>
          <w:tcPr>
            <w:tcW w:w="3660" w:type="dxa"/>
            <w:vAlign w:val="bottom"/>
          </w:tcPr>
          <w:p>
            <w:pPr>
              <w:jc w:val="center"/>
              <w:ind w:right="2712"/>
              <w:spacing w:after="0"/>
              <w:rPr>
                <w:sz w:val="20"/>
                <w:szCs w:val="20"/>
                <w:color w:val="auto"/>
              </w:rPr>
            </w:pPr>
            <w:r>
              <w:rPr>
                <w:rFonts w:ascii="Times New Roman" w:cs="Times New Roman" w:eastAsia="Times New Roman" w:hAnsi="Times New Roman"/>
                <w:sz w:val="14"/>
                <w:szCs w:val="14"/>
                <w:b w:val="1"/>
                <w:bCs w:val="1"/>
                <w:color w:val="auto"/>
                <w:w w:val="94"/>
              </w:rPr>
              <w:t>11135F BP5</w:t>
            </w:r>
          </w:p>
        </w:tc>
        <w:tc>
          <w:tcPr>
            <w:tcW w:w="1440" w:type="dxa"/>
            <w:vAlign w:val="bottom"/>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w w:val="95"/>
              </w:rPr>
              <w:t>U1109M AW6</w:t>
            </w:r>
          </w:p>
        </w:tc>
      </w:tr>
      <w:tr>
        <w:trPr>
          <w:trHeight w:val="179"/>
        </w:trPr>
        <w:tc>
          <w:tcPr>
            <w:tcW w:w="3660" w:type="dxa"/>
            <w:vAlign w:val="bottom"/>
          </w:tcPr>
          <w:p>
            <w:pPr>
              <w:jc w:val="center"/>
              <w:ind w:right="2712"/>
              <w:spacing w:after="0"/>
              <w:rPr>
                <w:sz w:val="20"/>
                <w:szCs w:val="20"/>
                <w:color w:val="auto"/>
              </w:rPr>
            </w:pPr>
            <w:r>
              <w:rPr>
                <w:rFonts w:ascii="Times New Roman" w:cs="Times New Roman" w:eastAsia="Times New Roman" w:hAnsi="Times New Roman"/>
                <w:sz w:val="14"/>
                <w:szCs w:val="14"/>
                <w:b w:val="1"/>
                <w:bCs w:val="1"/>
                <w:color w:val="auto"/>
                <w:w w:val="96"/>
              </w:rPr>
              <w:t>11135F BQ3</w:t>
            </w:r>
          </w:p>
        </w:tc>
        <w:tc>
          <w:tcPr>
            <w:tcW w:w="1440" w:type="dxa"/>
            <w:vAlign w:val="bottom"/>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w w:val="95"/>
              </w:rPr>
              <w:t>U1109M AX4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172720</wp:posOffset>
            </wp:positionV>
            <wp:extent cx="5297805" cy="2717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5297805" cy="271780"/>
                    </a:xfrm>
                    <a:prstGeom prst="rect">
                      <a:avLst/>
                    </a:prstGeom>
                    <a:noFill/>
                  </pic:spPr>
                </pic:pic>
              </a:graphicData>
            </a:graphic>
          </wp:anchor>
        </w:drawing>
      </w:r>
    </w:p>
    <w:p>
      <w:pPr>
        <w:spacing w:after="0" w:line="281" w:lineRule="exact"/>
        <w:rPr>
          <w:sz w:val="20"/>
          <w:szCs w:val="20"/>
          <w:color w:val="auto"/>
        </w:rPr>
      </w:pPr>
    </w:p>
    <w:p>
      <w:pPr>
        <w:ind w:left="440" w:right="499"/>
        <w:spacing w:after="0" w:line="270" w:lineRule="auto"/>
        <w:rPr>
          <w:sz w:val="20"/>
          <w:szCs w:val="20"/>
          <w:color w:val="auto"/>
        </w:rPr>
      </w:pPr>
      <w:r>
        <w:rPr>
          <w:rFonts w:ascii="Times New Roman" w:cs="Times New Roman" w:eastAsia="Times New Roman" w:hAnsi="Times New Roman"/>
          <w:sz w:val="14"/>
          <w:szCs w:val="14"/>
          <w:b w:val="1"/>
          <w:bCs w:val="1"/>
          <w:color w:val="auto"/>
        </w:rPr>
        <w:t>THE EXCHANGE OFFER AND WITHDRAWAL RIGHTS WILL EXPIRE AT 5:00 P.M., NEW YORK CITY TIME, ON         , 2026, UNLESS EXTENDED (THE “EXPIRATION DATE”).</w:t>
      </w:r>
    </w:p>
    <w:p>
      <w:pPr>
        <w:sectPr>
          <w:pgSz w:w="11900" w:h="16838" w:orient="portrait"/>
          <w:cols w:equalWidth="0" w:num="1">
            <w:col w:w="9019"/>
          </w:cols>
          <w:pgMar w:left="1440" w:top="123" w:right="1440" w:bottom="1440" w:gutter="0" w:footer="0" w:header="0"/>
        </w:sectPr>
      </w:pPr>
    </w:p>
    <w:bookmarkStart w:id="99" w:name="page100"/>
    <w:bookmarkEnd w:id="99"/>
    <w:p>
      <w:pPr>
        <w:jc w:val="right"/>
        <w:ind w:right="33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204075" cy="31750"/>
                    </a:xfrm>
                    <a:prstGeom prst="rect">
                      <a:avLst/>
                    </a:prstGeom>
                    <a:noFill/>
                  </pic:spPr>
                </pic:pic>
              </a:graphicData>
            </a:graphic>
          </wp:anchor>
        </w:drawing>
        <w:t>[DATE]</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 Securities Dealers, Commercial Banks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Trust Companies and Other Nominees:</w:t>
      </w:r>
    </w:p>
    <w:p>
      <w:pPr>
        <w:spacing w:after="0" w:line="166"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Enclosed for your consideration is a prospectus dated         , 2026 (the “Prospectus”) that constitutes the offer (the “Exchange Offer”) by Broadcom Inc., a Delaware corporation (the “Issuer”), to exchange up to $3,249,984,000 aggregate principal amount of any and all of its outstanding 3.137% senior notes due 2035 and $2,750,000,000 aggregate principal amount of any and all of its outstanding 3.187% senior notes due 2036 (such notes issued on September 30, 2021, collectively, the “Old Notes”) for an equal aggregate principal amount of its newly issued 3.137% Senior Notes due 2035 and 3.187% Senior Notes due 2036 (collectively, the “New Notes”), respectively, in a transaction that is registered under the Securities Act of 1933, as amended (the “Securities Act”), upon the terms and conditions set forth in the Prospectus. The Prospectus more fully describes the Exchange Offer. Capitalized terms used but not defined herein have the meanings given to them in the Prospectus.</w:t>
      </w:r>
    </w:p>
    <w:p>
      <w:pPr>
        <w:spacing w:after="0" w:line="147" w:lineRule="exact"/>
        <w:rPr>
          <w:sz w:val="20"/>
          <w:szCs w:val="20"/>
          <w:color w:val="auto"/>
        </w:rPr>
      </w:pPr>
    </w:p>
    <w:p>
      <w:pPr>
        <w:ind w:left="340" w:right="479" w:firstLine="333"/>
        <w:spacing w:after="0" w:line="264" w:lineRule="auto"/>
        <w:rPr>
          <w:sz w:val="20"/>
          <w:szCs w:val="20"/>
          <w:color w:val="auto"/>
        </w:rPr>
      </w:pPr>
      <w:r>
        <w:rPr>
          <w:rFonts w:ascii="Times New Roman" w:cs="Times New Roman" w:eastAsia="Times New Roman" w:hAnsi="Times New Roman"/>
          <w:sz w:val="14"/>
          <w:szCs w:val="14"/>
          <w:color w:val="auto"/>
        </w:rPr>
        <w:t>We are asking you to contact your clients for whom you hold Old Notes registered in your name or in the name of your nominee. In addition, we ask you to contact your clients who, to your knowledge, hold Old Notes registered in their own name.</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Enclosed are copies of the following documents:</w:t>
      </w:r>
    </w:p>
    <w:p>
      <w:pPr>
        <w:spacing w:after="0" w:line="94" w:lineRule="exact"/>
        <w:rPr>
          <w:sz w:val="20"/>
          <w:szCs w:val="20"/>
          <w:color w:val="auto"/>
        </w:rPr>
      </w:pPr>
    </w:p>
    <w:p>
      <w:pPr>
        <w:ind w:left="1080" w:hanging="416"/>
        <w:spacing w:after="0"/>
        <w:tabs>
          <w:tab w:leader="none" w:pos="10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Prospectus; and</w:t>
      </w:r>
    </w:p>
    <w:p>
      <w:pPr>
        <w:spacing w:after="0" w:line="94" w:lineRule="exact"/>
        <w:rPr>
          <w:rFonts w:ascii="Times New Roman" w:cs="Times New Roman" w:eastAsia="Times New Roman" w:hAnsi="Times New Roman"/>
          <w:sz w:val="14"/>
          <w:szCs w:val="14"/>
          <w:color w:val="auto"/>
        </w:rPr>
      </w:pPr>
    </w:p>
    <w:p>
      <w:pPr>
        <w:ind w:left="1080" w:right="739" w:hanging="416"/>
        <w:spacing w:after="0" w:line="264" w:lineRule="auto"/>
        <w:tabs>
          <w:tab w:leader="none" w:pos="10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form of letter that may be sent to your clients for whose accounts you hold Old Notes registered in your name or the name of your nominee, with space provided for obtaining the clients’ instructions with regard to the Exchange Offer.</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DTC participants must execute tenders through the DTC Automated Tender Offer Program.</w:t>
      </w:r>
    </w:p>
    <w:p>
      <w:pPr>
        <w:spacing w:after="0" w:line="162" w:lineRule="exact"/>
        <w:rPr>
          <w:sz w:val="20"/>
          <w:szCs w:val="20"/>
          <w:color w:val="auto"/>
        </w:rPr>
      </w:pPr>
    </w:p>
    <w:p>
      <w:pPr>
        <w:ind w:left="340" w:right="539" w:firstLine="333"/>
        <w:spacing w:after="0" w:line="270" w:lineRule="auto"/>
        <w:rPr>
          <w:sz w:val="20"/>
          <w:szCs w:val="20"/>
          <w:color w:val="auto"/>
        </w:rPr>
      </w:pPr>
      <w:r>
        <w:rPr>
          <w:rFonts w:ascii="Times New Roman" w:cs="Times New Roman" w:eastAsia="Times New Roman" w:hAnsi="Times New Roman"/>
          <w:sz w:val="14"/>
          <w:szCs w:val="14"/>
          <w:b w:val="1"/>
          <w:bCs w:val="1"/>
          <w:color w:val="auto"/>
        </w:rPr>
        <w:t>Please note that the Exchange Offer will expire at 5:00 p.m., New York City time, on         , 2026, unless extended by the Issuer. We urge you to contact your clients as promptly as possible.</w:t>
      </w:r>
    </w:p>
    <w:p>
      <w:pPr>
        <w:spacing w:after="0" w:line="132" w:lineRule="exact"/>
        <w:rPr>
          <w:sz w:val="20"/>
          <w:szCs w:val="20"/>
          <w:color w:val="auto"/>
        </w:rPr>
      </w:pPr>
    </w:p>
    <w:p>
      <w:pPr>
        <w:ind w:left="340" w:right="399" w:firstLine="333"/>
        <w:spacing w:after="0" w:line="264" w:lineRule="auto"/>
        <w:rPr>
          <w:sz w:val="20"/>
          <w:szCs w:val="20"/>
          <w:color w:val="auto"/>
        </w:rPr>
      </w:pPr>
      <w:r>
        <w:rPr>
          <w:rFonts w:ascii="Times New Roman" w:cs="Times New Roman" w:eastAsia="Times New Roman" w:hAnsi="Times New Roman"/>
          <w:sz w:val="14"/>
          <w:szCs w:val="14"/>
          <w:color w:val="auto"/>
        </w:rPr>
        <w:t>You will be reimbursed by the Issuer for customary mailing and handling expenses incurred by you in forwarding any of the enclosed materials to your clients.</w:t>
      </w:r>
    </w:p>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Additional copies of the enclosed material may be obtained from the Exchange Agent, at the address and telephone number set forth below.</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Very truly yours,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Wilmington Trust, National Association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Attention: Workflow Management, 5th Floor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Rodney Square North</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1100 North Market Street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Wilmington, DE 19890-1626</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DL-DTC-Transfer_Agent_Team@mtb.com</w:t>
      </w:r>
    </w:p>
    <w:p>
      <w:pPr>
        <w:spacing w:after="0" w:line="150" w:lineRule="exact"/>
        <w:rPr>
          <w:sz w:val="20"/>
          <w:szCs w:val="20"/>
          <w:color w:val="auto"/>
        </w:rPr>
      </w:pPr>
    </w:p>
    <w:p>
      <w:pPr>
        <w:ind w:left="340" w:right="399" w:firstLine="333"/>
        <w:spacing w:after="0" w:line="257" w:lineRule="auto"/>
        <w:rPr>
          <w:sz w:val="20"/>
          <w:szCs w:val="20"/>
          <w:color w:val="auto"/>
        </w:rPr>
      </w:pPr>
      <w:r>
        <w:rPr>
          <w:rFonts w:ascii="Times New Roman" w:cs="Times New Roman" w:eastAsia="Times New Roman" w:hAnsi="Times New Roman"/>
          <w:sz w:val="14"/>
          <w:szCs w:val="14"/>
          <w:b w:val="1"/>
          <w:bCs w:val="1"/>
          <w:color w:val="auto"/>
        </w:rPr>
        <w:t>Nothing herein or in the enclosed documents shall constitute you or any person as an agent of the Issuer or the Exchange Agent, or authorize you or any other person to make any statements on behalf of either of them with respect to the Exchange Offer, except for statements expressly made in the Prospectus.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100" w:name="page101"/>
    <w:bookmarkEnd w:id="100"/>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LETTER TO BENEFICIAL HOLDERS REGARDING THE OFFER TO EXCHANGE</w:t>
      </w:r>
    </w:p>
    <w:p>
      <w:pPr>
        <w:spacing w:after="0" w:line="16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Up to $3,249,984,000 3.137% Senior Notes due 2035</w:t>
      </w:r>
    </w:p>
    <w:p>
      <w:pPr>
        <w:spacing w:after="0" w:line="1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Up to $2,750,000,000 3.187% Senior Notes due 2036</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p>
      <w:pPr>
        <w:spacing w:after="0" w:line="16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$3,249,984,000 3.137% Senior Notes due 2035</w:t>
      </w:r>
    </w:p>
    <w:p>
      <w:pPr>
        <w:spacing w:after="0" w:line="1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$2,750,000,000 3.187% Senior Notes due 2036</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BROADCOM INC.</w:t>
      </w:r>
    </w:p>
    <w:p>
      <w:pPr>
        <w:spacing w:after="0" w:line="154" w:lineRule="exact"/>
        <w:rPr>
          <w:sz w:val="20"/>
          <w:szCs w:val="20"/>
          <w:color w:val="auto"/>
        </w:rPr>
      </w:pPr>
    </w:p>
    <w:tbl>
      <w:tblPr>
        <w:tblLayout w:type="fixed"/>
        <w:tblInd w:w="2000" w:type="dxa"/>
        <w:tblCellMar>
          <w:top w:w="0" w:type="dxa"/>
          <w:left w:w="0" w:type="dxa"/>
          <w:bottom w:w="0" w:type="dxa"/>
          <w:right w:w="0" w:type="dxa"/>
        </w:tblCellMar>
      </w:tblPr>
      <w:tr>
        <w:trPr>
          <w:trHeight w:val="179"/>
        </w:trPr>
        <w:tc>
          <w:tcPr>
            <w:tcW w:w="366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w w:val="98"/>
              </w:rPr>
              <w:t xml:space="preserve">PURSUANT TO THE PROSPECTUS DATED     </w:t>
            </w:r>
          </w:p>
        </w:tc>
        <w:tc>
          <w:tcPr>
            <w:tcW w:w="1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 2026</w:t>
            </w:r>
          </w:p>
        </w:tc>
      </w:tr>
      <w:tr>
        <w:trPr>
          <w:trHeight w:val="347"/>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144A CUSIPS:</w:t>
            </w:r>
          </w:p>
        </w:tc>
        <w:tc>
          <w:tcPr>
            <w:tcW w:w="14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w w:val="95"/>
              </w:rPr>
              <w:t>Reg S CUSIPS:</w:t>
            </w:r>
          </w:p>
        </w:tc>
      </w:tr>
      <w:tr>
        <w:trPr>
          <w:trHeight w:val="311"/>
        </w:trPr>
        <w:tc>
          <w:tcPr>
            <w:tcW w:w="3660" w:type="dxa"/>
            <w:vAlign w:val="bottom"/>
          </w:tcPr>
          <w:p>
            <w:pPr>
              <w:jc w:val="center"/>
              <w:ind w:right="2712"/>
              <w:spacing w:after="0"/>
              <w:rPr>
                <w:sz w:val="20"/>
                <w:szCs w:val="20"/>
                <w:color w:val="auto"/>
              </w:rPr>
            </w:pPr>
            <w:r>
              <w:rPr>
                <w:rFonts w:ascii="Times New Roman" w:cs="Times New Roman" w:eastAsia="Times New Roman" w:hAnsi="Times New Roman"/>
                <w:sz w:val="14"/>
                <w:szCs w:val="14"/>
                <w:b w:val="1"/>
                <w:bCs w:val="1"/>
                <w:color w:val="auto"/>
                <w:w w:val="94"/>
              </w:rPr>
              <w:t>11135F BP5</w:t>
            </w:r>
          </w:p>
        </w:tc>
        <w:tc>
          <w:tcPr>
            <w:tcW w:w="1440" w:type="dxa"/>
            <w:vAlign w:val="bottom"/>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w w:val="95"/>
              </w:rPr>
              <w:t>U1109M AW6</w:t>
            </w:r>
          </w:p>
        </w:tc>
      </w:tr>
      <w:tr>
        <w:trPr>
          <w:trHeight w:val="179"/>
        </w:trPr>
        <w:tc>
          <w:tcPr>
            <w:tcW w:w="3660" w:type="dxa"/>
            <w:vAlign w:val="bottom"/>
          </w:tcPr>
          <w:p>
            <w:pPr>
              <w:jc w:val="center"/>
              <w:ind w:right="2712"/>
              <w:spacing w:after="0"/>
              <w:rPr>
                <w:sz w:val="20"/>
                <w:szCs w:val="20"/>
                <w:color w:val="auto"/>
              </w:rPr>
            </w:pPr>
            <w:r>
              <w:rPr>
                <w:rFonts w:ascii="Times New Roman" w:cs="Times New Roman" w:eastAsia="Times New Roman" w:hAnsi="Times New Roman"/>
                <w:sz w:val="14"/>
                <w:szCs w:val="14"/>
                <w:b w:val="1"/>
                <w:bCs w:val="1"/>
                <w:color w:val="auto"/>
                <w:w w:val="96"/>
              </w:rPr>
              <w:t>11135F BQ3</w:t>
            </w:r>
          </w:p>
        </w:tc>
        <w:tc>
          <w:tcPr>
            <w:tcW w:w="1440" w:type="dxa"/>
            <w:vAlign w:val="bottom"/>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w w:val="95"/>
              </w:rPr>
              <w:t>U1109M AX4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114300</wp:posOffset>
            </wp:positionV>
            <wp:extent cx="5297805" cy="2717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5297805" cy="271780"/>
                    </a:xfrm>
                    <a:prstGeom prst="rect">
                      <a:avLst/>
                    </a:prstGeom>
                    <a:noFill/>
                  </pic:spPr>
                </pic:pic>
              </a:graphicData>
            </a:graphic>
          </wp:anchor>
        </w:drawing>
      </w:r>
    </w:p>
    <w:p>
      <w:pPr>
        <w:spacing w:after="0" w:line="189" w:lineRule="exact"/>
        <w:rPr>
          <w:sz w:val="20"/>
          <w:szCs w:val="20"/>
          <w:color w:val="auto"/>
        </w:rPr>
      </w:pPr>
    </w:p>
    <w:p>
      <w:pPr>
        <w:ind w:left="440" w:right="499"/>
        <w:spacing w:after="0" w:line="270" w:lineRule="auto"/>
        <w:rPr>
          <w:sz w:val="20"/>
          <w:szCs w:val="20"/>
          <w:color w:val="auto"/>
        </w:rPr>
      </w:pPr>
      <w:r>
        <w:rPr>
          <w:rFonts w:ascii="Times New Roman" w:cs="Times New Roman" w:eastAsia="Times New Roman" w:hAnsi="Times New Roman"/>
          <w:sz w:val="14"/>
          <w:szCs w:val="14"/>
          <w:b w:val="1"/>
          <w:bCs w:val="1"/>
          <w:color w:val="auto"/>
        </w:rPr>
        <w:t>THE EXCHANGE OFFER AND WITHDRAWAL RIGHTS WILL EXPIRE AT 5:00 P.M., NEW YORK CITY TIME, ON         , 2026, UNLESS EXTENDED (THE “EXPIRATION DATE”).</w:t>
      </w:r>
    </w:p>
    <w:p>
      <w:pPr>
        <w:sectPr>
          <w:pgSz w:w="11900" w:h="16838" w:orient="portrait"/>
          <w:cols w:equalWidth="0" w:num="1">
            <w:col w:w="9019"/>
          </w:cols>
          <w:pgMar w:left="1440" w:top="123" w:right="1440" w:bottom="1440" w:gutter="0" w:footer="0" w:header="0"/>
        </w:sectPr>
      </w:pPr>
    </w:p>
    <w:bookmarkStart w:id="101" w:name="page102"/>
    <w:bookmarkEnd w:id="101"/>
    <w:p>
      <w:pPr>
        <w:jc w:val="right"/>
        <w:ind w:right="33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[DATE]</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 Our Clients:</w:t>
      </w:r>
    </w:p>
    <w:p>
      <w:pPr>
        <w:spacing w:after="0" w:line="166"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Enclosed for your consideration is a prospectus dated         , 2026 (the “Prospectus”) that constitutes the offer (the “Exchange Offer”) by Broadcom Inc., a Delaware corporation (the “Issuer”), to exchange up to $3,249,984,000 aggregate principal amount of any and all of its outstanding 3.137% senior notes due 2035 and $2,750,000,000 aggregate principal amount of any and all of its outstanding 3.187% senior notes due 2036 (such notes issued on September 30, 2021, collectively, the “Old Notes”) for an equal aggregate principal amount of its newly issued 3.137% Senior Notes due 2035 and 3.187% Senior Notes due 2036 (collectively, the “New Notes”), respectively, in a transaction that is registered under the Securities Act of 1933, as amended (the “Securities Act”), upon the terms and conditions set forth in the Prospectus. The Prospectus more fully describes the Exchange Offer. Capitalized terms used but not defined herein have the meanings given to them in the Prospectus.</w:t>
      </w:r>
    </w:p>
    <w:p>
      <w:pPr>
        <w:spacing w:after="0" w:line="147" w:lineRule="exact"/>
        <w:rPr>
          <w:sz w:val="20"/>
          <w:szCs w:val="20"/>
          <w:color w:val="auto"/>
        </w:rPr>
      </w:pPr>
    </w:p>
    <w:p>
      <w:pPr>
        <w:ind w:left="340" w:right="479" w:firstLine="333"/>
        <w:spacing w:after="0" w:line="250" w:lineRule="auto"/>
        <w:rPr>
          <w:sz w:val="20"/>
          <w:szCs w:val="20"/>
          <w:color w:val="auto"/>
        </w:rPr>
      </w:pPr>
      <w:r>
        <w:rPr>
          <w:rFonts w:ascii="Times New Roman" w:cs="Times New Roman" w:eastAsia="Times New Roman" w:hAnsi="Times New Roman"/>
          <w:sz w:val="14"/>
          <w:szCs w:val="14"/>
          <w:color w:val="auto"/>
        </w:rPr>
        <w:t>These materials are being forwarded to you as the beneficial owner of Old Notes carried by us for your account or benefit but not registered in your name. A tender of any Old Notes may be made only by us as the registered holder and pursuant to your instructions. Therefore, the Issuer urges beneficial owners of Old Notes registered in the name of a broker, dealer, commercial bank, trust company or other nominee to contact such registered holder promptly if they wish to tender Old Notes in the Exchange Offer.</w:t>
      </w:r>
    </w:p>
    <w:p>
      <w:pPr>
        <w:spacing w:after="0" w:line="146" w:lineRule="exact"/>
        <w:rPr>
          <w:sz w:val="20"/>
          <w:szCs w:val="20"/>
          <w:color w:val="auto"/>
        </w:rPr>
      </w:pPr>
    </w:p>
    <w:p>
      <w:pPr>
        <w:ind w:left="340" w:right="599" w:firstLine="333"/>
        <w:spacing w:after="0" w:line="264" w:lineRule="auto"/>
        <w:rPr>
          <w:sz w:val="20"/>
          <w:szCs w:val="20"/>
          <w:color w:val="auto"/>
        </w:rPr>
      </w:pPr>
      <w:r>
        <w:rPr>
          <w:rFonts w:ascii="Times New Roman" w:cs="Times New Roman" w:eastAsia="Times New Roman" w:hAnsi="Times New Roman"/>
          <w:sz w:val="14"/>
          <w:szCs w:val="14"/>
          <w:color w:val="auto"/>
        </w:rPr>
        <w:t>Accordingly, we request instructions as to whether you wish us to tender any or all of your Old Notes, pursuant to the terms and conditions set forth in the Prospectus. We urge you to read carefully the Prospectus before instructing us to tender your Old Notes.</w:t>
      </w:r>
    </w:p>
    <w:p>
      <w:pPr>
        <w:spacing w:after="0" w:line="136" w:lineRule="exact"/>
        <w:rPr>
          <w:sz w:val="20"/>
          <w:szCs w:val="20"/>
          <w:color w:val="auto"/>
        </w:rPr>
      </w:pPr>
    </w:p>
    <w:p>
      <w:pPr>
        <w:ind w:left="340" w:right="519" w:firstLine="333"/>
        <w:spacing w:after="0" w:line="250" w:lineRule="auto"/>
        <w:rPr>
          <w:sz w:val="20"/>
          <w:szCs w:val="20"/>
          <w:color w:val="auto"/>
        </w:rPr>
      </w:pPr>
      <w:r>
        <w:rPr>
          <w:rFonts w:ascii="Times New Roman" w:cs="Times New Roman" w:eastAsia="Times New Roman" w:hAnsi="Times New Roman"/>
          <w:sz w:val="14"/>
          <w:szCs w:val="14"/>
          <w:color w:val="auto"/>
        </w:rPr>
        <w:t xml:space="preserve">Your instructions to us should be forwarded as promptly as possible in order to permit us to tender Old Notes on your behalf in accordance with the provisions of the Exchange Offer. </w:t>
      </w:r>
      <w:r>
        <w:rPr>
          <w:rFonts w:ascii="Times New Roman" w:cs="Times New Roman" w:eastAsia="Times New Roman" w:hAnsi="Times New Roman"/>
          <w:sz w:val="14"/>
          <w:szCs w:val="14"/>
          <w:b w:val="1"/>
          <w:bCs w:val="1"/>
          <w:color w:val="auto"/>
        </w:rPr>
        <w:t>The Exchange Offer will expire at 5:00 p.m., New York City time, on         , 2026, unless extended 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the Issuer. </w:t>
      </w:r>
      <w:r>
        <w:rPr>
          <w:rFonts w:ascii="Times New Roman" w:cs="Times New Roman" w:eastAsia="Times New Roman" w:hAnsi="Times New Roman"/>
          <w:sz w:val="14"/>
          <w:szCs w:val="14"/>
          <w:color w:val="auto"/>
        </w:rPr>
        <w:t>Old Notes tendered pursuant to the Exchange Offer may be withdrawn, subject to the procedures described in the Prospectus, at any time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prior to the Expiration Date.</w:t>
      </w:r>
    </w:p>
    <w:p>
      <w:pPr>
        <w:spacing w:after="0" w:line="146" w:lineRule="exact"/>
        <w:rPr>
          <w:sz w:val="20"/>
          <w:szCs w:val="20"/>
          <w:color w:val="auto"/>
        </w:rPr>
      </w:pPr>
    </w:p>
    <w:p>
      <w:pPr>
        <w:ind w:left="340" w:right="519" w:firstLine="333"/>
        <w:spacing w:after="0" w:line="247" w:lineRule="auto"/>
        <w:rPr>
          <w:sz w:val="20"/>
          <w:szCs w:val="20"/>
          <w:color w:val="auto"/>
        </w:rPr>
      </w:pPr>
      <w:r>
        <w:rPr>
          <w:rFonts w:ascii="Times New Roman" w:cs="Times New Roman" w:eastAsia="Times New Roman" w:hAnsi="Times New Roman"/>
          <w:sz w:val="14"/>
          <w:szCs w:val="14"/>
          <w:color w:val="auto"/>
        </w:rPr>
        <w:t>If you wish to have us tender any or all of your Old Notes held by us for your account or benefit, please so instruct us by completing, executing and returning to us the instruction form that appears below. There is no letter of transmittal for Old Notes tendered in connection with the Exchange Offer. Holders of Old Notes who wish to participate in the Exchange Offer must comply with the procedures under The Depository Trust Company’s Automated Tender Offer Program (“ATOP”) prior to the Expiration Date. The valid submission of an electronic acceptance instruction through ATOP shall constitute delivery of the Old Notes in connection with the Exchange Offer. There are no guaranteed delivery procedures applicable to the Exchange Offer.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INSTRUCTIONS TO REGISTERED HOLDER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FROM BENEFICIAL OWNER</w:t>
      </w:r>
    </w:p>
    <w:p>
      <w:pPr>
        <w:spacing w:after="0" w:line="15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$3,249,984,000 3.137% Senior Notes due 2035</w:t>
      </w:r>
    </w:p>
    <w:p>
      <w:pPr>
        <w:spacing w:after="0" w:line="1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$2,750,000,000 3.187% Senior Notes due 2036</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1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The undersigned acknowledge(s) receipt of your letter and the enclosed materials referred to therein relating to the Exchange Offer of the Issuer.</w:t>
      </w: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Capitalized terms used but not defined herein have the meanings ascribed to them in the Prospectus.</w:t>
      </w:r>
    </w:p>
    <w:p>
      <w:pPr>
        <w:spacing w:after="0" w:line="154" w:lineRule="exact"/>
        <w:rPr>
          <w:sz w:val="20"/>
          <w:szCs w:val="20"/>
          <w:color w:val="auto"/>
        </w:rPr>
      </w:pPr>
    </w:p>
    <w:p>
      <w:pPr>
        <w:ind w:left="340" w:right="699" w:firstLine="333"/>
        <w:spacing w:after="0" w:line="264" w:lineRule="auto"/>
        <w:rPr>
          <w:sz w:val="20"/>
          <w:szCs w:val="20"/>
          <w:color w:val="auto"/>
        </w:rPr>
      </w:pPr>
      <w:r>
        <w:rPr>
          <w:rFonts w:ascii="Times New Roman" w:cs="Times New Roman" w:eastAsia="Times New Roman" w:hAnsi="Times New Roman"/>
          <w:sz w:val="14"/>
          <w:szCs w:val="14"/>
          <w:color w:val="auto"/>
        </w:rPr>
        <w:t>This will instruct you to tender the principal amount of Old Notes indicated below held by you for the account or benefit of the undersigned, pursuant to the terms and conditions set forth in the Prospectus.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102" w:name="page103"/>
    <w:bookmarkEnd w:id="102"/>
    <w:p>
      <w:pPr>
        <w:ind w:left="6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aggregate principal amount of the Old Notes held by you for the account of the undersigned is:</w:t>
      </w:r>
    </w:p>
    <w:p>
      <w:pPr>
        <w:spacing w:after="0" w:line="6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6"/>
              </w:rPr>
              <w:t>of 3.137% per annum for the 2035 Notes.</w:t>
            </w: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5"/>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6"/>
              </w:rPr>
              <w:t>of 3.187% per annum for the 2036 Notes.</w:t>
            </w: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With respect to the Exchange Offer, the undersigned hereby instructs you (check appropriate box):</w:t>
      </w:r>
    </w:p>
    <w:p>
      <w:pPr>
        <w:spacing w:after="0" w:line="92" w:lineRule="exact"/>
        <w:rPr>
          <w:sz w:val="20"/>
          <w:szCs w:val="20"/>
          <w:color w:val="auto"/>
        </w:rPr>
      </w:pPr>
    </w:p>
    <w:p>
      <w:pPr>
        <w:ind w:left="1080" w:right="379" w:hanging="416"/>
        <w:spacing w:after="0" w:line="267" w:lineRule="auto"/>
        <w:tabs>
          <w:tab w:leader="none" w:pos="1080" w:val="left"/>
        </w:tabs>
        <w:numPr>
          <w:ilvl w:val="0"/>
          <w:numId w:val="7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To TENDER the following Old Notes held by you for the account of the undersigned (</w:t>
      </w:r>
      <w:r>
        <w:rPr>
          <w:rFonts w:ascii="Times New Roman" w:cs="Times New Roman" w:eastAsia="Times New Roman" w:hAnsi="Times New Roman"/>
          <w:sz w:val="14"/>
          <w:szCs w:val="14"/>
          <w:i w:val="1"/>
          <w:iCs w:val="1"/>
          <w:color w:val="auto"/>
        </w:rPr>
        <w:t>insert principal amount of Old Notes to be tendered,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if any</w:t>
      </w:r>
      <w:r>
        <w:rPr>
          <w:rFonts w:ascii="Times New Roman" w:cs="Times New Roman" w:eastAsia="Times New Roman" w:hAnsi="Times New Roman"/>
          <w:sz w:val="14"/>
          <w:szCs w:val="14"/>
          <w:color w:val="auto"/>
        </w:rPr>
        <w:t>):</w:t>
      </w:r>
    </w:p>
    <w:p>
      <w:pPr>
        <w:spacing w:after="0" w:line="3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6"/>
              </w:rPr>
              <w:t>of 3.137% per annum for the 2035 Notes.</w:t>
            </w: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5"/>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6"/>
              </w:rPr>
              <w:t>of 3.187% per annum for the 2036 Notes.</w:t>
            </w: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100" w:lineRule="exact"/>
        <w:rPr>
          <w:sz w:val="20"/>
          <w:szCs w:val="20"/>
          <w:color w:val="auto"/>
        </w:rPr>
      </w:pPr>
    </w:p>
    <w:p>
      <w:pPr>
        <w:ind w:left="1080" w:hanging="416"/>
        <w:spacing w:after="0"/>
        <w:tabs>
          <w:tab w:leader="none" w:pos="1080" w:val="left"/>
        </w:tabs>
        <w:numPr>
          <w:ilvl w:val="0"/>
          <w:numId w:val="7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NOT to TENDER any Old Notes held by you for the account of the undersigned.</w:t>
      </w:r>
    </w:p>
    <w:p>
      <w:pPr>
        <w:spacing w:after="0" w:line="16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If the undersigned instructs you to tender the Old Notes held by you for the account of the undersigned, it is understood that you are authorized</w:t>
      </w:r>
    </w:p>
    <w:p>
      <w:pPr>
        <w:spacing w:after="0" w:line="37" w:lineRule="exact"/>
        <w:rPr>
          <w:sz w:val="20"/>
          <w:szCs w:val="20"/>
          <w:color w:val="auto"/>
        </w:rPr>
      </w:pPr>
    </w:p>
    <w:p>
      <w:pPr>
        <w:ind w:left="340" w:right="359" w:hanging="3"/>
        <w:spacing w:after="0" w:line="287" w:lineRule="auto"/>
        <w:tabs>
          <w:tab w:leader="none" w:pos="525"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on behalf of the undersigned (and the undersigned, by its signature below, hereby makes to you), the representations and warranties contained in the Prospectus that are to be made with respect to the undersigned as a beneficial owner of the Old Notes, including but not limited to the representations that (i) the undersigned or any beneficial owner of the Old Notes is acquiring the New Notes in the ordinary course of business of the undersigned (or such beneficial owner), (ii) neither the undersigned nor any beneficial owner is engaging in or intends to engage in a distribution of the New Notes within the meaning of the federal securities laws, (iii) neither the undersigned nor any beneficial owner has (and, at the time the exchange offer is consummated, neither will have) an arrangement or understanding with any person or entity to participate in a distribution of the New Notes, (iv) neither the undersigned nor any beneficial owner is an “affiliate,” as such term is defined under Rule 405 promulgated under the Securities Act, of the Issuer, (v) the undersigned and each beneficial owner acknowledges and agrees that any person who is a broker-dealer registered under the Securities Exchange Act of 1934, as amended (the “Exchange Act”), or is participating in the Exchange Offer for the purpose of distributing the New Notes, must comply with the registration and prospectus-delivery requirements of the Securities Act in connection with a secondary resale transaction of the New Notes or interests therein acquired by such person and cannot rely on the position of the staff of the Securities and Exchange Commission (the “SEC”) set forth in certain no-action letters (see the section of the Prospectus entitled “The Exchange Offer-Transfers of Exchange Notes”), (vi) a secondary resale transaction described in clause (v) above and any resales of New Notes or interests therein obtained by such holder in exchange for Old Notes or interests therein originally acquired by such holder directly from the Issuer should be covered by an effective registration statement containing the selling security holder information required by Item 507 or Item 508, as applicable, of Regulation S-K or the SEC and (vii) the undersigned is not acting on behalf of any person or entity who could not truthfully make the foregoing representations; (b) to agree, on behalf of the undersigned, as set forth in the Prospectus; and (c) to take such other action as necessary under the Prospectus to effect the valid tender of Old Notes.</w:t>
      </w:r>
    </w:p>
    <w:p>
      <w:pPr>
        <w:spacing w:after="0" w:line="200" w:lineRule="exact"/>
        <w:rPr>
          <w:sz w:val="20"/>
          <w:szCs w:val="20"/>
          <w:color w:val="auto"/>
        </w:rPr>
      </w:pPr>
    </w:p>
    <w:p>
      <w:pPr>
        <w:spacing w:after="0" w:line="2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purchaser status of the undersigned is (check the box that applies):</w:t>
      </w:r>
    </w:p>
    <w:p>
      <w:pPr>
        <w:spacing w:after="0" w:line="94" w:lineRule="exact"/>
        <w:rPr>
          <w:sz w:val="20"/>
          <w:szCs w:val="20"/>
          <w:color w:val="auto"/>
        </w:rPr>
      </w:pPr>
    </w:p>
    <w:p>
      <w:pPr>
        <w:ind w:left="1080" w:hanging="416"/>
        <w:spacing w:after="0"/>
        <w:tabs>
          <w:tab w:leader="none" w:pos="1080" w:val="left"/>
        </w:tabs>
        <w:numPr>
          <w:ilvl w:val="0"/>
          <w:numId w:val="7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 “Qualified Institutional Buyer” (as defined in Rule 144A under the Securities Act)</w:t>
      </w:r>
    </w:p>
    <w:p>
      <w:pPr>
        <w:spacing w:after="0" w:line="94" w:lineRule="exact"/>
        <w:rPr>
          <w:rFonts w:ascii="MS PGothic" w:cs="MS PGothic" w:eastAsia="MS PGothic" w:hAnsi="MS PGothic"/>
          <w:sz w:val="14"/>
          <w:szCs w:val="14"/>
          <w:color w:val="auto"/>
        </w:rPr>
      </w:pPr>
    </w:p>
    <w:p>
      <w:pPr>
        <w:ind w:left="1080" w:hanging="416"/>
        <w:spacing w:after="0"/>
        <w:tabs>
          <w:tab w:leader="none" w:pos="1080" w:val="left"/>
        </w:tabs>
        <w:numPr>
          <w:ilvl w:val="0"/>
          <w:numId w:val="7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An “Institutional Accredited Investor” (as defined in Rule 501(a)(1), (2), (3) or (7) under the Securities Act)</w:t>
      </w:r>
    </w:p>
    <w:p>
      <w:pPr>
        <w:spacing w:after="0" w:line="94" w:lineRule="exact"/>
        <w:rPr>
          <w:rFonts w:ascii="MS PGothic" w:cs="MS PGothic" w:eastAsia="MS PGothic" w:hAnsi="MS PGothic"/>
          <w:sz w:val="14"/>
          <w:szCs w:val="14"/>
          <w:color w:val="auto"/>
        </w:rPr>
      </w:pPr>
    </w:p>
    <w:p>
      <w:pPr>
        <w:ind w:left="1080" w:right="759" w:hanging="416"/>
        <w:spacing w:after="0" w:line="264" w:lineRule="auto"/>
        <w:tabs>
          <w:tab w:leader="none" w:pos="1080" w:val="left"/>
        </w:tabs>
        <w:numPr>
          <w:ilvl w:val="0"/>
          <w:numId w:val="7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 non “U.S. person” (as defined in Regulation S under the Securities Act) that purchased the Old Notes outside the United States in accordance with Rule 904 under the Securities Act</w:t>
      </w:r>
    </w:p>
    <w:p>
      <w:pPr>
        <w:spacing w:after="0" w:line="33" w:lineRule="exact"/>
        <w:rPr>
          <w:sz w:val="20"/>
          <w:szCs w:val="20"/>
          <w:color w:val="auto"/>
        </w:rPr>
      </w:pPr>
    </w:p>
    <w:p>
      <w:pPr>
        <w:ind w:left="660"/>
        <w:spacing w:after="0"/>
        <w:tabs>
          <w:tab w:leader="none" w:pos="10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Other (describe)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10160</wp:posOffset>
            </wp:positionV>
            <wp:extent cx="371729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3717290" cy="6350"/>
                    </a:xfrm>
                    <a:prstGeom prst="rect">
                      <a:avLst/>
                    </a:prstGeom>
                    <a:noFill/>
                  </pic:spPr>
                </pic:pic>
              </a:graphicData>
            </a:graphic>
          </wp:anchor>
        </w:drawing>
      </w:r>
    </w:p>
    <w:p>
      <w:pPr>
        <w:spacing w:after="0" w:line="1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103" w:name="page104"/>
    <w:bookmarkEnd w:id="103"/>
    <w:tbl>
      <w:tblPr>
        <w:tblLayout w:type="fixed"/>
        <w:tblInd w:w="340" w:type="dxa"/>
        <w:tblCellMar>
          <w:top w:w="0" w:type="dxa"/>
          <w:left w:w="0" w:type="dxa"/>
          <w:bottom w:w="0" w:type="dxa"/>
          <w:right w:w="0" w:type="dxa"/>
        </w:tblCellMar>
      </w:tblPr>
      <w:tr>
        <w:trPr>
          <w:trHeight w:val="179"/>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SIGN HERE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5"/>
        </w:trPr>
        <w:tc>
          <w:tcPr>
            <w:tcW w:w="1820" w:type="dxa"/>
            <w:vAlign w:val="bottom"/>
            <w:gridSpan w:val="10"/>
          </w:tcPr>
          <w:p>
            <w:pPr>
              <w:spacing w:after="0"/>
              <w:rPr>
                <w:sz w:val="20"/>
                <w:szCs w:val="20"/>
                <w:color w:val="auto"/>
              </w:rPr>
            </w:pPr>
            <w:r>
              <w:rPr>
                <w:rFonts w:ascii="Times New Roman" w:cs="Times New Roman" w:eastAsia="Times New Roman" w:hAnsi="Times New Roman"/>
                <w:sz w:val="14"/>
                <w:szCs w:val="14"/>
                <w:color w:val="auto"/>
                <w:w w:val="96"/>
              </w:rPr>
              <w:t>Name of Beneficial Owner(s):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gridSpan w:val="2"/>
          </w:tcPr>
          <w:p>
            <w:pPr>
              <w:jc w:val="center"/>
              <w:ind w:right="40"/>
              <w:spacing w:after="0"/>
              <w:rPr>
                <w:sz w:val="20"/>
                <w:szCs w:val="20"/>
                <w:color w:val="auto"/>
              </w:rPr>
            </w:pPr>
            <w:r>
              <w:rPr>
                <w:rFonts w:ascii="Times New Roman" w:cs="Times New Roman" w:eastAsia="Times New Roman" w:hAnsi="Times New Roman"/>
                <w:sz w:val="2"/>
                <w:szCs w:val="2"/>
                <w:color w:val="auto"/>
                <w:w w:val="9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7"/>
        </w:trPr>
        <w:tc>
          <w:tcPr>
            <w:tcW w:w="194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 xml:space="preserve">Signature(s):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gridSpan w:val="2"/>
          </w:tcPr>
          <w:p>
            <w:pPr>
              <w:jc w:val="center"/>
              <w:ind w:right="20"/>
              <w:spacing w:after="0"/>
              <w:rPr>
                <w:sz w:val="20"/>
                <w:szCs w:val="20"/>
                <w:color w:val="auto"/>
              </w:rPr>
            </w:pPr>
            <w:r>
              <w:rPr>
                <w:rFonts w:ascii="Times New Roman" w:cs="Times New Roman" w:eastAsia="Times New Roman" w:hAnsi="Times New Roman"/>
                <w:sz w:val="5"/>
                <w:szCs w:val="5"/>
                <w:color w:val="auto"/>
                <w:w w:val="79"/>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jc w:val="center"/>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7"/>
        </w:trPr>
        <w:tc>
          <w:tcPr>
            <w:tcW w:w="1400" w:type="dxa"/>
            <w:vAlign w:val="bottom"/>
            <w:gridSpan w:val="7"/>
          </w:tcPr>
          <w:p>
            <w:pPr>
              <w:spacing w:after="0"/>
              <w:rPr>
                <w:sz w:val="20"/>
                <w:szCs w:val="20"/>
                <w:color w:val="auto"/>
              </w:rPr>
            </w:pPr>
            <w:r>
              <w:rPr>
                <w:rFonts w:ascii="Times New Roman" w:cs="Times New Roman" w:eastAsia="Times New Roman" w:hAnsi="Times New Roman"/>
                <w:sz w:val="14"/>
                <w:szCs w:val="14"/>
                <w:color w:val="auto"/>
                <w:w w:val="92"/>
              </w:rPr>
              <w:t xml:space="preserve">Name(s) </w:t>
            </w:r>
            <w:r>
              <w:rPr>
                <w:rFonts w:ascii="Times New Roman" w:cs="Times New Roman" w:eastAsia="Times New Roman" w:hAnsi="Times New Roman"/>
                <w:sz w:val="14"/>
                <w:szCs w:val="14"/>
                <w:i w:val="1"/>
                <w:iCs w:val="1"/>
                <w:color w:val="auto"/>
                <w:w w:val="92"/>
              </w:rPr>
              <w:t>(please print)</w:t>
            </w:r>
            <w:r>
              <w:rPr>
                <w:rFonts w:ascii="Times New Roman" w:cs="Times New Roman" w:eastAsia="Times New Roman" w:hAnsi="Times New Roman"/>
                <w:sz w:val="14"/>
                <w:szCs w:val="14"/>
                <w:color w:val="auto"/>
                <w:w w:val="9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gridSpan w:val="6"/>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7"/>
        </w:trPr>
        <w:tc>
          <w:tcPr>
            <w:tcW w:w="168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 xml:space="preserve">Address: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73"/>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92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720" w:type="dxa"/>
            <w:vAlign w:val="bottom"/>
            <w:gridSpan w:val="14"/>
            <w:shd w:val="clear" w:color="auto" w:fill="000000"/>
          </w:tcPr>
          <w:p>
            <w:pPr>
              <w:spacing w:after="0" w:line="20" w:lineRule="exact"/>
              <w:rPr>
                <w:sz w:val="1"/>
                <w:szCs w:val="1"/>
                <w:color w:val="auto"/>
              </w:rPr>
            </w:pPr>
          </w:p>
        </w:tc>
        <w:tc>
          <w:tcPr>
            <w:tcW w:w="1240" w:type="dxa"/>
            <w:vAlign w:val="bottom"/>
            <w:gridSpan w:val="10"/>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7"/>
        </w:trPr>
        <w:tc>
          <w:tcPr>
            <w:tcW w:w="4340" w:type="dxa"/>
            <w:vAlign w:val="bottom"/>
            <w:gridSpan w:val="31"/>
          </w:tcPr>
          <w:p>
            <w:pPr>
              <w:spacing w:after="0"/>
              <w:rPr>
                <w:sz w:val="20"/>
                <w:szCs w:val="20"/>
                <w:color w:val="auto"/>
              </w:rPr>
            </w:pPr>
            <w:r>
              <w:rPr>
                <w:rFonts w:ascii="Times New Roman" w:cs="Times New Roman" w:eastAsia="Times New Roman" w:hAnsi="Times New Roman"/>
                <w:sz w:val="14"/>
                <w:szCs w:val="14"/>
                <w:color w:val="auto"/>
                <w:w w:val="96"/>
              </w:rPr>
              <w:t>Principal residence/place of business (if different from address listed above):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24"/>
                <w:szCs w:val="24"/>
                <w:color w:val="auto"/>
              </w:rPr>
            </w:pPr>
          </w:p>
        </w:tc>
      </w:tr>
      <w:tr>
        <w:trPr>
          <w:trHeight w:val="256"/>
        </w:trPr>
        <w:tc>
          <w:tcPr>
            <w:tcW w:w="12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c>
          <w:tcPr>
            <w:tcW w:w="20" w:type="dxa"/>
            <w:vAlign w:val="bottom"/>
          </w:tcPr>
          <w:p>
            <w:pPr>
              <w:spacing w:after="0"/>
              <w:rPr>
                <w:sz w:val="22"/>
                <w:szCs w:val="22"/>
                <w:color w:val="auto"/>
              </w:rPr>
            </w:pPr>
          </w:p>
        </w:tc>
      </w:tr>
      <w:tr>
        <w:trPr>
          <w:trHeight w:val="307"/>
        </w:trPr>
        <w:tc>
          <w:tcPr>
            <w:tcW w:w="23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 xml:space="preserve">Telephone Number(s):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w w:val="75"/>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720" w:type="dxa"/>
            <w:vAlign w:val="bottom"/>
            <w:gridSpan w:val="1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7"/>
        </w:trPr>
        <w:tc>
          <w:tcPr>
            <w:tcW w:w="3020" w:type="dxa"/>
            <w:vAlign w:val="bottom"/>
            <w:gridSpan w:val="20"/>
          </w:tcPr>
          <w:p>
            <w:pPr>
              <w:spacing w:after="0"/>
              <w:rPr>
                <w:sz w:val="20"/>
                <w:szCs w:val="20"/>
                <w:color w:val="auto"/>
              </w:rPr>
            </w:pPr>
            <w:r>
              <w:rPr>
                <w:rFonts w:ascii="Times New Roman" w:cs="Times New Roman" w:eastAsia="Times New Roman" w:hAnsi="Times New Roman"/>
                <w:sz w:val="14"/>
                <w:szCs w:val="14"/>
                <w:color w:val="auto"/>
                <w:w w:val="93"/>
              </w:rPr>
              <w:t>Taxpayer Identification or Social Security Number(s):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0" w:type="dxa"/>
            <w:vAlign w:val="bottom"/>
          </w:tcPr>
          <w:p>
            <w:pPr>
              <w:spacing w:after="0"/>
              <w:rPr>
                <w:sz w:val="24"/>
                <w:szCs w:val="24"/>
                <w:color w:val="auto"/>
              </w:rPr>
            </w:pPr>
          </w:p>
        </w:tc>
      </w:tr>
      <w:tr>
        <w:trPr>
          <w:trHeight w:val="307"/>
        </w:trPr>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xml:space="preserve">Date:                    </w:t>
            </w:r>
          </w:p>
        </w:tc>
        <w:tc>
          <w:tcPr>
            <w:tcW w:w="60" w:type="dxa"/>
            <w:vAlign w:val="bottom"/>
          </w:tcPr>
          <w:p>
            <w:pPr>
              <w:spacing w:after="0"/>
              <w:rPr>
                <w:sz w:val="24"/>
                <w:szCs w:val="24"/>
                <w:color w:val="auto"/>
              </w:rPr>
            </w:pPr>
          </w:p>
        </w:tc>
        <w:tc>
          <w:tcPr>
            <w:tcW w:w="140" w:type="dxa"/>
            <w:vAlign w:val="bottom"/>
            <w:gridSpan w:val="2"/>
          </w:tcPr>
          <w:p>
            <w:pPr>
              <w:jc w:val="center"/>
              <w:ind w:righ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5"/>
                <w:szCs w:val="5"/>
                <w:color w:val="auto"/>
                <w:w w:val="79"/>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3"/>
                <w:szCs w:val="3"/>
                <w:color w:val="auto"/>
              </w:rPr>
              <w:t>  </w:t>
            </w:r>
          </w:p>
        </w:tc>
        <w:tc>
          <w:tcPr>
            <w:tcW w:w="1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0" w:type="dxa"/>
            <w:vAlign w:val="bottom"/>
            <w:tcBorders>
              <w:top w:val="single" w:sz="8" w:color="auto"/>
            </w:tcBorders>
          </w:tcPr>
          <w:p>
            <w:pPr>
              <w:spacing w:after="0"/>
              <w:rPr>
                <w:sz w:val="24"/>
                <w:szCs w:val="24"/>
                <w:color w:val="auto"/>
              </w:rPr>
            </w:pPr>
          </w:p>
        </w:tc>
      </w:tr>
      <w:tr>
        <w:trPr>
          <w:trHeight w:val="286"/>
        </w:trPr>
        <w:tc>
          <w:tcPr>
            <w:tcW w:w="3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gridSpan w:val="3"/>
          </w:tcPr>
          <w:p>
            <w:pPr>
              <w:jc w:val="center"/>
              <w:ind w:left="69"/>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35" w:right="1440" w:bottom="1440" w:gutter="0" w:footer="0" w:header="0"/>
        </w:sect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204075" cy="31750"/>
                    </a:xfrm>
                    <a:prstGeom prst="rect">
                      <a:avLst/>
                    </a:prstGeom>
                    <a:noFill/>
                  </pic:spPr>
                </pic:pic>
              </a:graphicData>
            </a:graphic>
          </wp:anchor>
        </w:drawing>
      </w:r>
    </w:p>
    <w:bookmarkStart w:id="104" w:name="page105"/>
    <w:bookmarkEnd w:id="104"/>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S-4</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Broadcom Inc.</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0" w:type="dxa"/>
            <w:vAlign w:val="bottom"/>
            <w:tcBorders>
              <w:bottom w:val="single" w:sz="8" w:color="auto"/>
            </w:tcBorders>
          </w:tcPr>
          <w:p>
            <w:pPr>
              <w:spacing w:after="0"/>
              <w:rPr>
                <w:sz w:val="23"/>
                <w:szCs w:val="23"/>
                <w:color w:val="auto"/>
              </w:rPr>
            </w:pPr>
          </w:p>
        </w:tc>
        <w:tc>
          <w:tcPr>
            <w:tcW w:w="4340" w:type="dxa"/>
            <w:vAlign w:val="bottom"/>
            <w:tcBorders>
              <w:bottom w:val="single" w:sz="8" w:color="auto"/>
            </w:tcBorders>
            <w:gridSpan w:val="12"/>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ind w:left="2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ind w:lef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680" w:type="dxa"/>
            <w:vAlign w:val="bottom"/>
            <w:shd w:val="clear" w:color="auto" w:fill="9ADAF6"/>
          </w:tcPr>
          <w:p>
            <w:pPr>
              <w:ind w:lef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5"/>
                <w:szCs w:val="15"/>
                <w:color w:val="auto"/>
              </w:rPr>
            </w:pPr>
          </w:p>
        </w:tc>
        <w:tc>
          <w:tcPr>
            <w:tcW w:w="1080" w:type="dxa"/>
            <w:vAlign w:val="bottom"/>
            <w:shd w:val="clear" w:color="auto" w:fill="9ADAF6"/>
          </w:tcPr>
          <w:p>
            <w:pPr>
              <w:jc w:val="right"/>
              <w:ind w:right="158"/>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5"/>
                <w:szCs w:val="15"/>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5"/>
                <w:szCs w:val="15"/>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restart"/>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9"/>
                <w:szCs w:val="9"/>
                <w:color w:val="auto"/>
              </w:rPr>
            </w:pPr>
          </w:p>
        </w:tc>
        <w:tc>
          <w:tcPr>
            <w:tcW w:w="680" w:type="dxa"/>
            <w:vAlign w:val="bottom"/>
            <w:shd w:val="clear" w:color="auto" w:fill="9ADAF6"/>
          </w:tcPr>
          <w:p>
            <w:pPr>
              <w:ind w:left="120"/>
              <w:spacing w:after="0" w:line="112" w:lineRule="exact"/>
              <w:rPr>
                <w:sz w:val="20"/>
                <w:szCs w:val="20"/>
                <w:color w:val="auto"/>
              </w:rPr>
            </w:pPr>
            <w:r>
              <w:rPr>
                <w:rFonts w:ascii="Arial" w:cs="Arial" w:eastAsia="Arial" w:hAnsi="Arial"/>
                <w:sz w:val="12"/>
                <w:szCs w:val="12"/>
                <w:b w:val="1"/>
                <w:bCs w:val="1"/>
                <w:color w:val="auto"/>
              </w:rPr>
              <w:t>Class</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or Carry</w:t>
            </w:r>
          </w:p>
        </w:tc>
        <w:tc>
          <w:tcPr>
            <w:tcW w:w="20" w:type="dxa"/>
            <w:vAlign w:val="bottom"/>
          </w:tcPr>
          <w:p>
            <w:pPr>
              <w:spacing w:after="0"/>
              <w:rPr>
                <w:sz w:val="9"/>
                <w:szCs w:val="9"/>
                <w:color w:val="auto"/>
              </w:rPr>
            </w:pPr>
          </w:p>
        </w:tc>
        <w:tc>
          <w:tcPr>
            <w:tcW w:w="1080" w:type="dxa"/>
            <w:vAlign w:val="bottom"/>
            <w:vMerge w:val="restart"/>
            <w:shd w:val="clear" w:color="auto" w:fill="9ADAF6"/>
          </w:tcPr>
          <w:p>
            <w:pPr>
              <w:jc w:val="right"/>
              <w:ind w:right="38"/>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9"/>
                <w:szCs w:val="9"/>
                <w:color w:val="auto"/>
              </w:rPr>
            </w:pPr>
          </w:p>
        </w:tc>
        <w:tc>
          <w:tcPr>
            <w:tcW w:w="76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Offering</w:t>
            </w:r>
          </w:p>
        </w:tc>
        <w:tc>
          <w:tcPr>
            <w:tcW w:w="20" w:type="dxa"/>
            <w:vAlign w:val="bottom"/>
          </w:tcPr>
          <w:p>
            <w:pPr>
              <w:spacing w:after="0"/>
              <w:rPr>
                <w:sz w:val="9"/>
                <w:szCs w:val="9"/>
                <w:color w:val="auto"/>
              </w:rPr>
            </w:pPr>
          </w:p>
        </w:tc>
        <w:tc>
          <w:tcPr>
            <w:tcW w:w="13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Aggregate</w:t>
            </w:r>
          </w:p>
        </w:tc>
        <w:tc>
          <w:tcPr>
            <w:tcW w:w="20" w:type="dxa"/>
            <w:vAlign w:val="bottom"/>
          </w:tcPr>
          <w:p>
            <w:pPr>
              <w:spacing w:after="0"/>
              <w:rPr>
                <w:sz w:val="9"/>
                <w:szCs w:val="9"/>
                <w:color w:val="auto"/>
              </w:rPr>
            </w:pPr>
          </w:p>
        </w:tc>
        <w:tc>
          <w:tcPr>
            <w:tcW w:w="8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Registration</w:t>
            </w: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9"/>
                <w:szCs w:val="9"/>
                <w:color w:val="auto"/>
              </w:rPr>
            </w:pPr>
          </w:p>
        </w:tc>
        <w:tc>
          <w:tcPr>
            <w:tcW w:w="7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Initial</w:t>
            </w:r>
          </w:p>
        </w:tc>
        <w:tc>
          <w:tcPr>
            <w:tcW w:w="20" w:type="dxa"/>
            <w:vAlign w:val="bottom"/>
          </w:tcPr>
          <w:p>
            <w:pPr>
              <w:spacing w:after="0"/>
              <w:rPr>
                <w:sz w:val="9"/>
                <w:szCs w:val="9"/>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60"/>
              <w:spacing w:after="0" w:line="164"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10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4"/>
                <w:szCs w:val="14"/>
                <w:color w:val="auto"/>
              </w:rPr>
            </w:pPr>
          </w:p>
        </w:tc>
        <w:tc>
          <w:tcPr>
            <w:tcW w:w="13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9"/>
                <w:szCs w:val="9"/>
                <w:color w:val="auto"/>
              </w:rPr>
            </w:pPr>
          </w:p>
        </w:tc>
        <w:tc>
          <w:tcPr>
            <w:tcW w:w="10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Securities</w:t>
            </w: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52"/>
        </w:trPr>
        <w:tc>
          <w:tcPr>
            <w:tcW w:w="40" w:type="dxa"/>
            <w:vAlign w:val="bottom"/>
            <w:tcBorders>
              <w:left w:val="single" w:sz="8" w:color="auto"/>
            </w:tcBorders>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5"/>
          </w:tcPr>
          <w:p>
            <w:pPr>
              <w:jc w:val="center"/>
              <w:ind w:right="198"/>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3.137%</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Senior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4"/>
                <w:szCs w:val="14"/>
                <w:color w:val="auto"/>
              </w:rPr>
            </w:pPr>
          </w:p>
        </w:tc>
        <w:tc>
          <w:tcPr>
            <w:tcW w:w="680" w:type="dxa"/>
            <w:vAlign w:val="bottom"/>
            <w:shd w:val="clear" w:color="auto" w:fill="E7E7E2"/>
          </w:tcPr>
          <w:p>
            <w:pPr>
              <w:ind w:left="20"/>
              <w:spacing w:after="0" w:line="164"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680" w:type="dxa"/>
            <w:vAlign w:val="bottom"/>
            <w:shd w:val="clear" w:color="auto" w:fill="E7E7E2"/>
          </w:tcPr>
          <w:p>
            <w:pPr>
              <w:spacing w:after="0" w:line="164" w:lineRule="exact"/>
              <w:rPr>
                <w:sz w:val="20"/>
                <w:szCs w:val="20"/>
                <w:color w:val="auto"/>
              </w:rPr>
            </w:pPr>
            <w:r>
              <w:rPr>
                <w:rFonts w:ascii="Arial" w:cs="Arial" w:eastAsia="Arial" w:hAnsi="Arial"/>
                <w:sz w:val="16"/>
                <w:szCs w:val="16"/>
                <w:color w:val="auto"/>
              </w:rPr>
              <w:t>Notes</w:t>
            </w:r>
          </w:p>
        </w:tc>
        <w:tc>
          <w:tcPr>
            <w:tcW w:w="20" w:type="dxa"/>
            <w:vAlign w:val="bottom"/>
          </w:tcPr>
          <w:p>
            <w:pPr>
              <w:spacing w:after="0"/>
              <w:rPr>
                <w:sz w:val="14"/>
                <w:szCs w:val="14"/>
                <w:color w:val="auto"/>
              </w:rPr>
            </w:pPr>
          </w:p>
        </w:tc>
        <w:tc>
          <w:tcPr>
            <w:tcW w:w="900" w:type="dxa"/>
            <w:vAlign w:val="bottom"/>
            <w:shd w:val="clear" w:color="auto" w:fill="E7E7E2"/>
          </w:tcPr>
          <w:p>
            <w:pPr>
              <w:jc w:val="center"/>
              <w:spacing w:after="0" w:line="164" w:lineRule="exact"/>
              <w:rPr>
                <w:sz w:val="20"/>
                <w:szCs w:val="20"/>
                <w:color w:val="auto"/>
              </w:rPr>
            </w:pPr>
            <w:r>
              <w:rPr>
                <w:rFonts w:ascii="Arial" w:cs="Arial" w:eastAsia="Arial" w:hAnsi="Arial"/>
                <w:sz w:val="16"/>
                <w:szCs w:val="16"/>
                <w:color w:val="auto"/>
              </w:rPr>
              <w:t>457(o)</w:t>
            </w:r>
          </w:p>
        </w:tc>
        <w:tc>
          <w:tcPr>
            <w:tcW w:w="20" w:type="dxa"/>
            <w:vAlign w:val="bottom"/>
          </w:tcPr>
          <w:p>
            <w:pPr>
              <w:spacing w:after="0"/>
              <w:rPr>
                <w:sz w:val="14"/>
                <w:szCs w:val="14"/>
                <w:color w:val="auto"/>
              </w:rPr>
            </w:pPr>
          </w:p>
        </w:tc>
        <w:tc>
          <w:tcPr>
            <w:tcW w:w="108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3,249,984,000</w:t>
            </w: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jc w:val="center"/>
              <w:spacing w:after="0" w:line="164" w:lineRule="exact"/>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98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$ 448,822.79</w:t>
            </w: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due</w:t>
            </w: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16"/>
                <w:szCs w:val="16"/>
                <w:color w:val="auto"/>
              </w:rPr>
              <w:t>3,249,984,000.00</w:t>
            </w: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2035</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3.187%</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Senior</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7"/>
                <w:szCs w:val="7"/>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2,750,000,000</w:t>
            </w: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$ 379,775.00</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64"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2,750,000,000.00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line="112" w:lineRule="exact"/>
              <w:rPr>
                <w:sz w:val="20"/>
                <w:szCs w:val="20"/>
                <w:color w:val="auto"/>
              </w:rPr>
            </w:pPr>
            <w:r>
              <w:rPr>
                <w:rFonts w:ascii="Arial" w:cs="Arial" w:eastAsia="Arial" w:hAnsi="Arial"/>
                <w:sz w:val="12"/>
                <w:szCs w:val="12"/>
                <w:color w:val="auto"/>
              </w:rPr>
              <w:t>due</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2036</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5"/>
          </w:tcPr>
          <w:p>
            <w:pPr>
              <w:jc w:val="center"/>
              <w:ind w:right="19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Offering Amounts:</w:t>
            </w:r>
          </w:p>
        </w:tc>
        <w:tc>
          <w:tcPr>
            <w:tcW w:w="7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$ 828,597.79</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5,999,984,000.00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Fees Previously Paid:</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Fee Offsets: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Net Fee Due:</w:t>
            </w: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$ 828,597.79</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2" w:lineRule="exact"/>
        <w:rPr>
          <w:sz w:val="20"/>
          <w:szCs w:val="20"/>
          <w:color w:val="auto"/>
        </w:rPr>
      </w:pPr>
    </w:p>
    <w:p>
      <w:pPr>
        <w:ind w:left="200" w:right="620" w:hanging="168"/>
        <w:spacing w:after="0" w:line="231" w:lineRule="auto"/>
        <w:tabs>
          <w:tab w:leader="none" w:pos="200" w:val="left"/>
        </w:tabs>
        <w:numPr>
          <w:ilvl w:val="0"/>
          <w:numId w:val="74"/>
        </w:numPr>
        <w:rPr>
          <w:rFonts w:ascii="Arial" w:cs="Arial" w:eastAsia="Arial" w:hAnsi="Arial"/>
          <w:sz w:val="20"/>
          <w:szCs w:val="20"/>
          <w:color w:val="auto"/>
          <w:vertAlign w:val="superscript"/>
        </w:rPr>
      </w:pPr>
      <w:r>
        <w:rPr>
          <w:rFonts w:ascii="Arial" w:cs="Arial" w:eastAsia="Arial" w:hAnsi="Arial"/>
          <w:sz w:val="16"/>
          <w:szCs w:val="16"/>
          <w:color w:val="auto"/>
        </w:rPr>
        <w:t>Represents the aggregate principal amount of the applicable series of notes to be offered in the exchange offer to which the registration statement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59055</wp:posOffset>
            </wp:positionV>
            <wp:extent cx="715200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15" w:lineRule="exact"/>
        <w:rPr>
          <w:sz w:val="20"/>
          <w:szCs w:val="20"/>
          <w:color w:val="auto"/>
        </w:rPr>
      </w:pPr>
    </w:p>
    <w:p>
      <w:pPr>
        <w:ind w:left="200" w:right="620" w:hanging="168"/>
        <w:spacing w:after="0" w:line="231" w:lineRule="auto"/>
        <w:tabs>
          <w:tab w:leader="none" w:pos="200" w:val="left"/>
        </w:tabs>
        <w:numPr>
          <w:ilvl w:val="0"/>
          <w:numId w:val="75"/>
        </w:numPr>
        <w:rPr>
          <w:rFonts w:ascii="Arial" w:cs="Arial" w:eastAsia="Arial" w:hAnsi="Arial"/>
          <w:sz w:val="20"/>
          <w:szCs w:val="20"/>
          <w:color w:val="auto"/>
          <w:vertAlign w:val="superscript"/>
        </w:rPr>
      </w:pPr>
      <w:r>
        <w:rPr>
          <w:rFonts w:ascii="Arial" w:cs="Arial" w:eastAsia="Arial" w:hAnsi="Arial"/>
          <w:sz w:val="16"/>
          <w:szCs w:val="16"/>
          <w:color w:val="auto"/>
        </w:rPr>
        <w:t>Represents the aggregate principal amount of the applicable series of notes to be offered in the exchange offer to which the registration statement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59055</wp:posOffset>
            </wp:positionV>
            <wp:extent cx="715200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0" w:type="dxa"/>
            <w:vAlign w:val="bottom"/>
            <w:tcBorders>
              <w:bottom w:val="single" w:sz="8" w:color="auto"/>
            </w:tcBorders>
          </w:tcPr>
          <w:p>
            <w:pPr>
              <w:spacing w:after="0"/>
              <w:rPr>
                <w:sz w:val="23"/>
                <w:szCs w:val="23"/>
                <w:color w:val="auto"/>
              </w:rPr>
            </w:pPr>
          </w:p>
        </w:tc>
        <w:tc>
          <w:tcPr>
            <w:tcW w:w="338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4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4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jc w:val="center"/>
              <w:ind w:right="198"/>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4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4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2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3"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3"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vMerge w:val="restart"/>
            <w:shd w:val="clear" w:color="auto" w:fill="9ADAF6"/>
          </w:tcPr>
          <w:p>
            <w:pPr>
              <w:jc w:val="center"/>
              <w:ind w:right="141"/>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restart"/>
            <w:shd w:val="clear" w:color="auto" w:fill="9ADAF6"/>
          </w:tcPr>
          <w:p>
            <w:pPr>
              <w:jc w:val="center"/>
              <w:ind w:right="262"/>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40" w:type="dxa"/>
            <w:vAlign w:val="bottom"/>
            <w:gridSpan w:val="2"/>
            <w:vMerge w:val="restart"/>
            <w:shd w:val="clear" w:color="auto" w:fill="9ADAF6"/>
          </w:tcPr>
          <w:p>
            <w:pP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4"/>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w w:val="99"/>
              </w:rPr>
              <w:t>Security Type</w:t>
            </w: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6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4"/>
            <w:vMerge w:val="continue"/>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60" w:type="dxa"/>
            <w:vAlign w:val="bottom"/>
            <w:gridSpan w:val="5"/>
            <w:vMerge w:val="continue"/>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40" w:type="dxa"/>
            <w:vAlign w:val="bottom"/>
            <w:gridSpan w:val="2"/>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restart"/>
            <w:shd w:val="clear" w:color="auto" w:fill="9ADAF6"/>
          </w:tcPr>
          <w:p>
            <w:pPr>
              <w:jc w:val="center"/>
              <w:ind w:right="161"/>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4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60" w:type="dxa"/>
            <w:vAlign w:val="bottom"/>
            <w:gridSpan w:val="3"/>
            <w:vMerge w:val="restart"/>
            <w:shd w:val="clear" w:color="auto" w:fill="9ADAF6"/>
          </w:tcPr>
          <w:p>
            <w:pPr>
              <w:jc w:val="center"/>
              <w:ind w:right="262"/>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1" w:right="239" w:bottom="80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1)"/>
      <w:numFmt w:val="decimal"/>
      <w:start w:val="7"/>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3"/>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lowerRoman"/>
      <w:start w:val="2"/>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6"/>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lowerRoman"/>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3">
    <w:nsid w:val="5FF87E05"/>
    <w:multiLevelType w:val="hybridMultilevel"/>
    <w:lvl w:ilvl="0">
      <w:lvlJc w:val="left"/>
      <w:lvlText w:val="%1"/>
      <w:numFmt w:val="lowerLetter"/>
      <w:start w:val="1"/>
    </w:lvl>
    <w:lvl w:ilvl="1">
      <w:lvlJc w:val="left"/>
      <w:lvlText w:val="(%2)"/>
      <w:numFmt w:val="lowerRoman"/>
      <w:start w:val="4"/>
    </w:lvl>
  </w:abstractNum>
  <w:abstractNum w:abstractNumId="54">
    <w:nsid w:val="2F305DEF"/>
    <w:multiLevelType w:val="hybridMultilevel"/>
    <w:lvl w:ilvl="0">
      <w:lvlJc w:val="left"/>
      <w:lvlText w:val="(%1)"/>
      <w:numFmt w:val="lowerLetter"/>
      <w:start w:val="2"/>
    </w:lvl>
    <w:lvl w:ilvl="1">
      <w:lvlJc w:val="left"/>
      <w:lvlText w:val="%2"/>
      <w:numFmt w:val="lowerRoman"/>
      <w:start w:val="1"/>
    </w:lvl>
  </w:abstractNum>
  <w:abstractNum w:abstractNumId="55">
    <w:nsid w:val="25A70BF7"/>
    <w:multiLevelType w:val="hybridMultilevel"/>
    <w:lvl w:ilvl="0">
      <w:lvlJc w:val="left"/>
      <w:lvlText w:val=" "/>
      <w:numFmt w:val="bullet"/>
      <w:start w:val="1"/>
    </w:lvl>
  </w:abstractNum>
  <w:abstractNum w:abstractNumId="56">
    <w:nsid w:val="1DBABF00"/>
    <w:multiLevelType w:val="hybridMultilevel"/>
    <w:lvl w:ilvl="0">
      <w:lvlJc w:val="left"/>
      <w:lvlText w:val=" "/>
      <w:numFmt w:val="bullet"/>
      <w:start w:val="1"/>
    </w:lvl>
  </w:abstractNum>
  <w:abstractNum w:abstractNumId="57">
    <w:nsid w:val="4AD084E9"/>
    <w:multiLevelType w:val="hybridMultilevel"/>
    <w:lvl w:ilvl="0">
      <w:lvlJc w:val="left"/>
      <w:lvlText w:val="(%1)"/>
      <w:numFmt w:val="decimal"/>
      <w:start w:val="2"/>
    </w:lvl>
  </w:abstractNum>
  <w:abstractNum w:abstractNumId="58">
    <w:nsid w:val="1F48EAA1"/>
    <w:multiLevelType w:val="hybridMultilevel"/>
    <w:lvl w:ilvl="0">
      <w:lvlJc w:val="left"/>
      <w:lvlText w:val="(%1)"/>
      <w:numFmt w:val="lowerRoman"/>
      <w:start w:val="2"/>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1)"/>
      <w:numFmt w:val="lowerLetter"/>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lowerLetter"/>
      <w:start w:val="2"/>
    </w:lvl>
  </w:abstractNum>
  <w:abstractNum w:abstractNumId="67">
    <w:nsid w:val="6B94764"/>
    <w:multiLevelType w:val="hybridMultilevel"/>
    <w:lvl w:ilvl="0">
      <w:lvlJc w:val="left"/>
      <w:lvlText w:val="(%1)"/>
      <w:numFmt w:val="lowerLetter"/>
      <w:start w:val="1"/>
    </w:lvl>
    <w:lvl w:ilvl="1">
      <w:lvlJc w:val="left"/>
      <w:lvlText w:val="-"/>
      <w:numFmt w:val="bullet"/>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1)"/>
      <w:numFmt w:val="lowerLetter"/>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1"/>
      <w:numFmt w:val="bullet"/>
      <w:start w:val="1"/>
    </w:lvl>
  </w:abstractNum>
  <w:abstractNum w:abstractNumId="74">
    <w:nsid w:val="7BD3EE7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jpe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jpeg"/><Relationship Id="rId119" Type="http://schemas.openxmlformats.org/officeDocument/2006/relationships/image" Target="media/image96.png"/><Relationship Id="rId120" Type="http://schemas.openxmlformats.org/officeDocument/2006/relationships/image" Target="media/image97.jpe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28" Type="http://schemas.openxmlformats.org/officeDocument/2006/relationships/hyperlink" Target="http://www.sec.gov/ix?doc=/Archives/edgar/data/1730168/000173016825000121/avgo-20251102.htm" TargetMode="External"/><Relationship Id="rId29" Type="http://schemas.openxmlformats.org/officeDocument/2006/relationships/hyperlink" Target="http://www.sec.gov/ix?doc=/Archives/edgar/data/1730168/000173016826000054/avgo-20260503.htm" TargetMode="External"/><Relationship Id="rId30" Type="http://schemas.openxmlformats.org/officeDocument/2006/relationships/hyperlink" Target="http://www.sec.gov/ix?doc=/Archives/edgar/data/1730168/000173016825000116/avgo-20251211.htm" TargetMode="External"/><Relationship Id="rId31" Type="http://schemas.openxmlformats.org/officeDocument/2006/relationships/hyperlink" Target="http://www.sec.gov/ix?doc=/Archives/edgar/data/1730168/000119312526011731/d104560d8k.htm" TargetMode="External"/><Relationship Id="rId32" Type="http://schemas.openxmlformats.org/officeDocument/2006/relationships/hyperlink" Target="http://www.sec.gov/ix?doc=/Archives/edgar/data/1730168/000119312526085656/d305325d8k.htm" TargetMode="External"/><Relationship Id="rId33" Type="http://schemas.openxmlformats.org/officeDocument/2006/relationships/hyperlink" Target="http://www.sec.gov/ix?doc=/Archives/edgar/data/1730168/000173016826000011/avgo-20260304.htm" TargetMode="External"/><Relationship Id="rId34" Type="http://schemas.openxmlformats.org/officeDocument/2006/relationships/hyperlink" Target="http://www.sec.gov/ix?doc=/Archives/edgar/data/1730168/000119312526140574/d109450d8k.htm" TargetMode="External"/><Relationship Id="rId35" Type="http://schemas.openxmlformats.org/officeDocument/2006/relationships/hyperlink" Target="http://www.sec.gov/ix?doc=/Archives/edgar/data/1730168/000119312526144028/d87999d8k.htm" TargetMode="External"/><Relationship Id="rId36" Type="http://schemas.openxmlformats.org/officeDocument/2006/relationships/hyperlink" Target="http://www.sec.gov/ix?doc=/Archives/edgar/data/1730168/000173016826000039/avgo-20260420.htm" TargetMode="External"/><Relationship Id="rId37" Type="http://schemas.openxmlformats.org/officeDocument/2006/relationships/hyperlink" Target="http://www.sec.gov/ix?doc=/Archives/edgar/data/0001730168/000173016826000051/avgo-20260603.htm" TargetMode="External"/><Relationship Id="rId38" Type="http://schemas.openxmlformats.org/officeDocument/2006/relationships/hyperlink" Target="http://www.sec.gov/ix?doc=/Archives/edgar/data/1730168/000119312526085691/d49254ddef14a.htm" TargetMode="External"/><Relationship Id="rId110" Type="http://schemas.openxmlformats.org/officeDocument/2006/relationships/hyperlink" Target="http://www.sec.gov/Archives/edgar/data/1730168/000173016824000099/ex31arcertificateofincorpo.htm" TargetMode="External"/><Relationship Id="rId111" Type="http://schemas.openxmlformats.org/officeDocument/2006/relationships/hyperlink" Target="http://www.sec.gov/Archives/edgar/data/1730168/000119312518107559/d562806dex32.htm" TargetMode="External"/><Relationship Id="rId112" Type="http://schemas.openxmlformats.org/officeDocument/2006/relationships/hyperlink" Target="http://www.sec.gov/Archives/edgar/data/1730168/000119312521287948/d238245dex41.htm" TargetMode="External"/><Relationship Id="rId113" Type="http://schemas.openxmlformats.org/officeDocument/2006/relationships/hyperlink" Target="http://www.sec.gov/Archives/edgar/data/1730168/000173016826000054/ex430supplementalindenture.htm" TargetMode="External"/><Relationship Id="rId114" Type="http://schemas.openxmlformats.org/officeDocument/2006/relationships/hyperlink" Target="http://www.sec.gov/Archives/edgar/data/1730168/000119312521287948/d238245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2026-06-09T08:45:35Z</dcterms:created>
  <dcterms:modified xsi:type="dcterms:W3CDTF">2026-06-09T08:45:35Z</dcterms:modified>
</cp:coreProperties>
</file>