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6)*</w:t>
      </w:r>
    </w:p>
    <w:p>
      <w:pPr>
        <w:spacing w:after="0" w:line="200" w:lineRule="exact"/>
        <w:rPr>
          <w:sz w:val="24"/>
          <w:szCs w:val="24"/>
          <w:color w:val="auto"/>
        </w:rPr>
      </w:pPr>
    </w:p>
    <w:p>
      <w:pPr>
        <w:spacing w:after="0" w:line="204"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Avago Technologies Ltd</w:t>
      </w:r>
    </w:p>
    <w:p>
      <w:pPr>
        <w:jc w:val="center"/>
        <w:ind w:right="241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Ordinary Shares</w:t>
      </w:r>
    </w:p>
    <w:p>
      <w:pPr>
        <w:ind w:left="232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B3WS2X9</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February 29, 2016</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B3WS2X9</w:t>
      </w:r>
      <w:r>
        <w:rPr>
          <w:sz w:val="20"/>
          <w:szCs w:val="20"/>
          <w:color w:val="auto"/>
        </w:rPr>
        <w:tab/>
      </w:r>
      <w:r>
        <w:rPr>
          <w:rFonts w:ascii="Courier New" w:cs="Courier New" w:eastAsia="Courier New" w:hAnsi="Courier New"/>
          <w:sz w:val="16"/>
          <w:szCs w:val="16"/>
          <w:color w:val="auto"/>
        </w:rPr>
        <w:t>Page 1 of 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World Investors **</w:t>
      </w:r>
    </w:p>
    <w:p>
      <w:pPr>
        <w:spacing w:after="0" w:line="200" w:lineRule="exact"/>
        <w:rPr>
          <w:sz w:val="24"/>
          <w:szCs w:val="24"/>
          <w:color w:val="auto"/>
        </w:rPr>
      </w:pPr>
    </w:p>
    <w:p>
      <w:pPr>
        <w:spacing w:after="0" w:line="205"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48" w:orient="portrait"/>
          <w:cols w:equalWidth="0" w:num="1">
            <w:col w:w="10219"/>
          </w:cols>
          <w:pgMar w:left="240" w:top="244" w:right="1440" w:bottom="0" w:gutter="0" w:footer="0" w:header="0"/>
        </w:sectPr>
      </w:pPr>
    </w:p>
    <w:bookmarkStart w:id="1" w:name="page2"/>
    <w:bookmarkEnd w:id="1"/>
    <w:p>
      <w:pPr>
        <w:ind w:left="1900" w:right="6639" w:hanging="523"/>
        <w:spacing w:after="0" w:line="470" w:lineRule="auto"/>
        <w:tabs>
          <w:tab w:leader="none" w:pos="179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NONE</w:t>
      </w:r>
    </w:p>
    <w:p>
      <w:pPr>
        <w:spacing w:after="0" w:line="209"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NONE</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3" w:lineRule="exact"/>
        <w:rPr>
          <w:sz w:val="20"/>
          <w:szCs w:val="20"/>
          <w:color w:val="auto"/>
        </w:rPr>
      </w:pPr>
    </w:p>
    <w:p>
      <w:pPr>
        <w:ind w:left="1900" w:right="5899" w:hanging="523"/>
        <w:spacing w:after="0" w:line="470"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7" w:lineRule="exact"/>
        <w:rPr>
          <w:sz w:val="20"/>
          <w:szCs w:val="20"/>
          <w:color w:val="auto"/>
        </w:rPr>
      </w:pPr>
    </w:p>
    <w:p>
      <w:pPr>
        <w:ind w:left="540" w:right="2519"/>
        <w:spacing w:after="0" w:line="237" w:lineRule="auto"/>
        <w:rPr>
          <w:sz w:val="20"/>
          <w:szCs w:val="20"/>
          <w:color w:val="auto"/>
        </w:rPr>
      </w:pPr>
      <w:r>
        <w:rPr>
          <w:rFonts w:ascii="Courier New" w:cs="Courier New" w:eastAsia="Courier New" w:hAnsi="Courier New"/>
          <w:sz w:val="18"/>
          <w:szCs w:val="18"/>
          <w:color w:val="auto"/>
        </w:rPr>
        <w:t>NONE Beneficial ownership disclaimed pursuant to Rule 13d-4 Please note that this amendment to Schedule 13G is meant to reflect that the Common Stock of Avago Technologies Ltd is no longer reportable under Rule 13D-G because Avago Technologies Ltd., was acquired by Broadcom Limited.</w:t>
      </w:r>
    </w:p>
    <w:p>
      <w:pPr>
        <w:spacing w:after="0" w:line="6" w:lineRule="exact"/>
        <w:rPr>
          <w:sz w:val="20"/>
          <w:szCs w:val="20"/>
          <w:color w:val="auto"/>
        </w:rPr>
      </w:pPr>
    </w:p>
    <w:p>
      <w:pPr>
        <w:ind w:left="540" w:right="2519" w:hanging="427"/>
        <w:spacing w:after="0" w:line="235"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0.0%</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division of Capital Research and Management Company (CRMC)</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B3WS2X9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4</w:t>
      </w:r>
    </w:p>
    <w:p>
      <w:pPr>
        <w:spacing w:after="0" w:line="200" w:lineRule="exact"/>
        <w:rPr>
          <w:sz w:val="20"/>
          <w:szCs w:val="20"/>
          <w:color w:val="auto"/>
        </w:rPr>
      </w:pPr>
    </w:p>
    <w:p>
      <w:pPr>
        <w:sectPr>
          <w:pgSz w:w="11900" w:h="16838" w:orient="portrait"/>
          <w:cols w:equalWidth="0" w:num="2">
            <w:col w:w="6020" w:space="720"/>
            <w:col w:w="3479"/>
          </w:cols>
          <w:pgMar w:left="240" w:top="142" w:right="1440" w:bottom="0" w:gutter="0" w:footer="0" w:header="0"/>
          <w:type w:val="continuous"/>
        </w:sectPr>
      </w:pPr>
    </w:p>
    <w:p>
      <w:pPr>
        <w:spacing w:after="0" w:line="221"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4"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6"/>
          <w:szCs w:val="16"/>
          <w:color w:val="auto"/>
        </w:rPr>
        <w:t>Under the Securities Exchange Act of 1934</w:t>
      </w:r>
    </w:p>
    <w:p>
      <w:pPr>
        <w:sectPr>
          <w:pgSz w:w="11900" w:h="16838" w:orient="portrait"/>
          <w:cols w:equalWidth="0" w:num="1">
            <w:col w:w="10219"/>
          </w:cols>
          <w:pgMar w:left="240" w:top="142" w:right="1440" w:bottom="0" w:gutter="0" w:footer="0" w:header="0"/>
          <w:type w:val="continuous"/>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6</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Avago Technologies Ltd</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1 Yishun Avenue 7</w:t>
      </w:r>
    </w:p>
    <w:p>
      <w:pPr>
        <w:ind w:left="740"/>
        <w:spacing w:after="0"/>
        <w:rPr>
          <w:sz w:val="20"/>
          <w:szCs w:val="20"/>
          <w:color w:val="auto"/>
        </w:rPr>
      </w:pPr>
      <w:r>
        <w:rPr>
          <w:rFonts w:ascii="Courier New" w:cs="Courier New" w:eastAsia="Courier New" w:hAnsi="Courier New"/>
          <w:sz w:val="18"/>
          <w:szCs w:val="18"/>
          <w:color w:val="auto"/>
        </w:rPr>
        <w:t>Singapore 768923</w:t>
      </w:r>
    </w:p>
    <w:p>
      <w:pPr>
        <w:spacing w:after="0" w:line="20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ind w:left="740"/>
        <w:spacing w:after="0" w:line="238" w:lineRule="auto"/>
        <w:rPr>
          <w:sz w:val="20"/>
          <w:szCs w:val="20"/>
          <w:color w:val="auto"/>
        </w:rPr>
      </w:pPr>
      <w:r>
        <w:rPr>
          <w:rFonts w:ascii="Courier New" w:cs="Courier New" w:eastAsia="Courier New" w:hAnsi="Courier New"/>
          <w:sz w:val="18"/>
          <w:szCs w:val="18"/>
          <w:color w:val="auto"/>
        </w:rPr>
        <w:t>Capital World Investors</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line="237" w:lineRule="auto"/>
        <w:rPr>
          <w:sz w:val="20"/>
          <w:szCs w:val="20"/>
          <w:color w:val="auto"/>
        </w:rPr>
      </w:pPr>
      <w:r>
        <w:rPr>
          <w:rFonts w:ascii="Courier New" w:cs="Courier New" w:eastAsia="Courier New" w:hAnsi="Courier New"/>
          <w:sz w:val="18"/>
          <w:szCs w:val="18"/>
          <w:color w:val="auto"/>
        </w:rPr>
        <w:t>Los Angeles, CA 90071</w:t>
      </w:r>
    </w:p>
    <w:p>
      <w:pPr>
        <w:sectPr>
          <w:pgSz w:w="11900" w:h="16838" w:orient="portrait"/>
          <w:cols w:equalWidth="0" w:num="1">
            <w:col w:w="10219"/>
          </w:cols>
          <w:pgMar w:left="240" w:top="142" w:right="1440" w:bottom="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Citizenship:</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w:t>
      </w:r>
    </w:p>
    <w:p>
      <w:pPr>
        <w:spacing w:after="0" w:line="200" w:lineRule="exact"/>
        <w:rPr>
          <w:sz w:val="20"/>
          <w:szCs w:val="20"/>
          <w:color w:val="auto"/>
        </w:rPr>
      </w:pPr>
    </w:p>
    <w:p>
      <w:pPr>
        <w:sectPr>
          <w:pgSz w:w="11900" w:h="16838" w:orient="portrait"/>
          <w:cols w:equalWidth="0" w:num="3">
            <w:col w:w="960" w:space="520"/>
            <w:col w:w="1260" w:space="320"/>
            <w:col w:w="7159"/>
          </w:cols>
          <w:pgMar w:left="240" w:top="142" w:right="1440" w:bottom="0" w:gutter="0" w:footer="0" w:header="0"/>
          <w:type w:val="continuous"/>
        </w:sectPr>
      </w:pPr>
    </w:p>
    <w:p>
      <w:pPr>
        <w:spacing w:after="0" w:line="18"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Ordinary Shares</w:t>
      </w:r>
    </w:p>
    <w:p>
      <w:pPr>
        <w:sectPr>
          <w:pgSz w:w="11900" w:h="16838" w:orient="portrait"/>
          <w:cols w:equalWidth="0" w:num="1">
            <w:col w:w="10219"/>
          </w:cols>
          <w:pgMar w:left="240" w:top="142" w:right="1440" w:bottom="0" w:gutter="0" w:footer="0" w:header="0"/>
          <w:type w:val="continuous"/>
        </w:sectPr>
      </w:pP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w:t>
      </w:r>
    </w:p>
    <w:p>
      <w:pPr>
        <w:spacing w:after="0" w:line="4"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B3WS2X9</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402" w:lineRule="exact"/>
        <w:rPr>
          <w:sz w:val="20"/>
          <w:szCs w:val="20"/>
          <w:color w:val="auto"/>
        </w:rPr>
      </w:pPr>
    </w:p>
    <w:p>
      <w:pPr>
        <w:sectPr>
          <w:pgSz w:w="11900" w:h="16838" w:orient="portrait"/>
          <w:cols w:equalWidth="0" w:num="2">
            <w:col w:w="1480" w:space="0"/>
            <w:col w:w="873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2739" w:firstLine="421"/>
        <w:spacing w:after="0" w:line="236" w:lineRule="auto"/>
        <w:rPr>
          <w:sz w:val="20"/>
          <w:szCs w:val="20"/>
          <w:color w:val="auto"/>
        </w:rPr>
      </w:pPr>
      <w:r>
        <w:rPr>
          <w:rFonts w:ascii="Courier New" w:cs="Courier New" w:eastAsia="Courier New" w:hAnsi="Courier New"/>
          <w:sz w:val="18"/>
          <w:szCs w:val="18"/>
          <w:color w:val="auto"/>
        </w:rPr>
        <w:t>If this statement is filed pursuant to sections 240.13d-1(b) or 240.13d-2(b) or (c), check whether the person filing is a: (e) [X] An investment adviser in accordance with</w:t>
      </w:r>
    </w:p>
    <w:p>
      <w:pPr>
        <w:sectPr>
          <w:pgSz w:w="11900" w:h="16838" w:orient="portrait"/>
          <w:cols w:equalWidth="0" w:num="2">
            <w:col w:w="640" w:space="100"/>
            <w:col w:w="9479"/>
          </w:cols>
          <w:pgMar w:left="240" w:top="142" w:right="1440" w:bottom="0" w:gutter="0" w:footer="0" w:header="0"/>
          <w:type w:val="continuous"/>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section 240.13d-1(b)(1)(ii)(E).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6" w:lineRule="exact"/>
        <w:rPr>
          <w:sz w:val="20"/>
          <w:szCs w:val="20"/>
          <w:color w:val="auto"/>
        </w:rPr>
      </w:pPr>
    </w:p>
    <w:p>
      <w:pPr>
        <w:ind w:left="1480" w:hanging="735"/>
        <w:spacing w:after="0"/>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[X]</w:t>
      </w:r>
    </w:p>
    <w:p>
      <w:pPr>
        <w:spacing w:after="0" w:line="203"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B3WS2X9</w:t>
      </w:r>
      <w:r>
        <w:rPr>
          <w:sz w:val="20"/>
          <w:szCs w:val="20"/>
          <w:color w:val="auto"/>
        </w:rPr>
        <w:tab/>
      </w:r>
      <w:r>
        <w:rPr>
          <w:rFonts w:ascii="Courier New" w:cs="Courier New" w:eastAsia="Courier New" w:hAnsi="Courier New"/>
          <w:sz w:val="16"/>
          <w:szCs w:val="16"/>
          <w:color w:val="auto"/>
        </w:rPr>
        <w:t>Page 3 of 4</w:t>
      </w:r>
    </w:p>
    <w:p>
      <w:pPr>
        <w:spacing w:after="0" w:line="207" w:lineRule="exact"/>
        <w:rPr>
          <w:sz w:val="20"/>
          <w:szCs w:val="20"/>
          <w:color w:val="auto"/>
        </w:rPr>
      </w:pPr>
    </w:p>
    <w:p>
      <w:pPr>
        <w:ind w:left="740" w:right="31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08"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38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March 9, 2016</w:t>
            </w:r>
          </w:p>
        </w:tc>
      </w:tr>
      <w:tr>
        <w:trPr>
          <w:trHeight w:val="405"/>
        </w:trPr>
        <w:tc>
          <w:tcPr>
            <w:tcW w:w="13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680" w:type="dxa"/>
            <w:vAlign w:val="bottom"/>
          </w:tcPr>
          <w:p>
            <w:pPr>
              <w:ind w:left="220"/>
              <w:spacing w:after="0"/>
              <w:rPr>
                <w:sz w:val="20"/>
                <w:szCs w:val="20"/>
                <w:color w:val="auto"/>
              </w:rPr>
            </w:pPr>
            <w:r>
              <w:rPr>
                <w:rFonts w:ascii="Courier New" w:cs="Courier New" w:eastAsia="Courier New" w:hAnsi="Courier New"/>
                <w:sz w:val="18"/>
                <w:szCs w:val="18"/>
                <w:color w:val="auto"/>
              </w:rPr>
              <w:t>Alan</w:t>
            </w:r>
          </w:p>
        </w:tc>
        <w:tc>
          <w:tcPr>
            <w:tcW w:w="3120" w:type="dxa"/>
            <w:vAlign w:val="bottom"/>
          </w:tcPr>
          <w:p>
            <w:pPr>
              <w:ind w:left="60"/>
              <w:spacing w:after="0"/>
              <w:rPr>
                <w:sz w:val="20"/>
                <w:szCs w:val="20"/>
                <w:color w:val="auto"/>
              </w:rPr>
            </w:pPr>
            <w:r>
              <w:rPr>
                <w:rFonts w:ascii="Courier New" w:cs="Courier New" w:eastAsia="Courier New" w:hAnsi="Courier New"/>
                <w:sz w:val="18"/>
                <w:szCs w:val="18"/>
                <w:color w:val="auto"/>
              </w:rPr>
              <w:t>Berro***</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Name/Title:</w:t>
            </w:r>
          </w:p>
        </w:tc>
        <w:tc>
          <w:tcPr>
            <w:tcW w:w="6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Alan</w:t>
            </w:r>
          </w:p>
        </w:tc>
        <w:tc>
          <w:tcPr>
            <w:tcW w:w="3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Berro - Senior Vice President</w:t>
            </w:r>
          </w:p>
        </w:tc>
      </w:tr>
      <w:tr>
        <w:trPr>
          <w:trHeight w:val="203"/>
        </w:trPr>
        <w:tc>
          <w:tcPr>
            <w:tcW w:w="1360" w:type="dxa"/>
            <w:vAlign w:val="bottom"/>
          </w:tcPr>
          <w:p>
            <w:pPr>
              <w:spacing w:after="0"/>
              <w:rPr>
                <w:sz w:val="17"/>
                <w:szCs w:val="17"/>
                <w:color w:val="auto"/>
              </w:rPr>
            </w:pPr>
          </w:p>
        </w:tc>
        <w:tc>
          <w:tcPr>
            <w:tcW w:w="38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Capital World Investors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***By</w:t>
        <w:tab/>
        <w:t>/s/ Michael J. Triessl</w:t>
      </w:r>
    </w:p>
    <w:p>
      <w:pPr>
        <w:ind w:left="1580"/>
        <w:spacing w:after="0" w:line="238" w:lineRule="auto"/>
        <w:rPr>
          <w:sz w:val="20"/>
          <w:szCs w:val="20"/>
          <w:color w:val="auto"/>
        </w:rPr>
      </w:pPr>
      <w:r>
        <w:rPr>
          <w:rFonts w:ascii="Courier New" w:cs="Courier New" w:eastAsia="Courier New" w:hAnsi="Courier New"/>
          <w:sz w:val="18"/>
          <w:szCs w:val="18"/>
          <w:color w:val="auto"/>
        </w:rPr>
        <w:t>Michael J. Triessl</w:t>
      </w:r>
    </w:p>
    <w:p>
      <w:pPr>
        <w:ind w:left="1580"/>
        <w:spacing w:after="0"/>
        <w:rPr>
          <w:sz w:val="20"/>
          <w:szCs w:val="20"/>
          <w:color w:val="auto"/>
        </w:rPr>
      </w:pPr>
      <w:r>
        <w:rPr>
          <w:rFonts w:ascii="Courier New" w:cs="Courier New" w:eastAsia="Courier New" w:hAnsi="Courier New"/>
          <w:sz w:val="18"/>
          <w:szCs w:val="18"/>
          <w:color w:val="auto"/>
        </w:rPr>
        <w:t>Attorney-in-fact</w:t>
      </w:r>
    </w:p>
    <w:p>
      <w:pPr>
        <w:spacing w:after="0" w:line="206" w:lineRule="exact"/>
        <w:rPr>
          <w:sz w:val="20"/>
          <w:szCs w:val="20"/>
          <w:color w:val="auto"/>
        </w:rPr>
      </w:pPr>
    </w:p>
    <w:p>
      <w:pPr>
        <w:ind w:left="1060" w:right="2739"/>
        <w:spacing w:after="0" w:line="275" w:lineRule="auto"/>
        <w:rPr>
          <w:sz w:val="20"/>
          <w:szCs w:val="20"/>
          <w:color w:val="auto"/>
        </w:rPr>
      </w:pPr>
      <w:r>
        <w:rPr>
          <w:rFonts w:ascii="Courier New" w:cs="Courier New" w:eastAsia="Courier New" w:hAnsi="Courier New"/>
          <w:sz w:val="16"/>
          <w:szCs w:val="16"/>
          <w:color w:val="auto"/>
        </w:rPr>
        <w:t>Signed pursuant to a Power of Attorney dated December 19, 2014 included as an Exhibit to Schedule 13G filed with the Securities and Exchange Commission by Capital World Investors on February 6, 2015 with respect to Hudbay Minerals Inc.</w:t>
      </w:r>
    </w:p>
    <w:p>
      <w:pPr>
        <w:sectPr>
          <w:pgSz w:w="11900" w:h="16838" w:orient="portrait"/>
          <w:cols w:equalWidth="0" w:num="1">
            <w:col w:w="10219"/>
          </w:cols>
          <w:pgMar w:left="240" w:top="136" w:right="1440" w:bottom="1120" w:gutter="0" w:footer="0" w:header="0"/>
        </w:sectPr>
      </w:pPr>
    </w:p>
    <w:bookmarkStart w:id="3" w:name="page4"/>
    <w:bookmarkEnd w:id="3"/>
    <w:p>
      <w:pPr>
        <w:spacing w:after="0" w:line="115"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B3WS2X9</w:t>
      </w:r>
      <w:r>
        <w:rPr>
          <w:sz w:val="20"/>
          <w:szCs w:val="20"/>
          <w:color w:val="auto"/>
        </w:rPr>
        <w:tab/>
      </w:r>
      <w:r>
        <w:rPr>
          <w:rFonts w:ascii="Courier New" w:cs="Courier New" w:eastAsia="Courier New" w:hAnsi="Courier New"/>
          <w:sz w:val="16"/>
          <w:szCs w:val="16"/>
          <w:color w:val="auto"/>
        </w:rPr>
        <w:t>Page 4 of 4</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5"/>
      <w:numFmt w:val="bullet"/>
      <w:start w:val="1"/>
    </w:lvl>
  </w:abstractNum>
  <w:abstractNum w:abstractNumId="6">
    <w:nsid w:val="5BD062C2"/>
    <w:multiLevelType w:val="hybridMultilevel"/>
    <w:lvl w:ilvl="0">
      <w:lvlJc w:val="left"/>
      <w:lvlText w:val="8"/>
      <w:numFmt w:val="bullet"/>
      <w:start w:val="1"/>
    </w:lvl>
  </w:abstractNum>
  <w:abstractNum w:abstractNumId="7">
    <w:nsid w:val="12200854"/>
    <w:multiLevelType w:val="hybridMultilevel"/>
    <w:lvl w:ilvl="0">
      <w:lvlJc w:val="left"/>
      <w:lvlText w:val="9"/>
      <w:numFmt w:val="bullet"/>
      <w:start w:val="1"/>
    </w:lvl>
  </w:abstractNum>
  <w:abstractNum w:abstractNumId="8">
    <w:nsid w:val="4DB127F8"/>
    <w:multiLevelType w:val="hybridMultilevel"/>
    <w:lvl w:ilvl="0">
      <w:lvlJc w:val="left"/>
      <w:lvlText w:val="**"/>
      <w:numFmt w:val="bullet"/>
      <w:start w:val="1"/>
    </w:lvl>
    <w:lvl w:ilvl="1">
      <w:lvlJc w:val="left"/>
      <w:lvlText w:val="%2"/>
      <w:numFmt w:val="decimal"/>
      <w:start w:val="10"/>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2019-12-21T04:03:52Z</dcterms:created>
  <dcterms:modified xsi:type="dcterms:W3CDTF">2019-12-21T04:03:52Z</dcterms:modified>
</cp:coreProperties>
</file>