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90170</wp:posOffset>
            </wp:positionV>
            <wp:extent cx="1825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37465</wp:posOffset>
            </wp:positionV>
            <wp:extent cx="1825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Date of Report (Date of earliest event reported): May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94615</wp:posOffset>
            </wp:positionV>
            <wp:extent cx="1825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Broadcom Inc.</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167640</wp:posOffset>
            </wp:positionV>
            <wp:extent cx="1825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4180" w:type="dxa"/>
            <w:vAlign w:val="bottom"/>
          </w:tcPr>
          <w:p>
            <w:pPr>
              <w:jc w:val="center"/>
              <w:ind w:right="1362"/>
              <w:spacing w:after="0"/>
              <w:rPr>
                <w:sz w:val="20"/>
                <w:szCs w:val="20"/>
                <w:color w:val="auto"/>
              </w:rPr>
            </w:pPr>
            <w:r>
              <w:rPr>
                <w:rFonts w:ascii="Arial" w:cs="Arial" w:eastAsia="Arial" w:hAnsi="Arial"/>
                <w:sz w:val="16"/>
                <w:szCs w:val="16"/>
                <w:b w:val="1"/>
                <w:bCs w:val="1"/>
                <w:color w:val="auto"/>
                <w:w w:val="93"/>
              </w:rPr>
              <w:t>Delaware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001-38449</w:t>
            </w:r>
          </w:p>
        </w:tc>
        <w:tc>
          <w:tcPr>
            <w:tcW w:w="3840" w:type="dxa"/>
            <w:vAlign w:val="bottom"/>
          </w:tcPr>
          <w:p>
            <w:pPr>
              <w:jc w:val="right"/>
              <w:ind w:right="642"/>
              <w:spacing w:after="0"/>
              <w:rPr>
                <w:sz w:val="20"/>
                <w:szCs w:val="20"/>
                <w:color w:val="auto"/>
              </w:rPr>
            </w:pPr>
            <w:r>
              <w:rPr>
                <w:rFonts w:ascii="Arial" w:cs="Arial" w:eastAsia="Arial" w:hAnsi="Arial"/>
                <w:sz w:val="16"/>
                <w:szCs w:val="16"/>
                <w:b w:val="1"/>
                <w:bCs w:val="1"/>
                <w:color w:val="auto"/>
              </w:rPr>
              <w:t>35-2617337</w:t>
            </w:r>
          </w:p>
        </w:tc>
      </w:tr>
      <w:tr>
        <w:trPr>
          <w:trHeight w:val="186"/>
        </w:trPr>
        <w:tc>
          <w:tcPr>
            <w:tcW w:w="4180" w:type="dxa"/>
            <w:vAlign w:val="bottom"/>
          </w:tcPr>
          <w:p>
            <w:pPr>
              <w:jc w:val="center"/>
              <w:ind w:right="1382"/>
              <w:spacing w:after="0"/>
              <w:rPr>
                <w:sz w:val="20"/>
                <w:szCs w:val="20"/>
                <w:color w:val="auto"/>
              </w:rPr>
            </w:pPr>
            <w:r>
              <w:rPr>
                <w:rFonts w:ascii="Arial" w:cs="Arial" w:eastAsia="Arial" w:hAnsi="Arial"/>
                <w:sz w:val="14"/>
                <w:szCs w:val="14"/>
                <w:b w:val="1"/>
                <w:bCs w:val="1"/>
                <w:color w:val="auto"/>
                <w:w w:val="93"/>
              </w:rPr>
              <w:t>(State or other jurisdiction of incorporation)</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(Commission File Number)</w:t>
            </w:r>
          </w:p>
        </w:tc>
        <w:tc>
          <w:tcPr>
            <w:tcW w:w="3840" w:type="dxa"/>
            <w:vAlign w:val="bottom"/>
          </w:tcPr>
          <w:p>
            <w:pPr>
              <w:jc w:val="center"/>
              <w:ind w:left="1562"/>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76"/>
        </w:trPr>
        <w:tc>
          <w:tcPr>
            <w:tcW w:w="4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5"/>
              </w:rPr>
              <w:t>1320 Ridder Park Drive</w:t>
            </w:r>
          </w:p>
        </w:tc>
        <w:tc>
          <w:tcPr>
            <w:tcW w:w="3840" w:type="dxa"/>
            <w:vAlign w:val="bottom"/>
          </w:tcPr>
          <w:p>
            <w:pPr>
              <w:spacing w:after="0"/>
              <w:rPr>
                <w:sz w:val="24"/>
                <w:szCs w:val="24"/>
                <w:color w:val="auto"/>
              </w:rPr>
            </w:pPr>
          </w:p>
        </w:tc>
      </w:tr>
      <w:tr>
        <w:trPr>
          <w:trHeight w:val="216"/>
        </w:trPr>
        <w:tc>
          <w:tcPr>
            <w:tcW w:w="4180" w:type="dxa"/>
            <w:vAlign w:val="bottom"/>
          </w:tcPr>
          <w:p>
            <w:pPr>
              <w:ind w:left="3540"/>
              <w:spacing w:after="0"/>
              <w:rPr>
                <w:sz w:val="20"/>
                <w:szCs w:val="20"/>
                <w:color w:val="auto"/>
              </w:rPr>
            </w:pPr>
            <w:r>
              <w:rPr>
                <w:rFonts w:ascii="Arial" w:cs="Arial" w:eastAsia="Arial" w:hAnsi="Arial"/>
                <w:sz w:val="16"/>
                <w:szCs w:val="16"/>
                <w:b w:val="1"/>
                <w:bCs w:val="1"/>
                <w:color w:val="auto"/>
                <w:w w:val="82"/>
              </w:rPr>
              <w:t>San Jose,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4"/>
              </w:rPr>
              <w:t>California</w:t>
            </w:r>
          </w:p>
        </w:tc>
        <w:tc>
          <w:tcPr>
            <w:tcW w:w="3840" w:type="dxa"/>
            <w:vAlign w:val="bottom"/>
          </w:tcPr>
          <w:p>
            <w:pPr>
              <w:jc w:val="right"/>
              <w:ind w:right="2982"/>
              <w:spacing w:after="0"/>
              <w:rPr>
                <w:sz w:val="20"/>
                <w:szCs w:val="20"/>
                <w:color w:val="auto"/>
              </w:rPr>
            </w:pPr>
            <w:r>
              <w:rPr>
                <w:rFonts w:ascii="Arial" w:cs="Arial" w:eastAsia="Arial" w:hAnsi="Arial"/>
                <w:sz w:val="16"/>
                <w:szCs w:val="16"/>
                <w:b w:val="1"/>
                <w:bCs w:val="1"/>
                <w:color w:val="auto"/>
                <w:w w:val="88"/>
              </w:rPr>
              <w:t>95131-2313</w:t>
            </w:r>
          </w:p>
        </w:tc>
      </w:tr>
    </w:tbl>
    <w:p>
      <w:pPr>
        <w:jc w:val="center"/>
        <w:ind w:right="-2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88" w:lineRule="exact"/>
        <w:rPr>
          <w:sz w:val="24"/>
          <w:szCs w:val="24"/>
          <w:color w:val="auto"/>
        </w:rPr>
      </w:pPr>
    </w:p>
    <w:p>
      <w:pPr>
        <w:jc w:val="center"/>
        <w:ind w:left="400"/>
        <w:spacing w:after="0"/>
        <w:rPr>
          <w:sz w:val="20"/>
          <w:szCs w:val="20"/>
          <w:color w:val="auto"/>
        </w:rPr>
      </w:pPr>
      <w:r>
        <w:rPr>
          <w:rFonts w:ascii="Arial" w:cs="Arial" w:eastAsia="Arial" w:hAnsi="Arial"/>
          <w:sz w:val="16"/>
          <w:szCs w:val="16"/>
          <w:b w:val="1"/>
          <w:bCs w:val="1"/>
          <w:color w:val="auto"/>
        </w:rPr>
        <w:t>(408) 433-8000</w:t>
      </w:r>
    </w:p>
    <w:p>
      <w:pPr>
        <w:spacing w:after="0" w:line="26"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 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99060</wp:posOffset>
            </wp:positionV>
            <wp:extent cx="1825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4"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160"/>
          </w:cols>
          <w:pgMar w:left="320" w:top="1413" w:right="419" w:bottom="1440" w:gutter="0" w:footer="0" w:header="0"/>
        </w:sectPr>
      </w:pPr>
    </w:p>
    <w:p>
      <w:pPr>
        <w:spacing w:after="0" w:line="22" w:lineRule="exact"/>
        <w:rPr>
          <w:sz w:val="24"/>
          <w:szCs w:val="24"/>
          <w:color w:val="auto"/>
        </w:rPr>
      </w:pPr>
    </w:p>
    <w:p>
      <w:pPr>
        <w:ind w:left="16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70" w:lineRule="exact"/>
        <w:rPr>
          <w:sz w:val="24"/>
          <w:szCs w:val="24"/>
          <w:color w:val="auto"/>
        </w:rPr>
      </w:pPr>
    </w:p>
    <w:p>
      <w:pPr>
        <w:sectPr>
          <w:pgSz w:w="11900" w:h="16838" w:orient="portrait"/>
          <w:cols w:equalWidth="0" w:num="3">
            <w:col w:w="4320" w:space="720"/>
            <w:col w:w="1860" w:space="720"/>
            <w:col w:w="3540"/>
          </w:cols>
          <w:pgMar w:left="320" w:top="1413" w:right="419" w:bottom="1440" w:gutter="0" w:footer="0" w:header="0"/>
          <w:type w:val="continuous"/>
        </w:sectPr>
      </w:pPr>
    </w:p>
    <w:p>
      <w:pPr>
        <w:ind w:left="1060"/>
        <w:spacing w:after="0"/>
        <w:rPr>
          <w:sz w:val="20"/>
          <w:szCs w:val="20"/>
          <w:color w:val="auto"/>
        </w:rPr>
      </w:pPr>
      <w:r>
        <w:rPr>
          <w:rFonts w:ascii="Arial" w:cs="Arial" w:eastAsia="Arial" w:hAnsi="Arial"/>
          <w:sz w:val="14"/>
          <w:szCs w:val="14"/>
          <w:b w:val="1"/>
          <w:bCs w:val="1"/>
          <w:color w:val="auto"/>
        </w:rPr>
        <w:t>Common Stock, $0.001 par value</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5"/>
          <w:szCs w:val="15"/>
          <w:b w:val="1"/>
          <w:bCs w:val="1"/>
          <w:color w:val="auto"/>
        </w:rPr>
        <w:t>AVGO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The NASDAQ Global Select Market</w:t>
      </w:r>
    </w:p>
    <w:p>
      <w:pPr>
        <w:spacing w:after="0" w:line="200" w:lineRule="exact"/>
        <w:rPr>
          <w:sz w:val="24"/>
          <w:szCs w:val="24"/>
          <w:color w:val="auto"/>
        </w:rPr>
      </w:pPr>
    </w:p>
    <w:p>
      <w:pPr>
        <w:sectPr>
          <w:pgSz w:w="11900" w:h="16838" w:orient="portrait"/>
          <w:cols w:equalWidth="0" w:num="3">
            <w:col w:w="4660" w:space="720"/>
            <w:col w:w="1660" w:space="720"/>
            <w:col w:w="3400"/>
          </w:cols>
          <w:pgMar w:left="320" w:top="1413" w:right="419" w:bottom="1440" w:gutter="0" w:footer="0" w:header="0"/>
          <w:type w:val="continuous"/>
        </w:sectPr>
      </w:pPr>
    </w:p>
    <w:p>
      <w:pPr>
        <w:spacing w:after="0" w:line="158"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8" w:lineRule="exact"/>
        <w:rPr>
          <w:sz w:val="24"/>
          <w:szCs w:val="24"/>
          <w:color w:val="auto"/>
        </w:rPr>
      </w:pPr>
    </w:p>
    <w:p>
      <w:pPr>
        <w:ind w:right="50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1106805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Certain subsidiaries of Broadcom Inc. (“Broadcom”) have entered into two separate multi-year statements of work (the “2023 SOWs”) with Apple Inc. (“Apple”). The 2023 SOWs are for the supply of a range of specified high-performance RF and wireless components and modules for use in Apple products. Pursuant to the 2023 SOWs, Broadcom has agreed to supply Apple with specified components and modules for Apple products and to maintain and allocate to them sufficient manufacturing capacity and other resources to make these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0" w:right="5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May 23, 2023</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Broadcom Inc.</w:t>
      </w:r>
    </w:p>
    <w:p>
      <w:pPr>
        <w:spacing w:after="0" w:line="200" w:lineRule="exact"/>
        <w:rPr>
          <w:sz w:val="20"/>
          <w:szCs w:val="20"/>
          <w:color w:val="auto"/>
        </w:rPr>
      </w:pPr>
    </w:p>
    <w:p>
      <w:pPr>
        <w:spacing w:after="0" w:line="255" w:lineRule="exact"/>
        <w:rPr>
          <w:sz w:val="20"/>
          <w:szCs w:val="20"/>
          <w:color w:val="auto"/>
        </w:rPr>
      </w:pPr>
    </w:p>
    <w:tbl>
      <w:tblPr>
        <w:tblLayout w:type="fixed"/>
        <w:tblInd w:w="47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gridSpan w:val="2"/>
          </w:tcPr>
          <w:p>
            <w:pPr>
              <w:ind w:left="40"/>
              <w:spacing w:after="0"/>
              <w:rPr>
                <w:sz w:val="20"/>
                <w:szCs w:val="20"/>
                <w:color w:val="auto"/>
              </w:rPr>
            </w:pPr>
            <w:r>
              <w:rPr>
                <w:rFonts w:ascii="Arial" w:cs="Arial" w:eastAsia="Arial" w:hAnsi="Arial"/>
                <w:sz w:val="18"/>
                <w:szCs w:val="18"/>
                <w:color w:val="auto"/>
              </w:rPr>
              <w:t>/s/ Kirsten M. Spears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Kirsten M. Spears</w:t>
            </w:r>
          </w:p>
        </w:tc>
        <w:tc>
          <w:tcPr>
            <w:tcW w:w="234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gridSpan w:val="2"/>
          </w:tcPr>
          <w:p>
            <w:pPr>
              <w:ind w:left="40"/>
              <w:spacing w:after="0"/>
              <w:rPr>
                <w:sz w:val="20"/>
                <w:szCs w:val="20"/>
                <w:color w:val="auto"/>
              </w:rPr>
            </w:pPr>
            <w:r>
              <w:rPr>
                <w:rFonts w:ascii="Arial" w:cs="Arial" w:eastAsia="Arial" w:hAnsi="Arial"/>
                <w:sz w:val="18"/>
                <w:szCs w:val="18"/>
                <w:color w:val="auto"/>
                <w:w w:val="93"/>
              </w:rPr>
              <w:t>Chief Financial Officer and Chief Accounting Officer</w:t>
            </w:r>
          </w:p>
        </w:tc>
      </w:tr>
    </w:tbl>
    <w:p>
      <w:pPr>
        <w:spacing w:after="0" w:line="1" w:lineRule="exact"/>
        <w:rPr>
          <w:sz w:val="20"/>
          <w:szCs w:val="20"/>
          <w:color w:val="auto"/>
        </w:rPr>
      </w:pPr>
    </w:p>
    <w:sectPr>
      <w:pgSz w:w="11900" w:h="16838" w:orient="portrait"/>
      <w:cols w:equalWidth="0" w:num="1">
        <w:col w:w="11200"/>
      </w:cols>
      <w:pgMar w:left="320" w:top="10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2023-05-23T08:05:28Z</dcterms:created>
  <dcterms:modified xsi:type="dcterms:W3CDTF">2023-05-23T08:05:28Z</dcterms:modified>
</cp:coreProperties>
</file>