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415290</wp:posOffset>
            </wp:positionH>
            <wp:positionV relativeFrom="page">
              <wp:posOffset>8255</wp:posOffset>
            </wp:positionV>
            <wp:extent cx="6934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page">
              <wp:posOffset>415290</wp:posOffset>
            </wp:positionH>
            <wp:positionV relativeFrom="page">
              <wp:posOffset>50800</wp:posOffset>
            </wp:positionV>
            <wp:extent cx="6934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200" cy="8255"/>
                    </a:xfrm>
                    <a:prstGeom prst="rect">
                      <a:avLst/>
                    </a:prstGeom>
                    <a:noFill/>
                  </pic:spPr>
                </pic:pic>
              </a:graphicData>
            </a:graphic>
          </wp:anchor>
        </w:drawing>
        <w:t>UNITED STATES</w:t>
      </w:r>
    </w:p>
    <w:p>
      <w:pPr>
        <w:spacing w:after="0" w:line="24" w:lineRule="exact"/>
        <w:rPr>
          <w:sz w:val="24"/>
          <w:szCs w:val="24"/>
          <w:color w:val="auto"/>
        </w:rPr>
      </w:pPr>
    </w:p>
    <w:p>
      <w:pPr>
        <w:jc w:val="center"/>
        <w:ind w:right="-205"/>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205"/>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149860</wp:posOffset>
            </wp:positionV>
            <wp:extent cx="2073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3275" cy="8255"/>
                    </a:xfrm>
                    <a:prstGeom prst="rect">
                      <a:avLst/>
                    </a:prstGeom>
                    <a:noFill/>
                  </pic:spPr>
                </pic:pic>
              </a:graphicData>
            </a:graphic>
          </wp:anchor>
        </w:drawing>
      </w:r>
    </w:p>
    <w:p>
      <w:pPr>
        <w:spacing w:after="0" w:line="318" w:lineRule="exact"/>
        <w:rPr>
          <w:sz w:val="24"/>
          <w:szCs w:val="24"/>
          <w:color w:val="auto"/>
        </w:rPr>
      </w:pPr>
    </w:p>
    <w:p>
      <w:pPr>
        <w:ind w:left="4786"/>
        <w:spacing w:after="0"/>
        <w:rPr>
          <w:sz w:val="20"/>
          <w:szCs w:val="20"/>
          <w:color w:val="auto"/>
        </w:rPr>
      </w:pPr>
      <w:r>
        <w:rPr>
          <w:rFonts w:ascii="Arial" w:cs="Arial" w:eastAsia="Arial" w:hAnsi="Arial"/>
          <w:sz w:val="18"/>
          <w:szCs w:val="18"/>
          <w:b w:val="1"/>
          <w:bCs w:val="1"/>
          <w:color w:val="auto"/>
        </w:rPr>
        <w:t>SCHEDULE 14A</w:t>
      </w:r>
    </w:p>
    <w:p>
      <w:pPr>
        <w:spacing w:after="0" w:line="114" w:lineRule="exact"/>
        <w:rPr>
          <w:sz w:val="24"/>
          <w:szCs w:val="24"/>
          <w:color w:val="auto"/>
        </w:rPr>
      </w:pPr>
    </w:p>
    <w:p>
      <w:pPr>
        <w:ind w:left="3606"/>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4" w:lineRule="exact"/>
        <w:rPr>
          <w:sz w:val="24"/>
          <w:szCs w:val="24"/>
          <w:color w:val="auto"/>
        </w:rPr>
      </w:pPr>
    </w:p>
    <w:p>
      <w:pPr>
        <w:jc w:val="center"/>
        <w:ind w:right="-205"/>
        <w:spacing w:after="0"/>
        <w:rPr>
          <w:sz w:val="20"/>
          <w:szCs w:val="20"/>
          <w:color w:val="auto"/>
        </w:rPr>
      </w:pPr>
      <w:r>
        <w:rPr>
          <w:rFonts w:ascii="Arial" w:cs="Arial" w:eastAsia="Arial" w:hAnsi="Arial"/>
          <w:sz w:val="18"/>
          <w:szCs w:val="18"/>
          <w:b w:val="1"/>
          <w:bCs w:val="1"/>
          <w:color w:val="auto"/>
        </w:rPr>
        <w:t>Securities Exchange Act of 1934</w:t>
      </w:r>
    </w:p>
    <w:p>
      <w:pPr>
        <w:spacing w:after="0" w:line="7" w:lineRule="exact"/>
        <w:rPr>
          <w:sz w:val="24"/>
          <w:szCs w:val="24"/>
          <w:color w:val="auto"/>
        </w:rPr>
      </w:pPr>
    </w:p>
    <w:p>
      <w:pPr>
        <w:jc w:val="center"/>
        <w:ind w:right="-205"/>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149860</wp:posOffset>
            </wp:positionV>
            <wp:extent cx="2073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3275" cy="8255"/>
                    </a:xfrm>
                    <a:prstGeom prst="rect">
                      <a:avLst/>
                    </a:prstGeom>
                    <a:noFill/>
                  </pic:spPr>
                </pic:pic>
              </a:graphicData>
            </a:graphic>
          </wp:anchor>
        </w:drawing>
      </w:r>
    </w:p>
    <w:p>
      <w:pPr>
        <w:spacing w:after="0" w:line="290" w:lineRule="exact"/>
        <w:rPr>
          <w:sz w:val="24"/>
          <w:szCs w:val="24"/>
          <w:color w:val="auto"/>
        </w:rPr>
      </w:pPr>
    </w:p>
    <w:p>
      <w:pPr>
        <w:ind w:left="6"/>
        <w:spacing w:after="0" w:line="207" w:lineRule="exact"/>
        <w:tabs>
          <w:tab w:leader="none" w:pos="3106"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47" w:lineRule="exact"/>
        <w:rPr>
          <w:sz w:val="24"/>
          <w:szCs w:val="24"/>
          <w:color w:val="auto"/>
        </w:rPr>
      </w:pPr>
    </w:p>
    <w:p>
      <w:pPr>
        <w:ind w:left="6"/>
        <w:spacing w:after="0"/>
        <w:rPr>
          <w:sz w:val="20"/>
          <w:szCs w:val="20"/>
          <w:color w:val="auto"/>
        </w:rPr>
      </w:pPr>
      <w:r>
        <w:rPr>
          <w:rFonts w:ascii="Arial" w:cs="Arial" w:eastAsia="Arial" w:hAnsi="Arial"/>
          <w:sz w:val="18"/>
          <w:szCs w:val="18"/>
          <w:color w:val="auto"/>
        </w:rPr>
        <w:t>Check the appropriate box:</w:t>
      </w:r>
    </w:p>
    <w:p>
      <w:pPr>
        <w:spacing w:after="0" w:line="128" w:lineRule="exact"/>
        <w:rPr>
          <w:sz w:val="24"/>
          <w:szCs w:val="24"/>
          <w:color w:val="auto"/>
        </w:rPr>
      </w:pPr>
    </w:p>
    <w:p>
      <w:pPr>
        <w:ind w:left="526" w:hanging="526"/>
        <w:spacing w:after="0"/>
        <w:tabs>
          <w:tab w:leader="none" w:pos="526" w:val="left"/>
        </w:tabs>
        <w:numPr>
          <w:ilvl w:val="0"/>
          <w:numId w:val="1"/>
        </w:numPr>
        <w:rPr>
          <w:rFonts w:ascii="MS PGothic" w:cs="MS PGothic" w:eastAsia="MS PGothic" w:hAnsi="MS PGothic"/>
          <w:sz w:val="18"/>
          <w:szCs w:val="18"/>
          <w:color w:val="262626"/>
        </w:rPr>
      </w:pPr>
      <w:r>
        <w:rPr>
          <w:rFonts w:ascii="Arial" w:cs="Arial" w:eastAsia="Arial" w:hAnsi="Arial"/>
          <w:sz w:val="18"/>
          <w:szCs w:val="18"/>
          <w:color w:val="262626"/>
        </w:rPr>
        <w:t>Preliminary Proxy Statement</w:t>
      </w:r>
    </w:p>
    <w:p>
      <w:pPr>
        <w:spacing w:after="0" w:line="123" w:lineRule="exact"/>
        <w:rPr>
          <w:rFonts w:ascii="MS PGothic" w:cs="MS PGothic" w:eastAsia="MS PGothic" w:hAnsi="MS PGothic"/>
          <w:sz w:val="18"/>
          <w:szCs w:val="18"/>
          <w:color w:val="262626"/>
        </w:rPr>
      </w:pPr>
    </w:p>
    <w:p>
      <w:pPr>
        <w:ind w:left="526" w:hanging="526"/>
        <w:spacing w:after="0"/>
        <w:tabs>
          <w:tab w:leader="none" w:pos="526" w:val="left"/>
        </w:tabs>
        <w:numPr>
          <w:ilvl w:val="0"/>
          <w:numId w:val="1"/>
        </w:numPr>
        <w:rPr>
          <w:rFonts w:ascii="MS PGothic" w:cs="MS PGothic" w:eastAsia="MS PGothic" w:hAnsi="MS PGothic"/>
          <w:sz w:val="18"/>
          <w:szCs w:val="18"/>
          <w:color w:val="262626"/>
        </w:rPr>
      </w:pPr>
      <w:r>
        <w:rPr>
          <w:rFonts w:ascii="Arial" w:cs="Arial" w:eastAsia="Arial" w:hAnsi="Arial"/>
          <w:sz w:val="18"/>
          <w:szCs w:val="18"/>
          <w:b w:val="1"/>
          <w:bCs w:val="1"/>
          <w:color w:val="262626"/>
        </w:rPr>
        <w:t>Confidential, for Use of the Commission Only (as permitted by Rule 14a-6(e)(2))</w:t>
      </w:r>
    </w:p>
    <w:p>
      <w:pPr>
        <w:spacing w:after="0" w:line="131" w:lineRule="exact"/>
        <w:rPr>
          <w:rFonts w:ascii="MS PGothic" w:cs="MS PGothic" w:eastAsia="MS PGothic" w:hAnsi="MS PGothic"/>
          <w:sz w:val="18"/>
          <w:szCs w:val="18"/>
          <w:color w:val="262626"/>
        </w:rPr>
      </w:pPr>
    </w:p>
    <w:p>
      <w:pPr>
        <w:ind w:left="526" w:hanging="526"/>
        <w:spacing w:after="0"/>
        <w:tabs>
          <w:tab w:leader="none" w:pos="526" w:val="left"/>
        </w:tabs>
        <w:numPr>
          <w:ilvl w:val="0"/>
          <w:numId w:val="1"/>
        </w:numPr>
        <w:rPr>
          <w:rFonts w:ascii="MS PGothic" w:cs="MS PGothic" w:eastAsia="MS PGothic" w:hAnsi="MS PGothic"/>
          <w:sz w:val="18"/>
          <w:szCs w:val="18"/>
          <w:color w:val="262626"/>
        </w:rPr>
      </w:pPr>
      <w:r>
        <w:rPr>
          <w:rFonts w:ascii="Arial" w:cs="Arial" w:eastAsia="Arial" w:hAnsi="Arial"/>
          <w:sz w:val="18"/>
          <w:szCs w:val="18"/>
          <w:color w:val="262626"/>
        </w:rPr>
        <w:t>Definitive Proxy Statement</w:t>
      </w:r>
    </w:p>
    <w:p>
      <w:pPr>
        <w:spacing w:after="0" w:line="128" w:lineRule="exact"/>
        <w:rPr>
          <w:sz w:val="24"/>
          <w:szCs w:val="24"/>
          <w:color w:val="auto"/>
        </w:rPr>
      </w:pPr>
    </w:p>
    <w:p>
      <w:pPr>
        <w:ind w:left="526" w:hanging="526"/>
        <w:spacing w:after="0"/>
        <w:tabs>
          <w:tab w:leader="none" w:pos="526" w:val="left"/>
        </w:tabs>
        <w:numPr>
          <w:ilvl w:val="0"/>
          <w:numId w:val="2"/>
        </w:numPr>
        <w:rPr>
          <w:rFonts w:ascii="MS PGothic" w:cs="MS PGothic" w:eastAsia="MS PGothic" w:hAnsi="MS PGothic"/>
          <w:sz w:val="18"/>
          <w:szCs w:val="18"/>
          <w:color w:val="262626"/>
        </w:rPr>
      </w:pPr>
      <w:r>
        <w:rPr>
          <w:rFonts w:ascii="Arial" w:cs="Arial" w:eastAsia="Arial" w:hAnsi="Arial"/>
          <w:sz w:val="18"/>
          <w:szCs w:val="18"/>
          <w:color w:val="262626"/>
        </w:rPr>
        <w:t>Definitive Additional Materials</w:t>
      </w:r>
    </w:p>
    <w:p>
      <w:pPr>
        <w:spacing w:after="0" w:line="128" w:lineRule="exact"/>
        <w:rPr>
          <w:sz w:val="24"/>
          <w:szCs w:val="24"/>
          <w:color w:val="auto"/>
        </w:rPr>
      </w:pPr>
    </w:p>
    <w:p>
      <w:pPr>
        <w:ind w:left="526" w:hanging="526"/>
        <w:spacing w:after="0"/>
        <w:tabs>
          <w:tab w:leader="none" w:pos="526" w:val="left"/>
        </w:tabs>
        <w:numPr>
          <w:ilvl w:val="0"/>
          <w:numId w:val="3"/>
        </w:numPr>
        <w:rPr>
          <w:rFonts w:ascii="MS PGothic" w:cs="MS PGothic" w:eastAsia="MS PGothic" w:hAnsi="MS PGothic"/>
          <w:sz w:val="18"/>
          <w:szCs w:val="18"/>
          <w:color w:val="262626"/>
        </w:rPr>
      </w:pPr>
      <w:r>
        <w:rPr>
          <w:rFonts w:ascii="Arial" w:cs="Arial" w:eastAsia="Arial" w:hAnsi="Arial"/>
          <w:sz w:val="18"/>
          <w:szCs w:val="18"/>
          <w:color w:val="262626"/>
        </w:rPr>
        <w:t>Soliciting Material Pursuant to §240.14a-12</w:t>
      </w:r>
    </w:p>
    <w:p>
      <w:pPr>
        <w:spacing w:after="0" w:line="110" w:lineRule="exact"/>
        <w:rPr>
          <w:sz w:val="24"/>
          <w:szCs w:val="24"/>
          <w:color w:val="auto"/>
        </w:rPr>
      </w:pPr>
    </w:p>
    <w:p>
      <w:pPr>
        <w:ind w:left="4706"/>
        <w:spacing w:after="0"/>
        <w:rPr>
          <w:sz w:val="20"/>
          <w:szCs w:val="20"/>
          <w:color w:val="auto"/>
        </w:rPr>
      </w:pPr>
      <w:r>
        <w:rPr>
          <w:rFonts w:ascii="Arial" w:cs="Arial" w:eastAsia="Arial" w:hAnsi="Arial"/>
          <w:sz w:val="18"/>
          <w:szCs w:val="18"/>
          <w:b w:val="1"/>
          <w:bCs w:val="1"/>
          <w:color w:val="auto"/>
        </w:rPr>
        <w:t>BROADCOM INC.</w:t>
      </w:r>
    </w:p>
    <w:p>
      <w:pPr>
        <w:spacing w:after="0" w:line="114" w:lineRule="exact"/>
        <w:rPr>
          <w:sz w:val="24"/>
          <w:szCs w:val="24"/>
          <w:color w:val="auto"/>
        </w:rPr>
      </w:pPr>
    </w:p>
    <w:p>
      <w:pPr>
        <w:ind w:left="3626"/>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14" w:lineRule="exact"/>
        <w:rPr>
          <w:sz w:val="24"/>
          <w:szCs w:val="24"/>
          <w:color w:val="auto"/>
        </w:rPr>
      </w:pPr>
    </w:p>
    <w:p>
      <w:pPr>
        <w:ind w:left="2706"/>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18" w:lineRule="exact"/>
        <w:rPr>
          <w:sz w:val="24"/>
          <w:szCs w:val="24"/>
          <w:color w:val="auto"/>
        </w:rPr>
      </w:pPr>
    </w:p>
    <w:p>
      <w:pPr>
        <w:ind w:left="6"/>
        <w:spacing w:after="0"/>
        <w:rPr>
          <w:sz w:val="20"/>
          <w:szCs w:val="20"/>
          <w:color w:val="auto"/>
        </w:rPr>
      </w:pPr>
      <w:r>
        <w:rPr>
          <w:rFonts w:ascii="Arial" w:cs="Arial" w:eastAsia="Arial" w:hAnsi="Arial"/>
          <w:sz w:val="18"/>
          <w:szCs w:val="18"/>
          <w:color w:val="auto"/>
        </w:rPr>
        <w:t>Payment of Filing Fee (Check the appropriate box):</w:t>
      </w:r>
    </w:p>
    <w:p>
      <w:pPr>
        <w:spacing w:after="0" w:line="221" w:lineRule="exact"/>
        <w:rPr>
          <w:sz w:val="24"/>
          <w:szCs w:val="24"/>
          <w:color w:val="auto"/>
        </w:rPr>
      </w:pPr>
    </w:p>
    <w:p>
      <w:pPr>
        <w:ind w:left="526" w:hanging="526"/>
        <w:spacing w:after="0"/>
        <w:tabs>
          <w:tab w:leader="none" w:pos="526"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0" w:lineRule="exact"/>
        <w:rPr>
          <w:sz w:val="24"/>
          <w:szCs w:val="24"/>
          <w:color w:val="auto"/>
        </w:rPr>
      </w:pPr>
    </w:p>
    <w:p>
      <w:pPr>
        <w:ind w:left="526" w:hanging="526"/>
        <w:spacing w:after="0"/>
        <w:tabs>
          <w:tab w:leader="none" w:pos="526"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3" w:lineRule="exact"/>
        <w:rPr>
          <w:rFonts w:ascii="MS PGothic" w:cs="MS PGothic" w:eastAsia="MS PGothic" w:hAnsi="MS PGothic"/>
          <w:sz w:val="18"/>
          <w:szCs w:val="18"/>
          <w:color w:val="auto"/>
        </w:rPr>
      </w:pPr>
    </w:p>
    <w:p>
      <w:pPr>
        <w:ind w:left="986" w:hanging="451"/>
        <w:spacing w:after="0"/>
        <w:tabs>
          <w:tab w:leader="none" w:pos="986"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5" w:lineRule="exact"/>
        <w:rPr>
          <w:rFonts w:ascii="Arial" w:cs="Arial" w:eastAsia="Arial" w:hAnsi="Arial"/>
          <w:sz w:val="18"/>
          <w:szCs w:val="18"/>
          <w:color w:val="auto"/>
        </w:rPr>
      </w:pPr>
    </w:p>
    <w:p>
      <w:pPr>
        <w:ind w:left="986" w:hanging="451"/>
        <w:spacing w:after="0"/>
        <w:tabs>
          <w:tab w:leader="none" w:pos="986"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1" w:lineRule="exact"/>
        <w:rPr>
          <w:rFonts w:ascii="Arial" w:cs="Arial" w:eastAsia="Arial" w:hAnsi="Arial"/>
          <w:sz w:val="18"/>
          <w:szCs w:val="18"/>
          <w:color w:val="auto"/>
        </w:rPr>
      </w:pPr>
    </w:p>
    <w:p>
      <w:pPr>
        <w:ind w:left="986" w:hanging="451"/>
        <w:spacing w:after="0" w:line="271" w:lineRule="auto"/>
        <w:tabs>
          <w:tab w:leader="none" w:pos="986"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55" w:lineRule="exact"/>
        <w:rPr>
          <w:rFonts w:ascii="Arial" w:cs="Arial" w:eastAsia="Arial" w:hAnsi="Arial"/>
          <w:sz w:val="18"/>
          <w:szCs w:val="18"/>
          <w:color w:val="auto"/>
        </w:rPr>
      </w:pPr>
    </w:p>
    <w:p>
      <w:pPr>
        <w:ind w:left="986" w:hanging="451"/>
        <w:spacing w:after="0"/>
        <w:tabs>
          <w:tab w:leader="none" w:pos="986"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1" w:lineRule="exact"/>
        <w:rPr>
          <w:rFonts w:ascii="Arial" w:cs="Arial" w:eastAsia="Arial" w:hAnsi="Arial"/>
          <w:sz w:val="18"/>
          <w:szCs w:val="18"/>
          <w:color w:val="auto"/>
        </w:rPr>
      </w:pPr>
    </w:p>
    <w:p>
      <w:pPr>
        <w:ind w:left="986" w:hanging="451"/>
        <w:spacing w:after="0"/>
        <w:tabs>
          <w:tab w:leader="none" w:pos="986"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1" w:lineRule="exact"/>
        <w:rPr>
          <w:rFonts w:ascii="Arial" w:cs="Arial" w:eastAsia="Arial" w:hAnsi="Arial"/>
          <w:sz w:val="18"/>
          <w:szCs w:val="18"/>
          <w:color w:val="auto"/>
        </w:rPr>
      </w:pPr>
    </w:p>
    <w:p>
      <w:pPr>
        <w:ind w:left="526" w:hanging="526"/>
        <w:spacing w:after="0"/>
        <w:tabs>
          <w:tab w:leader="none" w:pos="526"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9" w:lineRule="exact"/>
        <w:rPr>
          <w:rFonts w:ascii="MS PGothic" w:cs="MS PGothic" w:eastAsia="MS PGothic" w:hAnsi="MS PGothic"/>
          <w:sz w:val="18"/>
          <w:szCs w:val="18"/>
          <w:color w:val="auto"/>
        </w:rPr>
      </w:pPr>
    </w:p>
    <w:p>
      <w:pPr>
        <w:ind w:left="526" w:right="100" w:hanging="526"/>
        <w:spacing w:after="0" w:line="275" w:lineRule="auto"/>
        <w:tabs>
          <w:tab w:leader="none" w:pos="526"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86" w:hanging="451"/>
        <w:spacing w:after="0"/>
        <w:tabs>
          <w:tab w:leader="none" w:pos="986"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1" w:lineRule="exact"/>
        <w:rPr>
          <w:rFonts w:ascii="Arial" w:cs="Arial" w:eastAsia="Arial" w:hAnsi="Arial"/>
          <w:sz w:val="18"/>
          <w:szCs w:val="18"/>
          <w:color w:val="auto"/>
        </w:rPr>
      </w:pPr>
    </w:p>
    <w:p>
      <w:pPr>
        <w:ind w:left="986" w:hanging="451"/>
        <w:spacing w:after="0"/>
        <w:tabs>
          <w:tab w:leader="none" w:pos="986"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1" w:lineRule="exact"/>
        <w:rPr>
          <w:rFonts w:ascii="Arial" w:cs="Arial" w:eastAsia="Arial" w:hAnsi="Arial"/>
          <w:sz w:val="18"/>
          <w:szCs w:val="18"/>
          <w:color w:val="auto"/>
        </w:rPr>
      </w:pPr>
    </w:p>
    <w:p>
      <w:pPr>
        <w:ind w:left="986" w:hanging="451"/>
        <w:spacing w:after="0"/>
        <w:tabs>
          <w:tab w:leader="none" w:pos="986"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1" w:lineRule="exact"/>
        <w:rPr>
          <w:rFonts w:ascii="Arial" w:cs="Arial" w:eastAsia="Arial" w:hAnsi="Arial"/>
          <w:sz w:val="18"/>
          <w:szCs w:val="18"/>
          <w:color w:val="auto"/>
        </w:rPr>
      </w:pPr>
    </w:p>
    <w:p>
      <w:pPr>
        <w:ind w:left="986" w:hanging="451"/>
        <w:spacing w:after="0"/>
        <w:tabs>
          <w:tab w:leader="none" w:pos="986"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628650</wp:posOffset>
            </wp:positionH>
            <wp:positionV relativeFrom="paragraph">
              <wp:posOffset>-2994025</wp:posOffset>
            </wp:positionV>
            <wp:extent cx="6305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55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-2670810</wp:posOffset>
            </wp:positionV>
            <wp:extent cx="6305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55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-2212340</wp:posOffset>
            </wp:positionV>
            <wp:extent cx="6305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55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-1889125</wp:posOffset>
            </wp:positionV>
            <wp:extent cx="6305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55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-1566545</wp:posOffset>
            </wp:positionV>
            <wp:extent cx="6305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55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-801370</wp:posOffset>
            </wp:positionV>
            <wp:extent cx="6305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55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-478790</wp:posOffset>
            </wp:positionV>
            <wp:extent cx="63055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55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-155575</wp:posOffset>
            </wp:positionV>
            <wp:extent cx="63055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5550" cy="82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149860</wp:posOffset>
            </wp:positionV>
            <wp:extent cx="63055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55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6934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34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319405</wp:posOffset>
            </wp:positionV>
            <wp:extent cx="69342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ectPr>
          <w:pgSz w:w="12240" w:h="15840" w:orient="portrait"/>
          <w:cols w:equalWidth="0" w:num="1">
            <w:col w:w="10706"/>
          </w:cols>
          <w:pgMar w:left="654" w:top="115" w:right="88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421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84213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421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84213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421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84213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421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842137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2019-12-15T18:25:10Z</dcterms:created>
  <dcterms:modified xsi:type="dcterms:W3CDTF">2019-12-15T18:25:10Z</dcterms:modified>
</cp:coreProperties>
</file>