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23055.xml.htm"/>
      <w:bookmarkStart w:id="1" w:name="kswkform4_1783723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Brazeal Mark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Corp Affairs Ofc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5"/>
        <w:gridCol w:w="912"/>
        <w:gridCol w:w="782"/>
        <w:gridCol w:w="606"/>
        <w:gridCol w:w="343"/>
        <w:gridCol w:w="962"/>
        <w:gridCol w:w="432"/>
        <w:gridCol w:w="982"/>
        <w:gridCol w:w="1165"/>
        <w:gridCol w:w="97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379.188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prices reported in column 4 above reflect the weighted average sale price per share. The Reporting Person hereby undertakes to provide the SEC staff, the Issuer or a security holder of the Issuer, upon request, full information regarding the number of shares sold at each respective price within the ranges set forth in the following footnotes.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Transaction executed in multiple trades at prices ranging from $379.06 to $379.38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123,750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Mark Brazeal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720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3530</Characters>
  <CharactersWithSpaces>4120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