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156210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3">
            <w:col w:w="4060" w:space="720"/>
            <w:col w:w="2640" w:space="720"/>
            <w:col w:w="288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5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tab/>
        <w:t>Creation of a Direct Financial Obligation or an Obligation under an Off-Balance Sheet Arrangement of a Registrant.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October 26, 2026, Broadcom Inc. (the “Company”) arranged for financial partners to take on a portion of certain agreements to purchase AI racks based on custom AI accelerators designed by the Company and the related lease agreements with the Company’s customer that enable the deployment of compute capacity.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this arrangement, the Company is providing residual value support to a newly formed special purpose vehicle (the “Backstop”). The Backstop is a contingent liability the Company believes has a low probability of occurring, supported by the expectation of a strong profitability trajectory of the customer and the sustaining value of the underlying assets. The total amount of the Backstop increases as the AI racks are delivered and deployed and decreases as the customer makes payments on its lease obligations.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of a lease default by the customer, the remedies to limit the Company’s liability exposure include the assumption of the applicable lease, reselling the AI racks back to the seller at a fixed price under certain conditions, or arranging a sale of the applicable AI racks. The Company’s potential liability under the Backstop will be equal to any difference between 72.5% of the outstanding amounts owed on the lease and the value of the AI racks received upon the sale of the assets at that time. The Company’s maximum potential liability under the Backstop upon the deployment of the AI racks, on an undiscounted basis, is approximately $43 billion.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Securities Exchange Act of 1934, as amended, and Section 27A of the Securities Act of 1933, as amended). These forward-looking statements are based on current expectations and beliefs of the Company’s management, current information available to the Company’s management, and current market trends and market conditions, and these forward-looking statements involve risks and uncertainties that may cause actual results to differ materially from those in such statements. Accordingly, undue reliance should not be placed on such statements. All forward-looking statements are qualified in their entirety by reference to the risk factors discussed under the heading “Risk Factors” in the Company’s Annual Report on Form 10-K for the year ended November 2, 2025, Quarterly Report on Form 10-Q for the period ended August 2, 2026 and any subsequent reports that are filed with the Securities and Exchange Commission and include some important risk factors that may affect future results. The Company undertakes no intent or obligation to publicly update or revise the forward-looking statements made in this Current Report on Form 8-K, except as required by law.</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Amie Thuener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Amie Thuener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2026-10-27T15:25:05Z</dcterms:created>
  <dcterms:modified xsi:type="dcterms:W3CDTF">2026-10-27T15:25:05Z</dcterms:modified>
</cp:coreProperties>
</file>