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color w:val="000000"/>
        </w:rPr>
        <w:t> </w:t>
      </w:r>
      <w:r>
        <w:rPr>
          <w:rFonts w:ascii="Times New Roman;serif" w:hAnsi="Times New Roman;serif"/>
          <w:b/>
          <w:color w:val="000000"/>
          <w:sz w:val="34"/>
        </w:rPr>
        <w:t xml:space="preserve">Broadcom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Charter)</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3" w:type="dxa"/>
        <w:jc w:val="center"/>
        <w:tblInd w:w="0" w:type="dxa"/>
        <w:tblLayout w:type="fixed"/>
        <w:tblCellMar>
          <w:top w:w="28" w:type="dxa"/>
          <w:left w:w="28" w:type="dxa"/>
          <w:bottom w:w="28" w:type="dxa"/>
          <w:right w:w="28" w:type="dxa"/>
        </w:tblCellMar>
      </w:tblPr>
      <w:tblGrid>
        <w:gridCol w:w="419"/>
        <w:gridCol w:w="368"/>
        <w:gridCol w:w="368"/>
        <w:gridCol w:w="368"/>
        <w:gridCol w:w="368"/>
        <w:gridCol w:w="368"/>
        <w:gridCol w:w="368"/>
        <w:gridCol w:w="368"/>
        <w:gridCol w:w="374"/>
        <w:gridCol w:w="170"/>
        <w:gridCol w:w="170"/>
        <w:gridCol w:w="170"/>
        <w:gridCol w:w="170"/>
        <w:gridCol w:w="170"/>
        <w:gridCol w:w="170"/>
        <w:gridCol w:w="170"/>
        <w:gridCol w:w="170"/>
        <w:gridCol w:w="170"/>
        <w:gridCol w:w="170"/>
        <w:gridCol w:w="170"/>
        <w:gridCol w:w="170"/>
        <w:gridCol w:w="424"/>
        <w:gridCol w:w="424"/>
        <w:gridCol w:w="424"/>
        <w:gridCol w:w="424"/>
        <w:gridCol w:w="424"/>
        <w:gridCol w:w="62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001-38449</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35-2617337</w:t>
            </w:r>
          </w:p>
        </w:tc>
      </w:tr>
      <w:tr>
        <w:trPr/>
        <w:tc>
          <w:tcPr>
            <w:tcW w:w="3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3421 Hillview Avenue</w:t>
            </w:r>
          </w:p>
        </w:tc>
        <w:tc>
          <w:tcPr>
            <w:tcW w:w="2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Palo Alto,</w:t>
            </w:r>
          </w:p>
        </w:tc>
        <w:tc>
          <w:tcPr>
            <w:tcW w:w="10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California</w:t>
            </w:r>
          </w:p>
        </w:tc>
        <w:tc>
          <w:tcPr>
            <w:tcW w:w="17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94304</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color w:val="000000"/>
                <w:sz w:val="18"/>
              </w:rPr>
            </w:pPr>
            <w:r>
              <w:rPr>
                <w:rFonts w:ascii="Times New Roman;serif" w:hAnsi="Times New Roman;serif"/>
                <w:b/>
                <w:color w:val="000000"/>
                <w:sz w:val="18"/>
              </w:rPr>
              <w:t>(650)</w:t>
            </w:r>
          </w:p>
        </w:tc>
        <w:tc>
          <w:tcPr>
            <w:tcW w:w="1020"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color w:val="000000"/>
                <w:sz w:val="18"/>
              </w:rPr>
            </w:pPr>
            <w:r>
              <w:rPr>
                <w:rFonts w:ascii="Times New Roman;serif" w:hAnsi="Times New Roman;serif"/>
                <w:b/>
                <w:color w:val="000000"/>
                <w:sz w:val="18"/>
              </w:rPr>
              <w:t>427-6000</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590" w:type="dxa"/>
        <w:jc w:val="left"/>
        <w:tblInd w:w="0" w:type="dxa"/>
        <w:tblLayout w:type="fixed"/>
        <w:tblCellMar>
          <w:top w:w="28" w:type="dxa"/>
          <w:left w:w="28" w:type="dxa"/>
          <w:bottom w:w="28" w:type="dxa"/>
          <w:right w:w="28" w:type="dxa"/>
        </w:tblCellMar>
      </w:tblPr>
      <w:tblGrid>
        <w:gridCol w:w="966"/>
        <w:gridCol w:w="852"/>
        <w:gridCol w:w="852"/>
        <w:gridCol w:w="485"/>
        <w:gridCol w:w="485"/>
        <w:gridCol w:w="485"/>
        <w:gridCol w:w="1016"/>
        <w:gridCol w:w="1016"/>
        <w:gridCol w:w="1433"/>
      </w:tblGrid>
      <w:tr>
        <w:trPr/>
        <w:tc>
          <w:tcPr>
            <w:tcW w:w="96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759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AVGO</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4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120" w:after="283"/>
        <w:ind w:left="0" w:right="0" w:firstLine="450"/>
        <w:jc w:val="left"/>
        <w:rPr/>
      </w:pPr>
      <w:r>
        <w:rPr>
          <w:rFonts w:ascii="Times New Roman;serif" w:hAnsi="Times New Roman;serif"/>
          <w:b w:val="false"/>
          <w:color w:val="000000"/>
          <w:sz w:val="20"/>
          <w:shd w:fill="FFFFFF" w:val="clear"/>
        </w:rPr>
        <w:t xml:space="preserve">On September 2, 2026, Broadcom Inc. (the “Company”) issued a press release announcing its unaudited financial results for the </w:t>
      </w:r>
      <w:r>
        <w:rPr>
          <w:rFonts w:ascii="Times New Roman;serif" w:hAnsi="Times New Roman;serif"/>
          <w:b w:val="false"/>
          <w:color w:val="000000"/>
          <w:sz w:val="20"/>
        </w:rPr>
        <w:t>third</w:t>
      </w:r>
      <w:r>
        <w:rPr>
          <w:color w:val="000000"/>
          <w:shd w:fill="FFFFFF" w:val="clear"/>
        </w:rPr>
        <w:t xml:space="preserve"> </w:t>
      </w:r>
      <w:r>
        <w:rPr>
          <w:rFonts w:ascii="Times New Roman;serif" w:hAnsi="Times New Roman;serif"/>
          <w:b w:val="false"/>
          <w:color w:val="000000"/>
          <w:sz w:val="20"/>
          <w:shd w:fill="FFFFFF" w:val="clear"/>
        </w:rPr>
        <w:t xml:space="preserve">quarter ended August 2, 2026. </w:t>
      </w:r>
    </w:p>
    <w:p>
      <w:pPr>
        <w:pStyle w:val="TextBody"/>
        <w:bidi w:val="0"/>
        <w:spacing w:lineRule="auto" w:line="288" w:before="240" w:after="283"/>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copy of the press release is attached hereto as Exhibit 99.1 and is incorporated herein by reference. </w:t>
      </w:r>
    </w:p>
    <w:p>
      <w:pPr>
        <w:pStyle w:val="TextBody"/>
        <w:bidi w:val="0"/>
        <w:spacing w:lineRule="auto" w:line="288" w:before="240" w:after="283"/>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Item 2.02 of this Report and the press release attached hereto as Exhibit 99.1 are furnished and shall not be treated as filed for purposes of the Securities Exchange Act of 1934, as amended.</w:t>
      </w:r>
    </w:p>
    <w:p>
      <w:pPr>
        <w:pStyle w:val="TextBody"/>
        <w:bidi w:val="0"/>
        <w:spacing w:lineRule="auto" w:line="288" w:before="240" w:after="283"/>
        <w:jc w:val="left"/>
        <w:rPr/>
      </w:pPr>
      <w:r>
        <w:rPr>
          <w:rFonts w:ascii="Times New Roman;serif" w:hAnsi="Times New Roman;serif"/>
          <w:b/>
          <w:color w:val="000000"/>
          <w:sz w:val="20"/>
          <w:shd w:fill="FFFFFF" w:val="clear"/>
        </w:rPr>
        <w:t xml:space="preserve">Item 8.01 </w:t>
      </w:r>
      <w:r>
        <w:rPr>
          <w:color w:val="000000"/>
          <w:shd w:fill="FFFFFF" w:val="clear"/>
        </w:rPr>
        <w:t>    </w:t>
      </w:r>
      <w:r>
        <w:rPr>
          <w:rFonts w:ascii="Times New Roman;serif" w:hAnsi="Times New Roman;serif"/>
          <w:b/>
          <w:color w:val="000000"/>
          <w:sz w:val="20"/>
          <w:shd w:fill="FFFFFF" w:val="clear"/>
        </w:rPr>
        <w:t>Other Events.</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September 2, 2026</w:t>
      </w:r>
      <w:r>
        <w:rPr>
          <w:rFonts w:ascii="Times New Roman;serif" w:hAnsi="Times New Roman;serif"/>
          <w:b w:val="false"/>
          <w:color w:val="000000"/>
          <w:sz w:val="20"/>
        </w:rPr>
        <w:t xml:space="preserve">, the Company announced that the Board of Directors has declared a quarterly cash dividend on the Company’s common stock of $0.65 per share. This dividend is payable on September 30, 2026 to common stockholders of record at the close of business (5:00 p.m., Eastern Time) on September 21,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6552"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1547"/>
        <w:gridCol w:w="1547"/>
        <w:gridCol w:w="2200"/>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go-08022026x8kxex99.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vgo-08022026x8kxex99.htm">
              <w:r>
                <w:rPr>
                  <w:rStyle w:val="InternetLink"/>
                  <w:rFonts w:ascii="Times New Roman;serif" w:hAnsi="Times New Roman;serif"/>
                  <w:b w:val="false"/>
                  <w:color w:val="000080"/>
                  <w:sz w:val="20"/>
                  <w:u w:val="single"/>
                </w:rPr>
                <w:t xml:space="preserve">Press release issued by Broadcom Inc. dated </w:t>
              </w:r>
            </w:hyperlink>
            <w:hyperlink w:anchor="avgo-08022026x8kxex99.htm">
              <w:r>
                <w:rPr>
                  <w:rStyle w:val="InternetLink"/>
                  <w:rFonts w:ascii="Times New Roman;serif" w:hAnsi="Times New Roman;serif"/>
                  <w:b w:val="false"/>
                  <w:color w:val="000080"/>
                  <w:sz w:val="20"/>
                  <w:u w:val="single"/>
                </w:rPr>
                <w:t>September</w:t>
              </w:r>
            </w:hyperlink>
            <w:hyperlink w:anchor="avgo-08022026x8kxex99.htm">
              <w:r>
                <w:rPr>
                  <w:rStyle w:val="InternetLink"/>
                  <w:rFonts w:ascii="Times New Roman;serif" w:hAnsi="Times New Roman;serif"/>
                  <w:b w:val="false"/>
                  <w:color w:val="000080"/>
                  <w:sz w:val="20"/>
                  <w:u w:val="single"/>
                </w:rPr>
                <w:t xml:space="preserve"> </w:t>
              </w:r>
            </w:hyperlink>
            <w:hyperlink w:anchor="avgo-08022026x8kxex99.htm">
              <w:r>
                <w:rPr>
                  <w:rStyle w:val="InternetLink"/>
                  <w:rFonts w:ascii="Times New Roman;serif" w:hAnsi="Times New Roman;serif"/>
                  <w:b w:val="false"/>
                  <w:color w:val="000080"/>
                  <w:sz w:val="20"/>
                  <w:u w:val="single"/>
                </w:rPr>
                <w:t>2</w:t>
              </w:r>
            </w:hyperlink>
            <w:hyperlink w:anchor="avgo-08022026x8kxex99.htm">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240" w:after="283"/>
        <w:jc w:val="left"/>
        <w:rPr>
          <w:color w:val="000000"/>
        </w:rPr>
      </w:pP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00" w:after="283"/>
        <w:jc w:val="left"/>
        <w:rPr/>
      </w:pPr>
      <w:r>
        <w:rPr>
          <w:rFonts w:ascii="Times New Roman;serif" w:hAnsi="Times New Roman;serif"/>
          <w:b w:val="false"/>
          <w:color w:val="000000"/>
          <w:sz w:val="20"/>
        </w:rPr>
        <w:t>Date: </w:t>
      </w:r>
      <w:r>
        <w:rPr>
          <w:rFonts w:ascii="Times New Roman;serif" w:hAnsi="Times New Roman;serif"/>
          <w:b w:val="false"/>
          <w:color w:val="000000"/>
          <w:sz w:val="20"/>
          <w:shd w:fill="FFFFFF" w:val="clear"/>
        </w:rPr>
        <w:t>September 2, 2026</w:t>
      </w:r>
      <w:r>
        <w:rPr>
          <w:color w:val="000000"/>
        </w:rPr>
        <w:t xml:space="preserve"> </w:t>
      </w:r>
    </w:p>
    <w:tbl>
      <w:tblPr>
        <w:tblW w:w="30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587"/>
        <w:gridCol w:w="587"/>
        <w:gridCol w:w="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Broadcom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Amie Thuener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Amie Thuener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60" w:after="283"/>
        <w:ind w:left="0" w:right="0" w:firstLine="360"/>
        <w:jc w:val="left"/>
        <w:rPr/>
      </w:pPr>
      <w:r>
        <w:rPr/>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ind w:left="0" w:right="0" w:firstLine="36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Broadcom Inc. Announces Third Quarter Fiscal Year 2026 Financial Results and Quarterly Dividend</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Revenue of $29.6 billion for the third quarter, up 86 percent from the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GAAP operating income of $16.0 billion for the third quarter; Non-GAAP operating income of $20.1 billion for the third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GAAP diluted EPS of $2.68 for the third quarter; Non-GAAP diluted EPS of $3.32 for the third quarter</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Cash from operations of $14.2 billion for the third quarter, less capital expenditures of $0.5 billion, resulted in $13.7 billion of free cash flow, or 46 percent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Quarterly common stock dividend of $0.65 per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Fourth quarter fiscal year 2026 revenue guidance of approximately $34.8 billion, an increase of 93 percent from the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Fourth quarter fiscal year 2026 Non-GAAP operating income guidance of approximately 66 percent of projected revenue </w:t>
      </w:r>
      <w:r>
        <w:rPr>
          <w:rFonts w:ascii="Times New Roman;serif" w:hAnsi="Times New Roman;serif"/>
          <w:b w:val="false"/>
          <w:i/>
          <w:color w:val="000000"/>
          <w:sz w:val="13"/>
        </w:rPr>
        <w:t>(1)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PALO ALTO, Calif. –</w:t>
      </w:r>
      <w:r>
        <w:rPr>
          <w:color w:val="000000"/>
        </w:rPr>
        <w:t xml:space="preserve"> </w:t>
      </w:r>
      <w:r>
        <w:rPr>
          <w:rFonts w:ascii="Times New Roman;serif" w:hAnsi="Times New Roman;serif"/>
          <w:b w:val="false"/>
          <w:color w:val="000000"/>
          <w:sz w:val="24"/>
        </w:rPr>
        <w:t>September 2, 2026</w:t>
      </w:r>
      <w:r>
        <w:rPr>
          <w:color w:val="000000"/>
        </w:rPr>
        <w:t xml:space="preserve"> – </w:t>
      </w:r>
      <w:r>
        <w:rPr>
          <w:rFonts w:ascii="Times New Roman;serif" w:hAnsi="Times New Roman;serif"/>
          <w:b w:val="false"/>
          <w:color w:val="000000"/>
          <w:sz w:val="24"/>
        </w:rPr>
        <w:t>Broadcom Inc. (Nasdaq: AVGO), a global technology leader that designs, develops and supplies semiconductor and infrastructure software solutions, today reported financial results for its third quarter of fiscal year 2026, ended August 2, 2026, provided guidance for its fourth quarter of fiscal year 2026 and announced its quarterly dividend.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 xml:space="preserve">Demand for our custom AI accelerators and networking continues to be very strong. Q3 AI semiconductor revenue of $16.7 billion grew 221% year-over-year, and 54% quarter-over-quarter,” said Hock Tan, President and CEO of Broadcom Inc. “In Q4 the momentum continues, and we expect AI semiconductor revenue to accelerate to $21.7 billion, up 236% year-over-year.”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 xml:space="preserve">Broadcom achieved record revenue, operating profit and free cash flow in Q3. We delivered non-GAAP operating income growth of 92% year-over-year, as consolidated revenue grew 86% year-over-year to $29.6 billion,” said Amie Thuener, CFO of Broadcom Inc. “Q4 consolidated revenue growth is forecasted to increase 93% year-over-year to $34.8 billion, and we expect to maintain our non-GAAP operating margin at 66%, flat from a year ago.”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w:t>
      </w:r>
    </w:p>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222222"/>
          <w:sz w:val="18"/>
          <w:shd w:fill="FFFFFF" w:val="clear"/>
        </w:rPr>
        <w:t>The Company is not readily able to provide a reconciliation of projected non-GAAP financial measures presented to the relevant projected GAAP measures without unreasonable effort.</w:t>
      </w:r>
    </w:p>
    <w:p>
      <w:pPr>
        <w:pStyle w:val="TextBody"/>
        <w:bidi w:val="0"/>
        <w:spacing w:before="0" w:after="283"/>
        <w:jc w:val="left"/>
        <w:rPr/>
      </w:pPr>
      <w:r>
        <w:rPr/>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Third Quarter Fiscal Year 2026 Financial Highlights</w:t>
      </w:r>
    </w:p>
    <w:tbl>
      <w:tblPr>
        <w:tblW w:w="10205" w:type="dxa"/>
        <w:jc w:val="left"/>
        <w:tblInd w:w="0" w:type="dxa"/>
        <w:tblLayout w:type="fixed"/>
        <w:tblCellMar>
          <w:top w:w="28" w:type="dxa"/>
          <w:left w:w="28" w:type="dxa"/>
          <w:bottom w:w="28" w:type="dxa"/>
          <w:right w:w="28" w:type="dxa"/>
        </w:tblCellMar>
      </w:tblPr>
      <w:tblGrid>
        <w:gridCol w:w="923"/>
        <w:gridCol w:w="747"/>
        <w:gridCol w:w="753"/>
        <w:gridCol w:w="109"/>
        <w:gridCol w:w="109"/>
        <w:gridCol w:w="109"/>
        <w:gridCol w:w="211"/>
        <w:gridCol w:w="721"/>
        <w:gridCol w:w="109"/>
        <w:gridCol w:w="109"/>
        <w:gridCol w:w="109"/>
        <w:gridCol w:w="109"/>
        <w:gridCol w:w="211"/>
        <w:gridCol w:w="721"/>
        <w:gridCol w:w="109"/>
        <w:gridCol w:w="109"/>
        <w:gridCol w:w="109"/>
        <w:gridCol w:w="109"/>
        <w:gridCol w:w="174"/>
        <w:gridCol w:w="174"/>
        <w:gridCol w:w="178"/>
        <w:gridCol w:w="110"/>
        <w:gridCol w:w="110"/>
        <w:gridCol w:w="111"/>
        <w:gridCol w:w="109"/>
        <w:gridCol w:w="109"/>
        <w:gridCol w:w="109"/>
        <w:gridCol w:w="211"/>
        <w:gridCol w:w="721"/>
        <w:gridCol w:w="109"/>
        <w:gridCol w:w="109"/>
        <w:gridCol w:w="109"/>
        <w:gridCol w:w="109"/>
        <w:gridCol w:w="211"/>
        <w:gridCol w:w="721"/>
        <w:gridCol w:w="109"/>
        <w:gridCol w:w="109"/>
        <w:gridCol w:w="109"/>
        <w:gridCol w:w="109"/>
        <w:gridCol w:w="140"/>
        <w:gridCol w:w="140"/>
        <w:gridCol w:w="141"/>
        <w:gridCol w:w="110"/>
        <w:gridCol w:w="110"/>
        <w:gridCol w:w="158"/>
      </w:tblGrid>
      <w:tr>
        <w:trPr/>
        <w:tc>
          <w:tcPr>
            <w:tcW w:w="92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Non-GAAP</w:t>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332" w:type="dxa"/>
        <w:jc w:val="left"/>
        <w:tblInd w:w="0" w:type="dxa"/>
        <w:tblLayout w:type="fixed"/>
        <w:tblCellMar>
          <w:top w:w="28" w:type="dxa"/>
          <w:left w:w="28" w:type="dxa"/>
          <w:bottom w:w="28" w:type="dxa"/>
          <w:right w:w="28" w:type="dxa"/>
        </w:tblCellMar>
      </w:tblPr>
      <w:tblGrid>
        <w:gridCol w:w="813"/>
        <w:gridCol w:w="717"/>
        <w:gridCol w:w="720"/>
        <w:gridCol w:w="109"/>
        <w:gridCol w:w="109"/>
        <w:gridCol w:w="109"/>
        <w:gridCol w:w="211"/>
        <w:gridCol w:w="721"/>
        <w:gridCol w:w="109"/>
        <w:gridCol w:w="109"/>
        <w:gridCol w:w="109"/>
        <w:gridCol w:w="109"/>
        <w:gridCol w:w="211"/>
        <w:gridCol w:w="616"/>
        <w:gridCol w:w="109"/>
        <w:gridCol w:w="109"/>
        <w:gridCol w:w="109"/>
        <w:gridCol w:w="109"/>
        <w:gridCol w:w="140"/>
        <w:gridCol w:w="140"/>
        <w:gridCol w:w="141"/>
        <w:gridCol w:w="110"/>
        <w:gridCol w:w="110"/>
        <w:gridCol w:w="111"/>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32" w:type="dxa"/>
        <w:jc w:val="left"/>
        <w:tblInd w:w="0" w:type="dxa"/>
        <w:tblLayout w:type="fixed"/>
        <w:tblCellMar>
          <w:top w:w="28" w:type="dxa"/>
          <w:left w:w="28" w:type="dxa"/>
          <w:bottom w:w="28" w:type="dxa"/>
          <w:right w:w="28" w:type="dxa"/>
        </w:tblCellMar>
      </w:tblPr>
      <w:tblGrid>
        <w:gridCol w:w="775"/>
        <w:gridCol w:w="684"/>
        <w:gridCol w:w="686"/>
        <w:gridCol w:w="109"/>
        <w:gridCol w:w="109"/>
        <w:gridCol w:w="109"/>
        <w:gridCol w:w="211"/>
        <w:gridCol w:w="721"/>
        <w:gridCol w:w="109"/>
        <w:gridCol w:w="109"/>
        <w:gridCol w:w="109"/>
        <w:gridCol w:w="109"/>
        <w:gridCol w:w="140"/>
        <w:gridCol w:w="140"/>
        <w:gridCol w:w="141"/>
        <w:gridCol w:w="109"/>
        <w:gridCol w:w="109"/>
        <w:gridCol w:w="109"/>
        <w:gridCol w:w="109"/>
        <w:gridCol w:w="109"/>
        <w:gridCol w:w="109"/>
        <w:gridCol w:w="109"/>
        <w:gridCol w:w="109"/>
        <w:gridCol w:w="109"/>
        <w:gridCol w:w="109"/>
        <w:gridCol w:w="109"/>
        <w:gridCol w:w="211"/>
        <w:gridCol w:w="721"/>
        <w:gridCol w:w="109"/>
        <w:gridCol w:w="109"/>
        <w:gridCol w:w="109"/>
        <w:gridCol w:w="109"/>
        <w:gridCol w:w="140"/>
        <w:gridCol w:w="140"/>
        <w:gridCol w:w="141"/>
        <w:gridCol w:w="110"/>
        <w:gridCol w:w="110"/>
        <w:gridCol w:w="111"/>
        <w:gridCol w:w="109"/>
        <w:gridCol w:w="109"/>
        <w:gridCol w:w="109"/>
        <w:gridCol w:w="175"/>
        <w:gridCol w:w="175"/>
        <w:gridCol w:w="176"/>
        <w:gridCol w:w="109"/>
        <w:gridCol w:w="109"/>
        <w:gridCol w:w="109"/>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Net 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3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Company’s cash and cash equivalents at the end of the fiscal quarter were $24.0 billion, compared to $19.6 billion at the end of the prior fiscal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During the third fiscal quarter, the Company generated $14.2 billion in cash from operations and spent $0.5 billion on capital expenditures, resulting in $13.7 billion of free cash flow.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June 30, 2026, the Company paid a cash dividend of $0.65 per share, totaling $3.1 billion.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differences between the Company’s GAAP and non-GAAP results are described generally under “Non-GAAP Financial Measures” below and presented in detail in the financial reconciliation tables attached to this release.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Fourth Quarter Fiscal Year 2026 Business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Based on current business trends and conditions, the outlook for the fourth quarter of fiscal year 2026, ending November 1, 2026, is expected to be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 quarter revenue guidance of approximately $34.8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 quarter non-GAAP operating income guidance of approximately 66 percent of projected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guidance provided above is only an estimate of what the Company believes is realizable as of the date of this release. The Company is not readily able to provide a reconciliation of projected non-GAAP financial measures to the relevant projected GAAP measures without unreasonable effort. Actual results will vary from the guidance and the variations may be material. The Company undertakes no intent or obligation to publicly update or revise any of these projections, whether as a result of new information, future events or otherwise, except as required by law.</w:t>
      </w:r>
    </w:p>
    <w:p>
      <w:pPr>
        <w:pStyle w:val="TextBody"/>
        <w:bidi w:val="0"/>
        <w:spacing w:before="0" w:after="283"/>
        <w:jc w:val="left"/>
        <w:rPr/>
      </w:pPr>
      <w:r>
        <w:rPr/>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Quarterly Dividends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Board of Directors of Broadcom has approved a quarterly cash dividend of $0.65 per share. The dividend is payable on September 30, 2026 to stockholders of record at the close of business (5:00 p.m. Eastern Time) on September 21,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Financial Results Conference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Broadcom Inc. will host a conference call to review its financial results for the third quarter of fiscal year 2026 and to discuss the business outlook today at 2:00 p.m. Pacific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To Listen via Internet:</w:t>
      </w:r>
      <w:r>
        <w:rPr>
          <w:color w:val="000000"/>
        </w:rPr>
        <w:t xml:space="preserve"> </w:t>
      </w:r>
      <w:r>
        <w:rPr>
          <w:rFonts w:ascii="Times New Roman;serif" w:hAnsi="Times New Roman;serif"/>
          <w:b w:val="false"/>
          <w:color w:val="000000"/>
          <w:sz w:val="24"/>
        </w:rPr>
        <w:t xml:space="preserve">The conference call can be accessed live online in the Investors section of the Broadcom website at https://investors.broadcom.com/.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Replay:</w:t>
      </w:r>
      <w:r>
        <w:rPr>
          <w:color w:val="000000"/>
        </w:rPr>
        <w:t xml:space="preserve"> </w:t>
      </w:r>
      <w:r>
        <w:rPr>
          <w:rFonts w:ascii="Times New Roman;serif" w:hAnsi="Times New Roman;serif"/>
          <w:b w:val="false"/>
          <w:color w:val="000000"/>
          <w:sz w:val="24"/>
        </w:rPr>
        <w:t>An audio replay of the conference call can be accessed for one year through the Investors section of Broadcom’s website at https://investors.broadcom.com/.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The non-GAAP measures should not be considered as a substitute for, or superior to, measures of financial performance prepared in accordance with GAAP. When possible, a reconciliation between GAAP and non-GAAP financial data is included in the supplemental financial data attached to this press release. The Company is not readily able to provide a reconciliation of projected non-GAAP measures to the comparable GAAP measures without unreasonable effort. Broadcom believes non-GAAP financial information provides additional insight into the Company’s on-going performance. Therefore, Broadcom provides this information to investors for a more consistent basis of comparison and to help them evaluate the results of the Company’s on-going operations and enable more meaningful period to period comparisons.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GAAP reporting, Broadcom provides investors with net income, operating income, gross margin, operating expenses, cash flow and other data on a non-GAAP basis. This non-GAAP information excludes amortization of acquisition-related intangible assets, stock-based compensation expense, restructuring and other charges, acquisition-related costs, including integration costs, non-GAAP tax reconciling adjustments, and other adjustments. Management does not believe that these items are reflective of the Company’s underlying performance. Internally, these non-GAAP measures are significant measures used by management for purposes of evaluating the core operating performance of the Company, establishing internal budgets, calculating return on investment for development programs and growth initiatives, comparing performance with internal forecasts and targeted business models, strategic planning, evaluating and valuing potential acquisition candidates and how their operations compare to the Company’s operations, and benchmarking performance externally against the Company’s competitors. The exclusion of these and other similar items from Broadcom’s non-GAAP financial results should not be interpreted as implying that these items are non-recurring, infrequent or unusual.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w:t>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such cash. Broadcom’s free cash flow may not be calculated in a manner comparable to similarly named measures used by other companies.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Broadcom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Broadcom Inc. (NASDAQ: AVGO) is a technology leader that designs, develops, and supplies semiconductors and infrastructure software for global organizations’ complex, mission-critical needs. Broadcom combines long-term R&amp;D investment with superb execution to deliver the best technology, at scale. Broadcom is a Delaware corporation headquartered in Palo Alto, CA. For more information, visit www.broadcom.com.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Cautionary Note Regarding Forward-Looking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announcement contains forward-looking statements (including within the meaning of Section 21E of the United States Securities Exchange Act of 1934, as amended, and Section 27A of the United States Securities Act of 1933, as amended) concerning Broadcom. These statements include, but are not limited to, statements that address our expected future business and financial performance, our plans and expectations with regard to our share repurchases,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these forward-looking statements. Accordingly, undue reliance should not be placed on such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w:t>
      </w: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Our filings with the SEC, which are available without charge at the SEC’s website at https://www.sec.gov, discuss some of the important risk factors that may affect our business, results of operations and financial condition. Actual results may vary from the estimates provided. We undertake no intent or obligation to publicly update or revise any of the estimates and other forward-looking statements made in this announcement, whether as a result of new information, future events or otherwise, except as required by law.</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Contact:</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Ji Yoo</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Broadcom Inc.</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Investor Relations</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4"/>
        </w:rPr>
        <w:t>650-427-6000</w:t>
      </w:r>
      <w:r>
        <w:rPr>
          <w:color w:val="000000"/>
        </w:rPr>
        <w:t xml:space="preserve"> </w:t>
      </w:r>
    </w:p>
    <w:p>
      <w:pPr>
        <w:pStyle w:val="TextBody"/>
        <w:bidi w:val="0"/>
        <w:spacing w:lineRule="auto" w:line="268" w:before="0" w:after="0"/>
        <w:jc w:val="left"/>
        <w:rPr/>
      </w:pPr>
      <w:r>
        <w:rPr>
          <w:rFonts w:ascii="Times New Roman;serif" w:hAnsi="Times New Roman;serif"/>
          <w:b w:val="false"/>
          <w:color w:val="0563C1"/>
          <w:sz w:val="24"/>
        </w:rPr>
        <w:t>investor.relations@broadcom.com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(AVGO-Q)</w:t>
      </w:r>
      <w:r>
        <w:rPr>
          <w:color w:val="0563C1"/>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BROADCOM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363"/>
        <w:gridCol w:w="1196"/>
        <w:gridCol w:w="121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Fiscal Quarters Ended</w:t>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per share calculations: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13360"/>
                <wp:effectExtent l="0" t="0" r="0" b="0"/>
                <wp:wrapNone/>
                <wp:docPr id="9" name="Frame9"/>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BROADCOM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FINANCIAL RECONCILIATION: GAAP TO NON-GAAP — 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411"/>
        <w:gridCol w:w="1153"/>
        <w:gridCol w:w="109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55"/>
      </w:tblGrid>
      <w:tr>
        <w:trPr/>
        <w:tc>
          <w:tcPr>
            <w:tcW w:w="14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Fiscal Quarters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margin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 on non-GAAP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on GAAP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13360"/>
                <wp:effectExtent l="0" t="0" r="0" b="0"/>
                <wp:wrapNone/>
                <wp:docPr id="10" name="Frame10"/>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65"/>
        <w:gridCol w:w="1088"/>
        <w:gridCol w:w="1097"/>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55"/>
      </w:tblGrid>
      <w:tr>
        <w:trPr/>
        <w:tc>
          <w:tcPr>
            <w:tcW w:w="156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Fiscal Quarters Ended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May 3,</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tax reconciling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tax reconciling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per share calculations - diluted on 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Non-GAAP adjustment</w:t>
            </w:r>
            <w:r>
              <w:rPr>
                <w:color w:val="000000"/>
              </w:rPr>
              <w:t xml:space="preserv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per share calculations - diluted on non-GAAP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6"/>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304"/>
        <w:gridCol w:w="435"/>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9251"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Non-GAAP adjustment for the number of shares used in the diluted per share calculations excludes the impact of stock-based compensation expense expected to be incurred in future periods and not yet recognized in the financial statements, which would otherwise be assumed to be used to repurchase shares under the GAAP treasury stock method.</w:t>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9251" w:type="dxa"/>
            <w:gridSpan w:val="30"/>
            <w:tcBorders/>
          </w:tcPr>
          <w:p>
            <w:pPr>
              <w:pStyle w:val="TableContents"/>
              <w:bidi w:val="0"/>
              <w:spacing w:before="0" w:after="283"/>
              <w:jc w:val="left"/>
              <w:rPr>
                <w:sz w:val="4"/>
                <w:szCs w:val="4"/>
              </w:rPr>
            </w:pPr>
            <w:r>
              <w:rPr>
                <w:sz w:val="4"/>
                <w:szCs w:val="4"/>
              </w:rPr>
            </w:r>
          </w:p>
        </w:tc>
      </w:tr>
      <w:tr>
        <w:trPr/>
        <w:tc>
          <w:tcPr>
            <w:tcW w:w="954" w:type="dxa"/>
            <w:gridSpan w:val="3"/>
            <w:tcBorders/>
            <w:vAlign w:val="center"/>
          </w:tcPr>
          <w:p>
            <w:pPr>
              <w:pStyle w:val="TableContents"/>
              <w:bidi w:val="0"/>
              <w:spacing w:before="0" w:after="283"/>
              <w:jc w:val="left"/>
              <w:rPr>
                <w:sz w:val="4"/>
                <w:szCs w:val="4"/>
              </w:rPr>
            </w:pPr>
            <w:r>
              <w:rPr>
                <w:sz w:val="4"/>
                <w:szCs w:val="4"/>
              </w:rPr>
            </w:r>
          </w:p>
        </w:tc>
        <w:tc>
          <w:tcPr>
            <w:tcW w:w="9251"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13360"/>
                <wp:effectExtent l="0" t="0" r="0" b="0"/>
                <wp:wrapNone/>
                <wp:docPr id="11" name="Frame1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BROADCOM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MILLIONS)</w:t>
      </w:r>
    </w:p>
    <w:tbl>
      <w:tblPr>
        <w:tblW w:w="5900" w:type="dxa"/>
        <w:jc w:val="center"/>
        <w:tblInd w:w="0" w:type="dxa"/>
        <w:tblLayout w:type="fixed"/>
        <w:tblCellMar>
          <w:top w:w="28" w:type="dxa"/>
          <w:left w:w="28" w:type="dxa"/>
          <w:bottom w:w="28" w:type="dxa"/>
          <w:right w:w="28" w:type="dxa"/>
        </w:tblCellMar>
      </w:tblPr>
      <w:tblGrid>
        <w:gridCol w:w="1131"/>
        <w:gridCol w:w="992"/>
        <w:gridCol w:w="996"/>
        <w:gridCol w:w="109"/>
        <w:gridCol w:w="109"/>
        <w:gridCol w:w="109"/>
        <w:gridCol w:w="196"/>
        <w:gridCol w:w="736"/>
        <w:gridCol w:w="109"/>
        <w:gridCol w:w="109"/>
        <w:gridCol w:w="109"/>
        <w:gridCol w:w="109"/>
        <w:gridCol w:w="196"/>
        <w:gridCol w:w="73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November 2,</w:t>
              <w:br/>
              <w:t>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13360"/>
                <wp:effectExtent l="0" t="0" r="0" b="0"/>
                <wp:wrapNone/>
                <wp:docPr id="12" name="Frame1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20"/>
        <w:gridCol w:w="1103"/>
        <w:gridCol w:w="1107"/>
        <w:gridCol w:w="111"/>
        <w:gridCol w:w="111"/>
        <w:gridCol w:w="111"/>
        <w:gridCol w:w="200"/>
        <w:gridCol w:w="660"/>
        <w:gridCol w:w="111"/>
        <w:gridCol w:w="111"/>
        <w:gridCol w:w="111"/>
        <w:gridCol w:w="111"/>
        <w:gridCol w:w="200"/>
        <w:gridCol w:w="660"/>
        <w:gridCol w:w="111"/>
        <w:gridCol w:w="111"/>
        <w:gridCol w:w="111"/>
        <w:gridCol w:w="111"/>
        <w:gridCol w:w="200"/>
        <w:gridCol w:w="660"/>
        <w:gridCol w:w="111"/>
        <w:gridCol w:w="111"/>
        <w:gridCol w:w="111"/>
        <w:gridCol w:w="111"/>
        <w:gridCol w:w="200"/>
        <w:gridCol w:w="660"/>
        <w:gridCol w:w="111"/>
        <w:gridCol w:w="111"/>
        <w:gridCol w:w="111"/>
        <w:gridCol w:w="111"/>
        <w:gridCol w:w="200"/>
        <w:gridCol w:w="660"/>
        <w:gridCol w:w="166"/>
      </w:tblGrid>
      <w:tr>
        <w:trPr/>
        <w:tc>
          <w:tcPr>
            <w:tcW w:w="142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BROADCOM INC.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 UNAUDITED</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Fiscal Quarter Ended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Fiscal Quarters Ended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May 3,</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2,</w:t>
              <w:b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August 3,</w:t>
              <w:br/>
              <w:t>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and right-of-use 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and other non-cash taxes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 and disposals: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Trade accounts receivable, net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Inventory</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Accounts payable</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Employee compensation and benefits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current assets and current 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long-term assets and long-term 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debt obligations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(repayments of) commercial paper, net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dividends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 repurchase program</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 for tax withholdings on vesting of equity awards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and cash equivalents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23,975 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10,718 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36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13360"/>
                <wp:effectExtent l="0" t="0" r="0" b="0"/>
                <wp:wrapNone/>
                <wp:docPr id="13" name="Frame1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4036</Words>
  <Characters>22291</Characters>
  <CharactersWithSpaces>25819</CharactersWithSpaces>
  <Paragraphs>1198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