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27,577,957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27,577,957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27,577,957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740"/>
              <w:spacing w:after="0"/>
              <w:rPr>
                <w:sz w:val="20"/>
                <w:szCs w:val="20"/>
                <w:color w:val="auto"/>
              </w:rPr>
            </w:pPr>
            <w:r>
              <w:rPr>
                <w:rFonts w:ascii="Courier New" w:cs="Courier New" w:eastAsia="Courier New" w:hAnsi="Courier New"/>
                <w:sz w:val="18"/>
                <w:szCs w:val="18"/>
                <w:color w:val="auto"/>
              </w:rPr>
              <w:t>See page 2</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405"/>
        </w:trPr>
        <w:tc>
          <w:tcPr>
            <w:tcW w:w="4280" w:type="dxa"/>
            <w:vAlign w:val="bottom"/>
            <w:gridSpan w:val="3"/>
          </w:tcPr>
          <w:p>
            <w:pPr>
              <w:ind w:left="740"/>
              <w:spacing w:after="0"/>
              <w:rPr>
                <w:sz w:val="20"/>
                <w:szCs w:val="20"/>
                <w:color w:val="auto"/>
              </w:rPr>
            </w:pPr>
            <w:r>
              <w:rPr>
                <w:rFonts w:ascii="Courier New" w:cs="Courier New" w:eastAsia="Courier New" w:hAnsi="Courier New"/>
                <w:sz w:val="18"/>
                <w:szCs w:val="18"/>
                <w:color w:val="auto"/>
                <w:w w:val="98"/>
              </w:rPr>
              <w:t>Capital Research Global Investors</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is deemed to be the</w:t>
            </w:r>
          </w:p>
        </w:tc>
      </w:tr>
      <w:tr>
        <w:trPr>
          <w:trHeight w:val="203"/>
        </w:trPr>
        <w:tc>
          <w:tcPr>
            <w:tcW w:w="1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w:t>
            </w:r>
          </w:p>
        </w:tc>
        <w:tc>
          <w:tcPr>
            <w:tcW w:w="6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owner of 27,577,957 shares or 10% of the 276,489,575</w:t>
            </w:r>
          </w:p>
        </w:tc>
      </w:tr>
      <w:tr>
        <w:trPr>
          <w:trHeight w:val="203"/>
        </w:trPr>
        <w:tc>
          <w:tcPr>
            <w:tcW w:w="2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shares believed to</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outstanding</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 result of CRMC acting as</w:t>
            </w:r>
          </w:p>
        </w:tc>
      </w:tr>
      <w:tr>
        <w:trPr>
          <w:trHeight w:val="203"/>
        </w:trPr>
        <w:tc>
          <w:tcPr>
            <w:tcW w:w="1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investment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adviser</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various investment companies registered</w:t>
            </w:r>
          </w:p>
        </w:tc>
      </w:tr>
      <w:tr>
        <w:trPr>
          <w:trHeight w:val="203"/>
        </w:trPr>
        <w:tc>
          <w:tcPr>
            <w:tcW w:w="2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under Section 8 of</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Investment</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CUSIP: B3WS2X9</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20" w:type="dxa"/>
            <w:vAlign w:val="bottom"/>
          </w:tcPr>
          <w:p>
            <w:pPr>
              <w:ind w:left="2460"/>
              <w:spacing w:after="0"/>
              <w:rPr>
                <w:sz w:val="20"/>
                <w:szCs w:val="20"/>
                <w:color w:val="auto"/>
              </w:rPr>
            </w:pPr>
            <w:r>
              <w:rPr>
                <w:rFonts w:ascii="Courier New" w:cs="Courier New" w:eastAsia="Courier New" w:hAnsi="Courier New"/>
                <w:sz w:val="18"/>
                <w:szCs w:val="18"/>
                <w:color w:val="auto"/>
                <w:w w:val="95"/>
              </w:rPr>
              <w:t>Page 3 of 4</w:t>
            </w:r>
          </w:p>
        </w:tc>
      </w:tr>
    </w:tbl>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2019-12-21T03:59:10Z</dcterms:created>
  <dcterms:modified xsi:type="dcterms:W3CDTF">2019-12-21T03:59:10Z</dcterms:modified>
</cp:coreProperties>
</file>