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90170</wp:posOffset>
            </wp:positionV>
            <wp:extent cx="18345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41275</wp:posOffset>
            </wp:positionV>
            <wp:extent cx="1834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105410</wp:posOffset>
            </wp:positionV>
            <wp:extent cx="1834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Broadcom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159385</wp:posOffset>
            </wp:positionV>
            <wp:extent cx="1834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p>
      <w:pPr>
        <w:spacing w:after="0" w:line="200" w:lineRule="exact"/>
        <w:rPr>
          <w:sz w:val="24"/>
          <w:szCs w:val="24"/>
          <w:color w:val="auto"/>
        </w:rPr>
      </w:pPr>
    </w:p>
    <w:p>
      <w:pPr>
        <w:spacing w:after="0" w:line="22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001-38449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35-2617337</w:t>
      </w:r>
    </w:p>
    <w:p>
      <w:pPr>
        <w:spacing w:after="0" w:line="28" w:lineRule="exact"/>
        <w:rPr>
          <w:sz w:val="24"/>
          <w:szCs w:val="24"/>
          <w:color w:val="auto"/>
        </w:rPr>
      </w:pPr>
    </w:p>
    <w:p>
      <w:pPr>
        <w:sectPr>
          <w:pgSz w:w="11900" w:h="16838" w:orient="portrait"/>
          <w:cols w:equalWidth="0" w:num="3">
            <w:col w:w="4620" w:space="720"/>
            <w:col w:w="2800" w:space="720"/>
            <w:col w:w="2380"/>
          </w:cols>
          <w:pgMar w:left="320" w:top="1420"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99" w:lineRule="exact"/>
        <w:rPr>
          <w:sz w:val="24"/>
          <w:szCs w:val="24"/>
          <w:color w:val="auto"/>
        </w:rPr>
      </w:pPr>
    </w:p>
    <w:p>
      <w:pPr>
        <w:sectPr>
          <w:pgSz w:w="11900" w:h="16838" w:orient="portrait"/>
          <w:cols w:equalWidth="0" w:num="3">
            <w:col w:w="4120" w:space="720"/>
            <w:col w:w="2600" w:space="720"/>
            <w:col w:w="3080"/>
          </w:cols>
          <w:pgMar w:left="320" w:top="1420" w:right="339" w:bottom="1440" w:gutter="0" w:footer="0" w:header="0"/>
          <w:type w:val="continuous"/>
        </w:sectPr>
      </w:pPr>
    </w:p>
    <w:p>
      <w:pPr>
        <w:spacing w:after="0" w:line="21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Palo Alto,</w:t>
      </w:r>
    </w:p>
    <w:p>
      <w:pPr>
        <w:spacing w:after="0" w:line="20" w:lineRule="exact"/>
        <w:rPr>
          <w:sz w:val="24"/>
          <w:szCs w:val="24"/>
          <w:color w:val="auto"/>
        </w:rPr>
      </w:pPr>
      <w:r>
        <w:rPr>
          <w:sz w:val="24"/>
          <w:szCs w:val="24"/>
          <w:color w:val="auto"/>
        </w:rPr>
        <w:br w:type="column"/>
      </w:r>
    </w:p>
    <w:p>
      <w:pPr>
        <w:jc w:val="center"/>
        <w:spacing w:after="0" w:line="279" w:lineRule="auto"/>
        <w:rPr>
          <w:sz w:val="20"/>
          <w:szCs w:val="20"/>
          <w:color w:val="auto"/>
        </w:rPr>
      </w:pPr>
      <w:r>
        <w:rPr>
          <w:rFonts w:ascii="Times New Roman" w:cs="Times New Roman" w:eastAsia="Times New Roman" w:hAnsi="Times New Roman"/>
          <w:sz w:val="16"/>
          <w:szCs w:val="16"/>
          <w:b w:val="1"/>
          <w:bCs w:val="1"/>
          <w:color w:val="auto"/>
        </w:rPr>
        <w:t>3421 Hillview Avenue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94304</w:t>
      </w:r>
    </w:p>
    <w:p>
      <w:pPr>
        <w:spacing w:after="0" w:line="28" w:lineRule="exact"/>
        <w:rPr>
          <w:sz w:val="24"/>
          <w:szCs w:val="24"/>
          <w:color w:val="auto"/>
        </w:rPr>
      </w:pPr>
    </w:p>
    <w:p>
      <w:pPr>
        <w:sectPr>
          <w:pgSz w:w="11900" w:h="16838" w:orient="portrait"/>
          <w:cols w:equalWidth="0" w:num="3">
            <w:col w:w="4860" w:space="80"/>
            <w:col w:w="1500" w:space="80"/>
            <w:col w:w="4720"/>
          </w:cols>
          <w:pgMar w:left="320" w:top="1420" w:right="33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(650) 427-6000</w:t>
      </w:r>
    </w:p>
    <w:p>
      <w:pPr>
        <w:spacing w:after="0" w:line="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107315</wp:posOffset>
            </wp:positionV>
            <wp:extent cx="1834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1420" w:right="339" w:bottom="1440" w:gutter="0" w:footer="0" w:header="0"/>
          <w:type w:val="continuous"/>
        </w:sectPr>
      </w:pPr>
    </w:p>
    <w:p>
      <w:pPr>
        <w:spacing w:after="0" w:line="26"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5" w:lineRule="exact"/>
        <w:rPr>
          <w:sz w:val="24"/>
          <w:szCs w:val="24"/>
          <w:color w:val="auto"/>
        </w:rPr>
      </w:pPr>
    </w:p>
    <w:p>
      <w:pPr>
        <w:sectPr>
          <w:pgSz w:w="11900" w:h="16838" w:orient="portrait"/>
          <w:cols w:equalWidth="0" w:num="3">
            <w:col w:w="4300" w:space="720"/>
            <w:col w:w="1860" w:space="720"/>
            <w:col w:w="3640"/>
          </w:cols>
          <w:pgMar w:left="320" w:top="1420" w:right="3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5"/>
          <w:szCs w:val="15"/>
          <w:b w:val="1"/>
          <w:bCs w:val="1"/>
          <w:color w:val="auto"/>
        </w:rPr>
        <w:t>AVGO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p>
      <w:pPr>
        <w:spacing w:after="0" w:line="200" w:lineRule="exact"/>
        <w:rPr>
          <w:sz w:val="24"/>
          <w:szCs w:val="24"/>
          <w:color w:val="auto"/>
        </w:rPr>
      </w:pPr>
    </w:p>
    <w:p>
      <w:pPr>
        <w:sectPr>
          <w:pgSz w:w="11900" w:h="16838" w:orient="portrait"/>
          <w:cols w:equalWidth="0" w:num="3">
            <w:col w:w="4640" w:space="720"/>
            <w:col w:w="1680" w:space="720"/>
            <w:col w:w="3480"/>
          </w:cols>
          <w:pgMar w:left="320" w:top="1420" w:right="339" w:bottom="1440" w:gutter="0" w:footer="0" w:header="0"/>
          <w:type w:val="continuous"/>
        </w:sectPr>
      </w:pPr>
    </w:p>
    <w:p>
      <w:pPr>
        <w:spacing w:after="0" w:line="15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1115060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On December 12, 2024, Broadcom Inc. (the “Company”) issued a press release announcing its unaudited financial results for the fourth quarter and fiscal year ended November 3, 2024.</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25"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The information in Item 2.02 of this Report and the press release attached hereto as Exhibit 99.1 are furnished and shall not be treated as filed for purposes of the Securities Exchange Act of 1934, as amended.</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announced that the Board of Directors has declared a quarterly cash dividend on the Company’s common stock of $0.59 per share. This dividend is payable on December 31, 2024 to common stockholders of record at the close of business (5:00 p.m., Eastern Time) on December 23, 2024.</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No.</w:t>
            </w: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25"/>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4"/>
                <w:szCs w:val="24"/>
                <w:color w:val="auto"/>
              </w:rPr>
            </w:pPr>
          </w:p>
        </w:tc>
        <w:tc>
          <w:tcPr>
            <w:tcW w:w="98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by Broadcom Inc. dated December 12, 2024</w:t>
            </w:r>
            <w:r>
              <w:rPr>
                <w:rFonts w:ascii="Times New Roman" w:cs="Times New Roman" w:eastAsia="Times New Roman" w:hAnsi="Times New Roman"/>
                <w:sz w:val="18"/>
                <w:szCs w:val="18"/>
                <w:color w:val="000000"/>
              </w:rPr>
              <w:t>.</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5140" w:type="dxa"/>
            <w:vAlign w:val="bottom"/>
            <w:gridSpan w:val="2"/>
          </w:tcPr>
          <w:p>
            <w:pPr>
              <w:spacing w:after="0"/>
              <w:rPr>
                <w:sz w:val="21"/>
                <w:szCs w:val="21"/>
                <w:color w:val="auto"/>
              </w:rPr>
            </w:pPr>
          </w:p>
        </w:tc>
      </w:tr>
      <w:tr>
        <w:trPr>
          <w:trHeight w:val="1857"/>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pacing w:after="0" w:line="200" w:lineRule="exact"/>
        <w:rPr>
          <w:sz w:val="20"/>
          <w:szCs w:val="20"/>
          <w:color w:val="auto"/>
        </w:rPr>
      </w:pPr>
    </w:p>
    <w:p>
      <w:pPr>
        <w:spacing w:after="0" w:line="3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97" w:lineRule="exact"/>
        <w:rPr>
          <w:sz w:val="20"/>
          <w:szCs w:val="20"/>
          <w:color w:val="auto"/>
        </w:rPr>
      </w:pPr>
    </w:p>
    <w:tbl>
      <w:tblPr>
        <w:tblLayout w:type="fixed"/>
        <w:tblInd w:w="598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Kirsten M. Spears</w:t>
            </w: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Kirsten M. Spears</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Accounting Officer</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340" w:right="400"/>
        <w:spacing w:after="0" w:line="298" w:lineRule="auto"/>
        <w:rPr>
          <w:sz w:val="20"/>
          <w:szCs w:val="20"/>
          <w:color w:val="auto"/>
        </w:rPr>
      </w:pPr>
      <w:r>
        <w:rPr>
          <w:rFonts w:ascii="Times New Roman" w:cs="Times New Roman" w:eastAsia="Times New Roman" w:hAnsi="Times New Roman"/>
          <w:sz w:val="25"/>
          <w:szCs w:val="25"/>
          <w:b w:val="1"/>
          <w:bCs w:val="1"/>
          <w:color w:val="auto"/>
        </w:rPr>
        <w:t>Broadcom Inc. Announces Fourth Quarter and Fiscal Year 2024 Financial Results and Quarterly Dividend</w:t>
      </w:r>
    </w:p>
    <w:p>
      <w:pPr>
        <w:spacing w:after="0" w:line="14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Revenue of $14,054 million for the fourth quarter, up 51 percent from the prior year period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GAAP net income of $4,324 million for the fourth quarter; Non-GAAP net income of $6,965 million for the fourth quarter</w:t>
      </w:r>
    </w:p>
    <w:p>
      <w:pPr>
        <w:spacing w:after="0" w:line="18" w:lineRule="exact"/>
        <w:rPr>
          <w:rFonts w:ascii="Arial" w:cs="Arial" w:eastAsia="Arial" w:hAnsi="Arial"/>
          <w:sz w:val="21"/>
          <w:szCs w:val="21"/>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Adjusted EBITDA of $9,089 million for the fourth quarter, or 65 percent of revenue</w:t>
      </w:r>
    </w:p>
    <w:p>
      <w:pPr>
        <w:spacing w:after="0" w:line="1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GAAP diluted EPS of $0.90 for the fourth quarter; Non-GAAP diluted EPS of $1.42 for the fourth quarter</w:t>
      </w:r>
    </w:p>
    <w:p>
      <w:pPr>
        <w:spacing w:after="0" w:line="3" w:lineRule="exact"/>
        <w:rPr>
          <w:rFonts w:ascii="Times New Roman" w:cs="Times New Roman" w:eastAsia="Times New Roman" w:hAnsi="Times New Roman"/>
          <w:sz w:val="22"/>
          <w:szCs w:val="22"/>
          <w:color w:val="auto"/>
        </w:rPr>
      </w:pPr>
    </w:p>
    <w:p>
      <w:pPr>
        <w:ind w:left="660" w:right="20" w:hanging="328"/>
        <w:spacing w:after="0" w:line="242"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Cash from operations of $5,604 million for the fourth quarter, less capital expenditures of $122 million, resulted in $5,482 million of free cash flow, or 39 percent of revenue</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 common stock dividend increased by 11 percent from the prior quarter to $0.59 per share</w:t>
      </w:r>
    </w:p>
    <w:p>
      <w:pPr>
        <w:spacing w:after="0" w:line="3" w:lineRule="exact"/>
        <w:rPr>
          <w:rFonts w:ascii="Times New Roman" w:cs="Times New Roman" w:eastAsia="Times New Roman" w:hAnsi="Times New Roman"/>
          <w:sz w:val="22"/>
          <w:szCs w:val="22"/>
          <w:color w:val="auto"/>
        </w:rPr>
      </w:pPr>
    </w:p>
    <w:p>
      <w:pPr>
        <w:ind w:left="660" w:right="220" w:hanging="328"/>
        <w:spacing w:after="0" w:line="243"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 quarter fiscal year 2025 revenue guidance of approximately $14.6 billion, an increase of 22 percent from the prior year period</w:t>
      </w: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i w:val="1"/>
          <w:iCs w:val="1"/>
          <w:color w:val="auto"/>
        </w:rPr>
        <w:t xml:space="preserve">First quarter fiscal year 2025 Adjusted EBITDA guidance of approximately 66 percent of projected revenue </w:t>
      </w:r>
      <w:r>
        <w:rPr>
          <w:rFonts w:ascii="Times New Roman" w:cs="Times New Roman" w:eastAsia="Times New Roman" w:hAnsi="Times New Roman"/>
          <w:sz w:val="28"/>
          <w:szCs w:val="28"/>
          <w:i w:val="1"/>
          <w:iCs w:val="1"/>
          <w:color w:val="auto"/>
          <w:vertAlign w:val="superscript"/>
        </w:rPr>
        <w:t>(1)</w:t>
      </w:r>
    </w:p>
    <w:p>
      <w:pPr>
        <w:spacing w:after="0" w:line="150"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PALO ALTO, Calif. – </w:t>
      </w:r>
      <w:r>
        <w:rPr>
          <w:rFonts w:ascii="Times New Roman" w:cs="Times New Roman" w:eastAsia="Times New Roman" w:hAnsi="Times New Roman"/>
          <w:sz w:val="21"/>
          <w:szCs w:val="21"/>
          <w:color w:val="auto"/>
        </w:rPr>
        <w:t>December 12, 2024</w:t>
      </w:r>
      <w:r>
        <w:rPr>
          <w:rFonts w:ascii="Times New Roman" w:cs="Times New Roman" w:eastAsia="Times New Roman" w:hAnsi="Times New Roman"/>
          <w:sz w:val="21"/>
          <w:szCs w:val="21"/>
          <w:b w:val="1"/>
          <w:bCs w:val="1"/>
          <w:color w:val="auto"/>
        </w:rPr>
        <w:t xml:space="preserve"> – </w:t>
      </w:r>
      <w:r>
        <w:rPr>
          <w:rFonts w:ascii="Times New Roman" w:cs="Times New Roman" w:eastAsia="Times New Roman" w:hAnsi="Times New Roman"/>
          <w:sz w:val="21"/>
          <w:szCs w:val="21"/>
          <w:color w:val="auto"/>
        </w:rPr>
        <w:t>Broadcom Inc. (Nasdaq: AVGO), a global technology leader that designs, develops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supplies semiconductor and infrastructure software solutions, today reported financial results for its fourth quarter and fiscal year ended November 3, 2024, provided guidance for its first quarter of fiscal year 2025 and announced its quarterly dividend.</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“Broadcom’s fiscal year 2024 revenue grew 44% year-over-year to a record $51.6 billion, as infrastructure software revenue grew to $21.5 billion, on the successful integration of VMware,” said Hock Tan, President and CEO of Broadcom Inc. “Semiconductor revenue was a record $30.1 billion driven by AI revenue of $12.2 billion. AI revenue which grew 220 percent year-on-year was driven by our leading AI XPUs and Ethernet networking portfolio.”</w:t>
      </w:r>
    </w:p>
    <w:p>
      <w:pPr>
        <w:spacing w:after="0" w:line="22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“In fiscal year 2024 adjusted EBITDA increased 37% year-over-year to a record $31.9 billion, and free cash flow excluding restructuring was strong at $21.9 billion,” said Kirsten Spears, CFO of Broadcom Inc. “Based on increased cash flows in fiscal year 2024, we are increasing our quarterly common stock dividend by 11% to $0.59 per share for fiscal year 2025. The target fiscal year 2025 annual common stock dividend of $2.36 per share is a record, and the fourteenth consecutive increase in annual dividends since we initiated dividends in fiscal 2011.”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right="100" w:firstLine="8"/>
        <w:spacing w:after="0" w:line="298" w:lineRule="auto"/>
        <w:tabs>
          <w:tab w:leader="none" w:pos="154"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6"/>
          <w:szCs w:val="16"/>
          <w:color w:val="222222"/>
        </w:rPr>
        <w:t>The Company is not readily able to provide a reconciliation of the projected non-GAAP financial information presented to the relevant projected GAAP measure without unreasonable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Fourth Quarter Fiscal Year 2024 Financial Highlights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114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Q4 24</w:t>
            </w:r>
          </w:p>
        </w:tc>
        <w:tc>
          <w:tcPr>
            <w:tcW w:w="112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Q4 23</w:t>
            </w:r>
          </w:p>
        </w:tc>
        <w:tc>
          <w:tcPr>
            <w:tcW w:w="130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Q4 24</w:t>
            </w:r>
          </w:p>
        </w:tc>
        <w:tc>
          <w:tcPr>
            <w:tcW w:w="11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Q4 23</w:t>
            </w:r>
          </w:p>
        </w:tc>
        <w:tc>
          <w:tcPr>
            <w:tcW w:w="13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62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14,054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9,295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w w:val="96"/>
              </w:rPr>
              <w:t>14,054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68"/>
              <w:spacing w:after="0"/>
              <w:rPr>
                <w:sz w:val="20"/>
                <w:szCs w:val="20"/>
                <w:color w:val="auto"/>
              </w:rPr>
            </w:pPr>
            <w:r>
              <w:rPr>
                <w:rFonts w:ascii="Times New Roman" w:cs="Times New Roman" w:eastAsia="Times New Roman" w:hAnsi="Times New Roman"/>
                <w:sz w:val="18"/>
                <w:szCs w:val="18"/>
                <w:color w:val="auto"/>
              </w:rPr>
              <w:t>9,295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3,524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6,965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468"/>
              <w:spacing w:after="0"/>
              <w:rPr>
                <w:sz w:val="20"/>
                <w:szCs w:val="20"/>
                <w:color w:val="auto"/>
              </w:rPr>
            </w:pPr>
            <w:r>
              <w:rPr>
                <w:rFonts w:ascii="Times New Roman" w:cs="Times New Roman" w:eastAsia="Times New Roman" w:hAnsi="Times New Roman"/>
                <w:sz w:val="18"/>
                <w:szCs w:val="18"/>
                <w:color w:val="auto"/>
              </w:rPr>
              <w:t>4,810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+$2,155</w:t>
            </w:r>
          </w:p>
        </w:tc>
        <w:tc>
          <w:tcPr>
            <w:tcW w:w="4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Earnings per common share - diluted </w:t>
            </w:r>
            <w:r>
              <w:rPr>
                <w:rFonts w:ascii="Times New Roman" w:cs="Times New Roman" w:eastAsia="Times New Roman" w:hAnsi="Times New Roman"/>
                <w:sz w:val="23"/>
                <w:szCs w:val="23"/>
                <w:color w:val="auto"/>
                <w:vertAlign w:val="superscript"/>
              </w:rPr>
              <w:t>*</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0.83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+$0.07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+$0.31</w:t>
            </w:r>
          </w:p>
        </w:tc>
        <w:tc>
          <w:tcPr>
            <w:tcW w:w="4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Q4 24</w:t>
            </w:r>
          </w:p>
        </w:tc>
        <w:tc>
          <w:tcPr>
            <w:tcW w:w="60" w:type="dxa"/>
            <w:vAlign w:val="bottom"/>
          </w:tcPr>
          <w:p>
            <w:pPr>
              <w:spacing w:after="0"/>
              <w:rPr>
                <w:sz w:val="23"/>
                <w:szCs w:val="23"/>
                <w:color w:val="auto"/>
              </w:rPr>
            </w:pPr>
          </w:p>
        </w:tc>
        <w:tc>
          <w:tcPr>
            <w:tcW w:w="13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Q4 23</w:t>
            </w:r>
          </w:p>
        </w:tc>
        <w:tc>
          <w:tcPr>
            <w:tcW w:w="80" w:type="dxa"/>
            <w:vAlign w:val="bottom"/>
          </w:tcPr>
          <w:p>
            <w:pPr>
              <w:spacing w:after="0"/>
              <w:rPr>
                <w:sz w:val="23"/>
                <w:szCs w:val="23"/>
                <w:color w:val="auto"/>
              </w:rPr>
            </w:pPr>
          </w:p>
        </w:tc>
        <w:tc>
          <w:tcPr>
            <w:tcW w:w="2080" w:type="dxa"/>
            <w:vAlign w:val="bottom"/>
            <w:gridSpan w:val="6"/>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revenue by segment</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Q4 24</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Q4 23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solutions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Infrastructure software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tcPr>
          <w:p>
            <w:pPr>
              <w:spacing w:after="0"/>
              <w:rPr>
                <w:sz w:val="19"/>
                <w:szCs w:val="19"/>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6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7"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July 12, 2024, the Company completed a ten-for-one forward stock split. All per share amounts presented reflect the stock split.</w:t>
      </w:r>
    </w:p>
    <w:p>
      <w:pPr>
        <w:spacing w:after="0" w:line="26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22"/>
          <w:szCs w:val="22"/>
          <w:color w:val="auto"/>
        </w:rPr>
        <w:t>The Company’s cash and cash equivalents at the end of the fiscal quarter were $9,348 million, compared to $9,952 million at the end of the prior quarter.</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2"/>
          <w:szCs w:val="22"/>
          <w:color w:val="auto"/>
        </w:rPr>
        <w:t>During the fourth fiscal quarter, the Company generated $5,604 million in cash from operations and spent $122 million on capital expenditures. The Company paid $1,204 million of withholding taxes related to net settled equity awards that vested in the quarter (resulting in the elimination of 7.4 million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September 30, 2024, the Company paid a cash dividend on a split adjusted basis of $0.53 per share, totaling $2,484 million.</w:t>
      </w:r>
    </w:p>
    <w:p>
      <w:pPr>
        <w:spacing w:after="0" w:line="247"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The differences between the Company’s GAAP and non-GAAP results are described generally under “Non-GAAP Financial Measures” below and presented in detail in the financial reconciliation tables attached to this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Fiscal Year 2024 Financial Highlights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114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FY 24</w:t>
            </w:r>
          </w:p>
        </w:tc>
        <w:tc>
          <w:tcPr>
            <w:tcW w:w="112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FY 23</w:t>
            </w:r>
          </w:p>
        </w:tc>
        <w:tc>
          <w:tcPr>
            <w:tcW w:w="1300" w:type="dxa"/>
            <w:vAlign w:val="bottom"/>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2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FY 24</w:t>
            </w:r>
          </w:p>
        </w:tc>
        <w:tc>
          <w:tcPr>
            <w:tcW w:w="112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FY 23</w:t>
            </w:r>
          </w:p>
        </w:tc>
        <w:tc>
          <w:tcPr>
            <w:tcW w:w="13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4"/>
        </w:trPr>
        <w:tc>
          <w:tcPr>
            <w:tcW w:w="262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51,574</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35,819</w:t>
            </w: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+44 %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w w:val="96"/>
              </w:rPr>
              <w:t>51,574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35,819</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4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14,082</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w w:val="96"/>
              </w:rPr>
              <w:t>23,733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18,378</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+$5,355</w:t>
            </w:r>
          </w:p>
        </w:tc>
        <w:tc>
          <w:tcPr>
            <w:tcW w:w="40" w:type="dxa"/>
            <w:vAlign w:val="bottom"/>
          </w:tcPr>
          <w:p>
            <w:pPr>
              <w:spacing w:after="0"/>
              <w:rPr>
                <w:sz w:val="20"/>
                <w:szCs w:val="20"/>
                <w:color w:val="auto"/>
              </w:rPr>
            </w:pPr>
          </w:p>
        </w:tc>
      </w:tr>
      <w:tr>
        <w:trPr>
          <w:trHeight w:val="230"/>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Earnings per common share - diluted </w:t>
            </w:r>
            <w:r>
              <w:rPr>
                <w:rFonts w:ascii="Times New Roman" w:cs="Times New Roman" w:eastAsia="Times New Roman" w:hAnsi="Times New Roman"/>
                <w:sz w:val="23"/>
                <w:szCs w:val="23"/>
                <w:color w:val="auto"/>
                <w:vertAlign w:val="superscript"/>
              </w:rPr>
              <w:t>*</w:t>
            </w:r>
          </w:p>
        </w:tc>
        <w:tc>
          <w:tcPr>
            <w:tcW w:w="10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3.30</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4.22</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+$0.65</w:t>
            </w:r>
          </w:p>
        </w:tc>
        <w:tc>
          <w:tcPr>
            <w:tcW w:w="4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FY 24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FY 23</w:t>
            </w:r>
          </w:p>
        </w:tc>
        <w:tc>
          <w:tcPr>
            <w:tcW w:w="80" w:type="dxa"/>
            <w:vAlign w:val="bottom"/>
          </w:tcPr>
          <w:p>
            <w:pPr>
              <w:spacing w:after="0"/>
              <w:rPr>
                <w:sz w:val="23"/>
                <w:szCs w:val="23"/>
                <w:color w:val="auto"/>
              </w:rPr>
            </w:pPr>
          </w:p>
        </w:tc>
        <w:tc>
          <w:tcPr>
            <w:tcW w:w="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31,897</w:t>
            </w:r>
          </w:p>
        </w:tc>
        <w:tc>
          <w:tcPr>
            <w:tcW w:w="640" w:type="dxa"/>
            <w:vAlign w:val="bottom"/>
            <w:gridSpan w:val="4"/>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w:t>
            </w:r>
          </w:p>
        </w:tc>
        <w:tc>
          <w:tcPr>
            <w:tcW w:w="640" w:type="dxa"/>
            <w:vAlign w:val="bottom"/>
            <w:gridSpan w:val="4"/>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revenue by segment</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FY 24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w w:val="99"/>
              </w:rPr>
              <w:t>FY 23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20" w:type="dxa"/>
            <w:vAlign w:val="bottom"/>
            <w:tcBorders>
              <w:top w:val="single" w:sz="8" w:color="auto"/>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solutions</w:t>
            </w: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30,096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Infrastructure software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21,478</w:t>
            </w:r>
          </w:p>
        </w:tc>
        <w:tc>
          <w:tcPr>
            <w:tcW w:w="112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6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3"/>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51,574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7" w:lineRule="exact"/>
        <w:rPr>
          <w:sz w:val="20"/>
          <w:szCs w:val="20"/>
          <w:color w:val="auto"/>
        </w:rPr>
      </w:pPr>
    </w:p>
    <w:p>
      <w:pPr>
        <w:ind w:left="120" w:hanging="112"/>
        <w:spacing w:after="0"/>
        <w:tabs>
          <w:tab w:leader="none" w:pos="120"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July 12, 2024, the Company completed a ten-for-one forward stock split. All per share amounts presented reflect the stock split.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Fiscal Year 2025 Business Outlook</w:t>
      </w:r>
    </w:p>
    <w:p>
      <w:pPr>
        <w:spacing w:after="0" w:line="251"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Based on current business trends and conditions, the outlook for the first quarter of fiscal year 2025, ending February 2, 2025, is expected to be as follows:</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22"/>
          <w:szCs w:val="22"/>
          <w:color w:val="auto"/>
        </w:rPr>
        <w:t>First quarter revenue guidance of approximately $14.6 billion; and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quarter Adjusted EBITDA guidance of approximately 66 percent of projected revenue.</w:t>
      </w:r>
    </w:p>
    <w:p>
      <w:pPr>
        <w:spacing w:after="0" w:line="23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2"/>
          <w:szCs w:val="22"/>
          <w:color w:val="auto"/>
        </w:rPr>
        <w:t>The guidance provided above is only an estimate of what the Company believes is realizable as of the date of this release. The Company is not readily able to provide a reconciliation of projected Adjusted EBITDA to projected net income without unreasonable effort. Actual results will vary from the guidance and the variations may be material. The Company undertakes no intent or obligation to publicly update or revise any of these projections, whether as a result of new information, future events or otherwise, except as required by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Quarterly Dividends</w:t>
      </w:r>
    </w:p>
    <w:p>
      <w:pPr>
        <w:spacing w:after="0" w:line="251"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21"/>
          <w:szCs w:val="21"/>
          <w:color w:val="auto"/>
        </w:rPr>
        <w:t>The Company’s Board of Directors has approved a quarterly cash dividend of $0.59 per share. The dividend is payable on December 31, 2024 to stockholders of record at the close of business (5:00 p.m. Eastern Time) on December 23,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 Conference Call</w:t>
      </w:r>
    </w:p>
    <w:p>
      <w:pPr>
        <w:spacing w:after="0" w:line="25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Broadcom Inc. will host a conference call to review its financial results for the fourth quarter and fiscal year 2024 and to discuss the business outlook today at 2:00 p.m. Pacific Time.</w:t>
      </w:r>
    </w:p>
    <w:p>
      <w:pPr>
        <w:spacing w:after="0" w:line="194"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To Listen via Internet: </w:t>
      </w:r>
      <w:r>
        <w:rPr>
          <w:rFonts w:ascii="Times New Roman" w:cs="Times New Roman" w:eastAsia="Times New Roman" w:hAnsi="Times New Roman"/>
          <w:sz w:val="22"/>
          <w:szCs w:val="22"/>
          <w:color w:val="auto"/>
        </w:rPr>
        <w:t>The conference call can be accessed live online in the Investors section of the Broadcom website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https://investors.broadcom.com/.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53" w:right="339" w:bottom="1440" w:gutter="0" w:footer="0" w:header="0"/>
        </w:sectPr>
      </w:pPr>
    </w:p>
    <w:bookmarkStart w:id="6" w:name="page7"/>
    <w:bookmarkEnd w:id="6"/>
    <w:p>
      <w:pPr>
        <w:ind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Replay: </w:t>
      </w:r>
      <w:r>
        <w:rPr>
          <w:rFonts w:ascii="Times New Roman" w:cs="Times New Roman" w:eastAsia="Times New Roman" w:hAnsi="Times New Roman"/>
          <w:sz w:val="22"/>
          <w:szCs w:val="22"/>
          <w:color w:val="auto"/>
        </w:rPr>
        <w:t>An audio replay of the conference call can be accessed for one year through the Investors section of Broadcom’s website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https://investors.broadcom.com/.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5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The non-GAAP measures should not be considered as a substitute for, or superior to, measures of financial performance prepared in accordance with GAAP. A reconciliation between GAAP and non-GAAP financial data is included in the supplemental financial data attached to this press release. Broadcom believes non-GAAP financial information provides additional insight into the Company’s on-going performance. Therefore, Broadcom provides this information to investors for a more consistent basis of comparison and to help them evaluate the results of the Company’s on-going operations and enable more meaningful period to period comparisons.</w:t>
      </w:r>
    </w:p>
    <w:p>
      <w:pPr>
        <w:spacing w:after="0" w:line="20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In addition to GAAP reporting, Broadcom provides investors with net income, operating income, gross margin, operating expenses, cash flow and other data on a non-GAAP basis. This non-GAAP information excludes amortization of acquisition-related intangible assets, stock-based compensation expense, restructuring and other charges, acquisition-related costs, including integration costs, non-GAAP tax reconciling adjustments, and other adjustments. Management does not believe that these items are reflective of the Company’s underlying performance. Internally, these non-GAAP measures are significant measures used by management for purposes of evaluating the core operating performance of the Company, establishing internal budgets, calculating return on investment for development programs and growth initiatives, comparing performance with internal forecasts and targeted business models, strategic planning, evaluating and valuing potential acquisition candidates and how their operations compare to the Company’s operations, and benchmarking performance externally against the Company’s competitors. The exclusion of these and other similar items from Broadcom’s non-GAAP financial results should not be interpreted as implying that these items are non-recurring, infrequent or unusual.</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Free cash flow measures have limitations as they omit certain components of the overall cash flow statement and do not represent the residual cash flow available for discretionary expenditures. Investors should not consider presentation of free cash flow measures as implying that stockholders have any right to such cash. Broadcom’s free cash flow may not be calculated in a manner comparable to similarly named measures used by other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Broadcom</w:t>
      </w:r>
    </w:p>
    <w:p>
      <w:pPr>
        <w:spacing w:after="0" w:line="251"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Broadcom Inc. (NASDAQ: AVGO) is a global technology leader that designs, develops, and supplies a broad range of semiconductor, enterprise software and security solutions. Broadcom’s category-leading product portfolio serves critical markets including cloud, data center, networking, broadband, wireless, storage, industrial, and enterprise software. Our solutions include service provider and enterprise networking and storage, mobile device and broadband connectivity, mainframe, cybersecurity, and private and hybrid cloud infrastructure. Broadcom is a Delaware corporation headquartered in Palo Alto, CA. For more information, go to www.broadcom.com.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5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22"/>
          <w:szCs w:val="22"/>
          <w:color w:val="auto"/>
        </w:rPr>
        <w:t>This announcement contains forward-looking statements (including within the meaning of Section 21E of the United States Securities Exchange Act of 1934, as amended, and Section 27A of the United States</w:t>
      </w: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67" w:right="339" w:bottom="1440" w:gutter="0" w:footer="0" w:header="0"/>
        </w:sectPr>
      </w:pPr>
    </w:p>
    <w:bookmarkStart w:id="7" w:name="page8"/>
    <w:bookmarkEnd w:id="7"/>
    <w:p>
      <w:pPr>
        <w:ind w:right="300"/>
        <w:spacing w:after="0" w:line="250" w:lineRule="auto"/>
        <w:rPr>
          <w:sz w:val="20"/>
          <w:szCs w:val="20"/>
          <w:color w:val="auto"/>
        </w:rPr>
      </w:pPr>
      <w:r>
        <w:rPr>
          <w:rFonts w:ascii="Times New Roman" w:cs="Times New Roman" w:eastAsia="Times New Roman" w:hAnsi="Times New Roman"/>
          <w:sz w:val="22"/>
          <w:szCs w:val="22"/>
          <w:color w:val="auto"/>
        </w:rPr>
        <w:t>Securities Act of 1933, as amended) concerning Broadcom. These statements include, but are not limited to,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forward-looking statements. Accordingly, undue reliance should not be placed on such statements.</w:t>
      </w:r>
    </w:p>
    <w:p>
      <w:pPr>
        <w:spacing w:after="0" w:line="2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Particular uncertainties that could materially affect future results include risks associated with: global economic conditions and concerns; government regulations and administrative proceedings, trade restrictions and trade tensions; global political and economic conditions; our acquisition of VMware, Inc., including our ability to realize the expected benefits; any acquisitions or dispositions we may make,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dependence on and risks associated with distributors and resellers of our products; dependence on senior management and our ability to attract and retain qualified personnel; our ability to protect against cyber security threats and a breach of security systems; any loss of our significant customers and fluctuations in the timing and volume of significant customer demand; cyclicality in the semiconductor industry or in our target markets; our dependence on contract manufacturing and outsourced supply chain; our dependency on a limited number of suppliers; prolonged disruptions of our or our contract manufacturers’ manufacturing facilities, warehouses or other significant operations; our ability to accurately estimate customers’ demand and adjust our manufacturing and supply chain accordingly; our ability to continue achieving design wins with our customers, as well as the timing of any design wins; our ability to improve our manufacturing efficiency and quality; involvement in legal proceedings; ability of our software products to manage and secure IT infrastructures and environments; demand for our data center virtualization products and market acceptance of our products and services; compatibility of our software products with operating environments, platforms or third-party products; our ability to enter into satisfactory software license agreements; availability of third-party software used in our products; use of open source software in our products; sales to government customers; our ability to manage products and services lifecycles; quarterly and annual fluctuations in operating results; our competitive performance; our ability to maintain or improve gross margin; our ability to protect our intellectual property and the unpredictability of any associated litigation expenses; any expenses or reputational damage associated with resolving customer product warranty and indemnification claims, or other undetected defects or bugs; our ability to sell to new types of customers and to keep pace with technological advances; our compliance with privacy and data security laws;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and other events and trends on a national, regional, industry-specific and global scale, including those of a political, economic, business, competitive and regulatory nature.</w:t>
      </w:r>
    </w:p>
    <w:p>
      <w:pPr>
        <w:spacing w:after="0" w:line="2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Our filings with the SEC, which are available without charge at the SEC’s website at https://www.sec.gov, discuss some of the important risk factors that may affect our business, results of operations and financial condition. Actual results may vary from the estimates provided. We undertake no intent or obligation to publicly update or revise any of the estimates and other forward-looking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071" w:right="379" w:bottom="1440" w:gutter="0" w:footer="0" w:header="0"/>
        </w:sectPr>
      </w:pPr>
    </w:p>
    <w:bookmarkStart w:id="8" w:name="page9"/>
    <w:bookmarkEnd w:id="8"/>
    <w:p>
      <w:pPr>
        <w:spacing w:after="0" w:line="271" w:lineRule="auto"/>
        <w:rPr>
          <w:sz w:val="20"/>
          <w:szCs w:val="20"/>
          <w:color w:val="auto"/>
        </w:rPr>
      </w:pPr>
      <w:r>
        <w:rPr>
          <w:rFonts w:ascii="Times New Roman" w:cs="Times New Roman" w:eastAsia="Times New Roman" w:hAnsi="Times New Roman"/>
          <w:sz w:val="22"/>
          <w:szCs w:val="22"/>
          <w:color w:val="auto"/>
        </w:rPr>
        <w:t>statements made in this announcement, whether as a result of new information, future events or otherwise, except as required by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Ji Yoo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Broadcom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650-427-6000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563C1"/>
        </w:rPr>
        <w:t>investor.relations@broadcom.com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(AVGO-Q)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1071" w:right="479" w:bottom="1440" w:gutter="0" w:footer="0" w:header="0"/>
        </w:sectPr>
      </w:pPr>
    </w:p>
    <w:bookmarkStart w:id="9" w:name="page10"/>
    <w:bookmarkEnd w:id="9"/>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Fiscal Quarter Ended</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22"/>
        </w:trPr>
        <w:tc>
          <w:tcPr>
            <w:tcW w:w="5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09"/>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August 4,</w:t>
            </w:r>
          </w:p>
        </w:tc>
        <w:tc>
          <w:tcPr>
            <w:tcW w:w="160" w:type="dxa"/>
            <w:vAlign w:val="bottom"/>
          </w:tcPr>
          <w:p>
            <w:pPr>
              <w:spacing w:after="0"/>
              <w:rPr>
                <w:sz w:val="10"/>
                <w:szCs w:val="10"/>
                <w:color w:val="auto"/>
              </w:rPr>
            </w:pPr>
          </w:p>
        </w:tc>
        <w:tc>
          <w:tcPr>
            <w:tcW w:w="92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60" w:type="dxa"/>
            <w:vAlign w:val="bottom"/>
          </w:tcPr>
          <w:p>
            <w:pPr>
              <w:spacing w:after="0"/>
              <w:rPr>
                <w:sz w:val="10"/>
                <w:szCs w:val="10"/>
                <w:color w:val="auto"/>
              </w:rPr>
            </w:pPr>
          </w:p>
        </w:tc>
        <w:tc>
          <w:tcPr>
            <w:tcW w:w="92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r>
      <w:tr>
        <w:trPr>
          <w:trHeight w:val="166"/>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3"/>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35,819</w:t>
            </w: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9,272</w:t>
            </w:r>
          </w:p>
        </w:tc>
      </w:tr>
      <w:tr>
        <w:trPr>
          <w:trHeight w:val="195"/>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0"/>
        </w:trPr>
        <w:tc>
          <w:tcPr>
            <w:tcW w:w="54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Total cost of revenue</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2,888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11,129</w:t>
            </w:r>
          </w:p>
        </w:tc>
      </w:tr>
      <w:tr>
        <w:trPr>
          <w:trHeight w:val="20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6,407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5,253</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89"/>
        </w:trPr>
        <w:tc>
          <w:tcPr>
            <w:tcW w:w="54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2,167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19,046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8,483</w:t>
            </w:r>
          </w:p>
        </w:tc>
      </w:tr>
      <w:tr>
        <w:trPr>
          <w:trHeight w:val="20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16,207</w:t>
            </w: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15,097</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18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w:t>
            </w: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discontinued operations, net of income taxes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14,082</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54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Basic income (loss) per share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2"/>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per share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96"/>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Income (loss) per share from discontinued operations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42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Diluted income (loss) per share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5"/>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Income (loss) per share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per share from discontinued operations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3"/>
        </w:trPr>
        <w:tc>
          <w:tcPr>
            <w:tcW w:w="54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Weighted-average shares used in per share calculations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w:t>
            </w:r>
          </w:p>
        </w:tc>
      </w:tr>
      <w:tr>
        <w:trPr>
          <w:trHeight w:val="195"/>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w:t>
            </w:r>
          </w:p>
        </w:tc>
      </w:tr>
      <w:tr>
        <w:trPr>
          <w:trHeight w:val="223"/>
        </w:trPr>
        <w:tc>
          <w:tcPr>
            <w:tcW w:w="5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5"/>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included in continuing operations: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5"/>
        </w:trPr>
        <w:tc>
          <w:tcPr>
            <w:tcW w:w="54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210"/>
        </w:trPr>
        <w:tc>
          <w:tcPr>
            <w:tcW w:w="5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196"/>
        </w:trPr>
        <w:tc>
          <w:tcPr>
            <w:tcW w:w="54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8"/>
        </w:trPr>
        <w:tc>
          <w:tcPr>
            <w:tcW w:w="5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Reflects a ten-for-one forward stock split on July 12, 2024.</w:t>
      </w:r>
    </w:p>
    <w:p>
      <w:pPr>
        <w:sectPr>
          <w:pgSz w:w="11900" w:h="16838" w:orient="portrait"/>
          <w:cols w:equalWidth="0" w:num="1">
            <w:col w:w="11200"/>
          </w:cols>
          <w:pgMar w:left="340" w:top="1197" w:right="359" w:bottom="1440" w:gutter="0" w:footer="0" w:header="0"/>
        </w:sectPr>
      </w:pPr>
    </w:p>
    <w:bookmarkStart w:id="10" w:name="page11"/>
    <w:bookmarkEnd w:id="1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63" w:lineRule="exact"/>
        <w:rPr>
          <w:sz w:val="20"/>
          <w:szCs w:val="20"/>
          <w:color w:val="auto"/>
        </w:rPr>
      </w:pPr>
    </w:p>
    <w:p>
      <w:pPr>
        <w:ind w:left="4980" w:right="2460" w:hanging="2180"/>
        <w:spacing w:after="0" w:line="306" w:lineRule="auto"/>
        <w:rPr>
          <w:sz w:val="20"/>
          <w:szCs w:val="20"/>
          <w:color w:val="auto"/>
        </w:rPr>
      </w:pPr>
      <w:r>
        <w:rPr>
          <w:rFonts w:ascii="Times New Roman" w:cs="Times New Roman" w:eastAsia="Times New Roman" w:hAnsi="Times New Roman"/>
          <w:sz w:val="18"/>
          <w:szCs w:val="18"/>
          <w:b w:val="1"/>
          <w:bCs w:val="1"/>
          <w:color w:val="auto"/>
        </w:rPr>
        <w:t>FINANCIAL RECONCILIATION: GAAP TO NON-GAAP — UNAUDITED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Fiscal Quarter Ended</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21"/>
        </w:trPr>
        <w:tc>
          <w:tcPr>
            <w:tcW w:w="5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29"/>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August 4,</w:t>
            </w:r>
          </w:p>
        </w:tc>
        <w:tc>
          <w:tcPr>
            <w:tcW w:w="160" w:type="dxa"/>
            <w:vAlign w:val="bottom"/>
          </w:tcPr>
          <w:p>
            <w:pPr>
              <w:spacing w:after="0"/>
              <w:rPr>
                <w:sz w:val="10"/>
                <w:szCs w:val="10"/>
                <w:color w:val="auto"/>
              </w:rPr>
            </w:pPr>
          </w:p>
        </w:tc>
        <w:tc>
          <w:tcPr>
            <w:tcW w:w="90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60" w:type="dxa"/>
            <w:vAlign w:val="bottom"/>
          </w:tcPr>
          <w:p>
            <w:pPr>
              <w:spacing w:after="0"/>
              <w:rPr>
                <w:sz w:val="10"/>
                <w:szCs w:val="10"/>
                <w:color w:val="auto"/>
              </w:rPr>
            </w:pPr>
          </w:p>
        </w:tc>
        <w:tc>
          <w:tcPr>
            <w:tcW w:w="92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r>
      <w:tr>
        <w:trPr>
          <w:trHeight w:val="166"/>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3"/>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on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32,509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24,690</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Restructuring charges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on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10,814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39,459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26,757</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on 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9,310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5,253</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r>
      <w:tr>
        <w:trPr>
          <w:trHeight w:val="196"/>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on non-GAAP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 on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 on non-GAAP basis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 on 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19,046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8,483</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1,961</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196"/>
        </w:trPr>
        <w:tc>
          <w:tcPr>
            <w:tcW w:w="5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22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 on non-GAAP basis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8,723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on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16,207</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on non-GAAP basis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30,736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22,125</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non-GAAP basis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 on GAAP basis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(Gains) losses on investments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 on non-GAAP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9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Fiscal Quarter Ended</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Fiscal Year Ended</w:t>
            </w:r>
          </w:p>
        </w:tc>
      </w:tr>
      <w:tr>
        <w:trPr>
          <w:trHeight w:val="122"/>
        </w:trPr>
        <w:tc>
          <w:tcPr>
            <w:tcW w:w="5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ind w:right="129"/>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August 4,</w:t>
            </w:r>
          </w:p>
        </w:tc>
        <w:tc>
          <w:tcPr>
            <w:tcW w:w="160" w:type="dxa"/>
            <w:vAlign w:val="bottom"/>
          </w:tcPr>
          <w:p>
            <w:pPr>
              <w:spacing w:after="0"/>
              <w:rPr>
                <w:sz w:val="10"/>
                <w:szCs w:val="10"/>
                <w:color w:val="auto"/>
              </w:rPr>
            </w:pPr>
          </w:p>
        </w:tc>
        <w:tc>
          <w:tcPr>
            <w:tcW w:w="90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60" w:type="dxa"/>
            <w:vAlign w:val="bottom"/>
          </w:tcPr>
          <w:p>
            <w:pPr>
              <w:spacing w:after="0"/>
              <w:rPr>
                <w:sz w:val="10"/>
                <w:szCs w:val="10"/>
                <w:color w:val="auto"/>
              </w:rPr>
            </w:pPr>
          </w:p>
        </w:tc>
        <w:tc>
          <w:tcPr>
            <w:tcW w:w="92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r>
      <w:tr>
        <w:trPr>
          <w:trHeight w:val="166"/>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3"/>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Provision for (benefit from) income taxes on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r>
      <w:tr>
        <w:trPr>
          <w:trHeight w:val="203"/>
        </w:trPr>
        <w:tc>
          <w:tcPr>
            <w:tcW w:w="5440" w:type="dxa"/>
            <w:vAlign w:val="bottom"/>
            <w:tcBorders>
              <w:bottom w:val="single" w:sz="8" w:color="CCEEFF"/>
            </w:tcBorders>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Non-GAAP tax reconciling adjustments </w:t>
            </w:r>
            <w:r>
              <w:rPr>
                <w:rFonts w:ascii="Times New Roman" w:cs="Times New Roman" w:eastAsia="Times New Roman" w:hAnsi="Times New Roman"/>
                <w:sz w:val="18"/>
                <w:szCs w:val="18"/>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22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 on non-GAAP basis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on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(Gains) losses on investments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5"/>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Non-GAAP tax reconciling adjustments </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196"/>
        </w:trPr>
        <w:tc>
          <w:tcPr>
            <w:tcW w:w="5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loss from discontinued operations, net of income taxes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on non-GAAP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on GAAP basis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w:t>
            </w:r>
          </w:p>
        </w:tc>
      </w:tr>
      <w:tr>
        <w:trPr>
          <w:trHeight w:val="195"/>
        </w:trPr>
        <w:tc>
          <w:tcPr>
            <w:tcW w:w="5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Non-GAAP Adjustments: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w:t>
            </w:r>
          </w:p>
        </w:tc>
      </w:tr>
      <w:tr>
        <w:trPr>
          <w:trHeight w:val="195"/>
        </w:trPr>
        <w:tc>
          <w:tcPr>
            <w:tcW w:w="5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210"/>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95"/>
        </w:trPr>
        <w:tc>
          <w:tcPr>
            <w:tcW w:w="5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Acquisition-related costs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210"/>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(Gains) losses on investments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5440" w:type="dxa"/>
            <w:vAlign w:val="bottom"/>
          </w:tcPr>
          <w:p>
            <w:pPr>
              <w:ind w:left="460"/>
              <w:spacing w:after="0" w:line="202" w:lineRule="exact"/>
              <w:rPr>
                <w:sz w:val="20"/>
                <w:szCs w:val="20"/>
                <w:color w:val="auto"/>
              </w:rPr>
            </w:pPr>
            <w:r>
              <w:rPr>
                <w:rFonts w:ascii="Times New Roman" w:cs="Times New Roman" w:eastAsia="Times New Roman" w:hAnsi="Times New Roman"/>
                <w:sz w:val="14"/>
                <w:szCs w:val="14"/>
                <w:color w:val="auto"/>
              </w:rPr>
              <w:t xml:space="preserve">Non-GAAP tax reconciling adjustments </w:t>
            </w:r>
            <w:r>
              <w:rPr>
                <w:rFonts w:ascii="Times New Roman" w:cs="Times New Roman" w:eastAsia="Times New Roman" w:hAnsi="Times New Roman"/>
                <w:sz w:val="18"/>
                <w:szCs w:val="18"/>
                <w:color w:val="auto"/>
                <w:vertAlign w:val="superscript"/>
              </w:rPr>
              <w:t>(1)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203"/>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loss from discontinued operations, net of income taxes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5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Adjustments: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0"/>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r>
      <w:tr>
        <w:trPr>
          <w:trHeight w:val="195"/>
        </w:trPr>
        <w:tc>
          <w:tcPr>
            <w:tcW w:w="5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income taxes on non-GAAP basis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r>
      <w:tr>
        <w:trPr>
          <w:trHeight w:val="210"/>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6"/>
        </w:trPr>
        <w:tc>
          <w:tcPr>
            <w:tcW w:w="5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Amortization of purchased intangibles and right-of-use assets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2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31,897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Weighted-average shares used in per share calculations - diluted on GAAP basis </w:t>
            </w:r>
            <w:r>
              <w:rPr>
                <w:rFonts w:ascii="Times New Roman" w:cs="Times New Roman" w:eastAsia="Times New Roman" w:hAnsi="Times New Roman"/>
                <w:sz w:val="18"/>
                <w:szCs w:val="18"/>
                <w:color w:val="auto"/>
                <w:vertAlign w:val="superscript"/>
              </w:rPr>
              <w:t>(2)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w:t>
            </w:r>
          </w:p>
        </w:tc>
      </w:tr>
      <w:tr>
        <w:trPr>
          <w:trHeight w:val="203"/>
        </w:trPr>
        <w:tc>
          <w:tcPr>
            <w:tcW w:w="5440" w:type="dxa"/>
            <w:vAlign w:val="bottom"/>
            <w:tcBorders>
              <w:bottom w:val="single" w:sz="8" w:color="CCEEFF"/>
            </w:tcBorders>
          </w:tcPr>
          <w:p>
            <w:pPr>
              <w:ind w:left="240"/>
              <w:spacing w:after="0" w:line="202" w:lineRule="exact"/>
              <w:rPr>
                <w:sz w:val="20"/>
                <w:szCs w:val="20"/>
                <w:color w:val="auto"/>
              </w:rPr>
            </w:pPr>
            <w:r>
              <w:rPr>
                <w:rFonts w:ascii="Times New Roman" w:cs="Times New Roman" w:eastAsia="Times New Roman" w:hAnsi="Times New Roman"/>
                <w:sz w:val="14"/>
                <w:szCs w:val="14"/>
                <w:color w:val="auto"/>
              </w:rPr>
              <w:t xml:space="preserve">Non-GAAP adjustment </w:t>
            </w:r>
            <w:r>
              <w:rPr>
                <w:rFonts w:ascii="Times New Roman" w:cs="Times New Roman" w:eastAsia="Times New Roman" w:hAnsi="Times New Roman"/>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1"/>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per share calculations - diluted on non-GAAP basis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4,877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19,962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18,085</w:t>
            </w:r>
          </w:p>
        </w:tc>
      </w:tr>
      <w:tr>
        <w:trPr>
          <w:trHeight w:val="196"/>
        </w:trPr>
        <w:tc>
          <w:tcPr>
            <w:tcW w:w="5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22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19,414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40" w:right="339" w:bottom="1440" w:gutter="0" w:footer="0" w:header="0"/>
        </w:sectPr>
      </w:pPr>
    </w:p>
    <w:bookmarkStart w:id="12" w:name="page13"/>
    <w:bookmarkEnd w:id="12"/>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Expected average diluted share count: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Weighted-average shares used in per share calculation - diluted on GAAP basis </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-123190</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4"/>
          <w:szCs w:val="14"/>
          <w:color w:val="auto"/>
        </w:rPr>
        <w:t xml:space="preserve">Non-GAAP adjustment </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Weighted-average shares used in per share calculation - diluted on non-GAAP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3411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Fiscal Quarter</w:t>
      </w:r>
    </w:p>
    <w:p>
      <w:pPr>
        <w:ind w:left="180"/>
        <w:spacing w:after="0"/>
        <w:rPr>
          <w:sz w:val="20"/>
          <w:szCs w:val="20"/>
          <w:color w:val="auto"/>
        </w:rPr>
      </w:pPr>
      <w:r>
        <w:rPr>
          <w:rFonts w:ascii="Times New Roman" w:cs="Times New Roman" w:eastAsia="Times New Roman" w:hAnsi="Times New Roman"/>
          <w:sz w:val="13"/>
          <w:szCs w:val="13"/>
          <w:b w:val="1"/>
          <w:bCs w:val="1"/>
          <w:color w:val="auto"/>
        </w:rPr>
        <w:t>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19050</wp:posOffset>
            </wp:positionV>
            <wp:extent cx="685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February 2,</w:t>
      </w:r>
    </w:p>
    <w:p>
      <w:pPr>
        <w:spacing w:after="0" w:line="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20955</wp:posOffset>
            </wp:positionV>
            <wp:extent cx="685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4,828</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68</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57785</wp:posOffset>
            </wp:positionV>
            <wp:extent cx="6858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580" w:space="720"/>
            <w:col w:w="860"/>
          </w:cols>
          <w:pgMar w:left="340" w:top="1228" w:right="399" w:bottom="1440" w:gutter="0" w:footer="0" w:header="0"/>
        </w:sectPr>
      </w:pPr>
    </w:p>
    <w:p>
      <w:pPr>
        <w:spacing w:after="0" w:line="98" w:lineRule="exact"/>
        <w:rPr>
          <w:sz w:val="20"/>
          <w:szCs w:val="20"/>
          <w:color w:val="auto"/>
        </w:rPr>
      </w:pPr>
    </w:p>
    <w:p>
      <w:pPr>
        <w:ind w:right="60" w:firstLine="6"/>
        <w:spacing w:after="0" w:line="241"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tax reconciling adjustments included a one-time discrete non-cash tax provision of $4.5 billion from the impact of an intra-group transfer of certain IP rights to the United States as a result of supply chain realignment for the fiscal quarter ended August 4, 2024 and the fiscal year ended November 3, 2024.</w:t>
      </w:r>
    </w:p>
    <w:p>
      <w:pPr>
        <w:spacing w:after="0" w:line="14" w:lineRule="exact"/>
        <w:rPr>
          <w:rFonts w:ascii="Times New Roman" w:cs="Times New Roman" w:eastAsia="Times New Roman" w:hAnsi="Times New Roman"/>
          <w:sz w:val="14"/>
          <w:szCs w:val="14"/>
          <w:color w:val="auto"/>
        </w:rPr>
      </w:pPr>
    </w:p>
    <w:p>
      <w:pPr>
        <w:ind w:left="200" w:hanging="194"/>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 ten-for-one forward stock split on July 12, 2024.</w:t>
      </w:r>
    </w:p>
    <w:p>
      <w:pPr>
        <w:spacing w:after="0" w:line="41" w:lineRule="exact"/>
        <w:rPr>
          <w:rFonts w:ascii="Times New Roman" w:cs="Times New Roman" w:eastAsia="Times New Roman" w:hAnsi="Times New Roman"/>
          <w:sz w:val="14"/>
          <w:szCs w:val="14"/>
          <w:color w:val="auto"/>
        </w:rPr>
      </w:pPr>
    </w:p>
    <w:p>
      <w:pPr>
        <w:ind w:right="20" w:firstLine="6"/>
        <w:spacing w:after="0" w:line="234" w:lineRule="auto"/>
        <w:tabs>
          <w:tab w:leader="none" w:pos="20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adjustment for the number of shares used in the diluted per share calculations excludes the impact of stock-based compensation expense expected to be incurred in future periods and not yet recognized in the financial statements, which would otherwise be assumed to be used to repurchase shares under the GAAP treasury stock method. For the fiscal quarter ended August 4, 2024, non-GAAP adjustment included the dilutive effect of the equity awards that were antidilutive on a GAAP basis.</w:t>
      </w:r>
    </w:p>
    <w:p>
      <w:pPr>
        <w:sectPr>
          <w:pgSz w:w="11900" w:h="16838" w:orient="portrait"/>
          <w:cols w:equalWidth="0" w:num="1">
            <w:col w:w="11160"/>
          </w:cols>
          <w:pgMar w:left="340" w:top="1228" w:right="399" w:bottom="1440" w:gutter="0" w:footer="0" w:header="0"/>
          <w:type w:val="continuous"/>
        </w:sectPr>
      </w:pPr>
    </w:p>
    <w:bookmarkStart w:id="13" w:name="page14"/>
    <w:bookmarkEnd w:id="1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UNAUDITED</w:t>
      </w:r>
    </w:p>
    <w:p>
      <w:pPr>
        <w:spacing w:after="0" w:line="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w:t>
            </w:r>
          </w:p>
        </w:tc>
        <w:tc>
          <w:tcPr>
            <w:tcW w:w="140" w:type="dxa"/>
            <w:vAlign w:val="bottom"/>
          </w:tcPr>
          <w:p>
            <w:pPr>
              <w:spacing w:after="0"/>
              <w:rPr>
                <w:sz w:val="13"/>
                <w:szCs w:val="13"/>
                <w:color w:val="auto"/>
              </w:rPr>
            </w:pP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4"/>
        </w:trPr>
        <w:tc>
          <w:tcPr>
            <w:tcW w:w="8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14,189</w:t>
            </w:r>
          </w:p>
        </w:tc>
      </w:tr>
      <w:tr>
        <w:trPr>
          <w:trHeight w:val="213"/>
        </w:trPr>
        <w:tc>
          <w:tcPr>
            <w:tcW w:w="8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Trade accounts receivable,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r>
      <w:tr>
        <w:trPr>
          <w:trHeight w:val="213"/>
        </w:trPr>
        <w:tc>
          <w:tcPr>
            <w:tcW w:w="8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w:t>
            </w:r>
          </w:p>
        </w:tc>
      </w:tr>
      <w:tr>
        <w:trPr>
          <w:trHeight w:val="212"/>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w:t>
            </w:r>
          </w:p>
        </w:tc>
      </w:tr>
      <w:tr>
        <w:trPr>
          <w:trHeight w:val="213"/>
        </w:trPr>
        <w:tc>
          <w:tcPr>
            <w:tcW w:w="8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assets: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213"/>
        </w:trPr>
        <w:tc>
          <w:tcPr>
            <w:tcW w:w="8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43,653</w:t>
            </w: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213"/>
        </w:trPr>
        <w:tc>
          <w:tcPr>
            <w:tcW w:w="8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r>
      <w:tr>
        <w:trPr>
          <w:trHeight w:val="234"/>
        </w:trPr>
        <w:tc>
          <w:tcPr>
            <w:tcW w:w="8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165,645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72,861</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8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r>
      <w:tr>
        <w:trPr>
          <w:trHeight w:val="213"/>
        </w:trPr>
        <w:tc>
          <w:tcPr>
            <w:tcW w:w="8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3"/>
        </w:trPr>
        <w:tc>
          <w:tcPr>
            <w:tcW w:w="8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3,652</w:t>
            </w:r>
          </w:p>
        </w:tc>
      </w:tr>
      <w:tr>
        <w:trPr>
          <w:trHeight w:val="212"/>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w:t>
            </w:r>
          </w:p>
        </w:tc>
      </w:tr>
      <w:tr>
        <w:trPr>
          <w:trHeight w:val="213"/>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37,621</w:t>
            </w:r>
          </w:p>
        </w:tc>
      </w:tr>
      <w:tr>
        <w:trPr>
          <w:trHeight w:val="213"/>
        </w:trPr>
        <w:tc>
          <w:tcPr>
            <w:tcW w:w="8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3,847</w:t>
            </w:r>
          </w:p>
        </w:tc>
      </w:tr>
      <w:tr>
        <w:trPr>
          <w:trHeight w:val="210"/>
        </w:trPr>
        <w:tc>
          <w:tcPr>
            <w:tcW w:w="8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48,873</w:t>
            </w:r>
          </w:p>
        </w:tc>
      </w:tr>
      <w:tr>
        <w:trPr>
          <w:trHeight w:val="239"/>
        </w:trPr>
        <w:tc>
          <w:tcPr>
            <w:tcW w:w="8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8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21,095</w:t>
            </w:r>
          </w:p>
        </w:tc>
      </w:tr>
      <w:tr>
        <w:trPr>
          <w:trHeight w:val="219"/>
        </w:trPr>
        <w:tc>
          <w:tcPr>
            <w:tcW w:w="8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r>
      <w:tr>
        <w:trPr>
          <w:trHeight w:val="213"/>
        </w:trPr>
        <w:tc>
          <w:tcPr>
            <w:tcW w:w="8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0"/>
        </w:trPr>
        <w:tc>
          <w:tcPr>
            <w:tcW w:w="8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23,988</w:t>
            </w:r>
          </w:p>
        </w:tc>
      </w:tr>
      <w:tr>
        <w:trPr>
          <w:trHeight w:val="212"/>
        </w:trPr>
        <w:tc>
          <w:tcPr>
            <w:tcW w:w="88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165,645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72,861</w:t>
            </w:r>
          </w:p>
        </w:tc>
      </w:tr>
      <w:tr>
        <w:trPr>
          <w:trHeight w:val="20"/>
        </w:trPr>
        <w:tc>
          <w:tcPr>
            <w:tcW w:w="8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1197"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BROADCOM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 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Fiscal Quarter Ended</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49"/>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0" w:type="dxa"/>
            <w:vAlign w:val="bottom"/>
          </w:tcPr>
          <w:p>
            <w:pPr>
              <w:spacing w:after="0"/>
              <w:rPr>
                <w:sz w:val="1"/>
                <w:szCs w:val="1"/>
                <w:color w:val="auto"/>
              </w:rPr>
            </w:pPr>
          </w:p>
        </w:tc>
      </w:tr>
      <w:tr>
        <w:trPr>
          <w:trHeight w:val="121"/>
        </w:trPr>
        <w:tc>
          <w:tcPr>
            <w:tcW w:w="5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109"/>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August 4,</w:t>
            </w:r>
          </w:p>
        </w:tc>
        <w:tc>
          <w:tcPr>
            <w:tcW w:w="160" w:type="dxa"/>
            <w:vAlign w:val="bottom"/>
          </w:tcPr>
          <w:p>
            <w:pPr>
              <w:spacing w:after="0"/>
              <w:rPr>
                <w:sz w:val="10"/>
                <w:szCs w:val="10"/>
                <w:color w:val="auto"/>
              </w:rPr>
            </w:pPr>
          </w:p>
        </w:tc>
        <w:tc>
          <w:tcPr>
            <w:tcW w:w="90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November 3,</w:t>
            </w:r>
          </w:p>
        </w:tc>
        <w:tc>
          <w:tcPr>
            <w:tcW w:w="160" w:type="dxa"/>
            <w:vAlign w:val="bottom"/>
          </w:tcPr>
          <w:p>
            <w:pPr>
              <w:spacing w:after="0"/>
              <w:rPr>
                <w:sz w:val="10"/>
                <w:szCs w:val="10"/>
                <w:color w:val="auto"/>
              </w:rPr>
            </w:pPr>
          </w:p>
        </w:tc>
        <w:tc>
          <w:tcPr>
            <w:tcW w:w="900" w:type="dxa"/>
            <w:vAlign w:val="bottom"/>
          </w:tcPr>
          <w:p>
            <w:pPr>
              <w:jc w:val="right"/>
              <w:ind w:right="149"/>
              <w:spacing w:after="0" w:line="122" w:lineRule="exact"/>
              <w:rPr>
                <w:sz w:val="20"/>
                <w:szCs w:val="20"/>
                <w:color w:val="auto"/>
              </w:rPr>
            </w:pPr>
            <w:r>
              <w:rPr>
                <w:rFonts w:ascii="Times New Roman" w:cs="Times New Roman" w:eastAsia="Times New Roman" w:hAnsi="Times New Roman"/>
                <w:sz w:val="13"/>
                <w:szCs w:val="13"/>
                <w:b w:val="1"/>
                <w:bCs w:val="1"/>
                <w:color w:val="auto"/>
              </w:rPr>
              <w:t>October 29,</w:t>
            </w:r>
          </w:p>
        </w:tc>
        <w:tc>
          <w:tcPr>
            <w:tcW w:w="0" w:type="dxa"/>
            <w:vAlign w:val="bottom"/>
          </w:tcPr>
          <w:p>
            <w:pPr>
              <w:spacing w:after="0"/>
              <w:rPr>
                <w:sz w:val="1"/>
                <w:szCs w:val="1"/>
                <w:color w:val="auto"/>
              </w:rPr>
            </w:pPr>
          </w:p>
        </w:tc>
      </w:tr>
      <w:tr>
        <w:trPr>
          <w:trHeight w:val="166"/>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9"/>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3"/>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3"/>
        </w:trPr>
        <w:tc>
          <w:tcPr>
            <w:tcW w:w="5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14,082</w:t>
            </w:r>
          </w:p>
        </w:tc>
        <w:tc>
          <w:tcPr>
            <w:tcW w:w="0" w:type="dxa"/>
            <w:vAlign w:val="bottom"/>
          </w:tcPr>
          <w:p>
            <w:pPr>
              <w:spacing w:after="0"/>
              <w:rPr>
                <w:sz w:val="1"/>
                <w:szCs w:val="1"/>
                <w:color w:val="auto"/>
              </w:rPr>
            </w:pPr>
          </w:p>
        </w:tc>
      </w:tr>
      <w:tr>
        <w:trPr>
          <w:trHeight w:val="19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and right-of-use assets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 and other non-cash taxes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assets and liabilities, net of acquisitions and disposals: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95"/>
        </w:trPr>
        <w:tc>
          <w:tcPr>
            <w:tcW w:w="5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Inventory</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55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Other current assets and current liabilities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Other long-term assets and long-term liabilities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18,085</w:t>
            </w:r>
          </w:p>
        </w:tc>
        <w:tc>
          <w:tcPr>
            <w:tcW w:w="0" w:type="dxa"/>
            <w:vAlign w:val="bottom"/>
          </w:tcPr>
          <w:p>
            <w:pPr>
              <w:spacing w:after="0"/>
              <w:rPr>
                <w:sz w:val="1"/>
                <w:szCs w:val="1"/>
                <w:color w:val="auto"/>
              </w:rPr>
            </w:pPr>
          </w:p>
        </w:tc>
      </w:tr>
      <w:tr>
        <w:trPr>
          <w:trHeight w:val="17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sale of business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Sales of investments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73"/>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on debt obligations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dividends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Repurchases of common stock - repurchase program</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Shares repurchased for tax withholdings on vesting of equity awards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0" w:type="dxa"/>
            <w:vAlign w:val="bottom"/>
          </w:tcPr>
          <w:p>
            <w:pPr>
              <w:spacing w:after="0"/>
              <w:rPr>
                <w:sz w:val="1"/>
                <w:szCs w:val="1"/>
                <w:color w:val="auto"/>
              </w:rPr>
            </w:pPr>
          </w:p>
        </w:tc>
      </w:tr>
      <w:tr>
        <w:trPr>
          <w:trHeight w:val="195"/>
        </w:trPr>
        <w:tc>
          <w:tcPr>
            <w:tcW w:w="5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(15,623)</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12,416</w:t>
            </w: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14,189</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188"/>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2024-12-12T15:36:40Z</dcterms:created>
  <dcterms:modified xsi:type="dcterms:W3CDTF">2024-12-12T15:36:40Z</dcterms:modified>
</cp:coreProperties>
</file>