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by Broadcom Inc.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Rule 425 under the Securities Act of 1933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and deemed filed pursuant to Rule 14a-12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under the Securities Exchange Act of 1934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Subject Company: VMware, Inc.</w:t>
      </w:r>
    </w:p>
    <w:p>
      <w:pPr>
        <w:jc w:val="right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Commission File No.: 001-33622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Date: July 28, 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-482600</wp:posOffset>
            </wp:positionH>
            <wp:positionV relativeFrom="paragraph">
              <wp:posOffset>149860</wp:posOffset>
            </wp:positionV>
            <wp:extent cx="6686550" cy="90582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905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226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792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9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431165</wp:posOffset>
            </wp:positionH>
            <wp:positionV relativeFrom="page">
              <wp:posOffset>88900</wp:posOffset>
            </wp:positionV>
            <wp:extent cx="6686550" cy="105156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1577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431165</wp:posOffset>
            </wp:positionH>
            <wp:positionV relativeFrom="page">
              <wp:posOffset>88900</wp:posOffset>
            </wp:positionV>
            <wp:extent cx="6686550" cy="10515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1092200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431165</wp:posOffset>
            </wp:positionH>
            <wp:positionV relativeFrom="page">
              <wp:posOffset>88900</wp:posOffset>
            </wp:positionV>
            <wp:extent cx="6686550" cy="8743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431165</wp:posOffset>
            </wp:positionH>
            <wp:positionV relativeFrom="page">
              <wp:posOffset>88900</wp:posOffset>
            </wp:positionV>
            <wp:extent cx="6686550" cy="105156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30257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02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431165</wp:posOffset>
            </wp:positionH>
            <wp:positionV relativeFrom="page">
              <wp:posOffset>88900</wp:posOffset>
            </wp:positionV>
            <wp:extent cx="6686550" cy="105156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15430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2022-07-28T17:30:24Z</dcterms:created>
  <dcterms:modified xsi:type="dcterms:W3CDTF">2022-07-28T17:30:24Z</dcterms:modified>
</cp:coreProperties>
</file>