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814070</wp:posOffset>
            </wp:positionH>
            <wp:positionV relativeFrom="paragraph">
              <wp:posOffset>223520</wp:posOffset>
            </wp:positionV>
            <wp:extent cx="55225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22595" cy="825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266065</wp:posOffset>
            </wp:positionV>
            <wp:extent cx="5522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262626"/>
        </w:rPr>
        <w:t>UNITED STATES</w:t>
      </w:r>
    </w:p>
    <w:p>
      <w:pPr>
        <w:spacing w:after="0" w:line="3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262626"/>
        </w:rPr>
        <w:t>SECURITIES AND EXCHANGE COMMISSION</w:t>
      </w:r>
    </w:p>
    <w:p>
      <w:pPr>
        <w:spacing w:after="0" w:line="18" w:lineRule="exact"/>
        <w:rPr>
          <w:sz w:val="24"/>
          <w:szCs w:val="24"/>
          <w:color w:val="auto"/>
        </w:rPr>
      </w:pPr>
    </w:p>
    <w:p>
      <w:pPr>
        <w:ind w:left="4720"/>
        <w:spacing w:after="0"/>
        <w:rPr>
          <w:sz w:val="20"/>
          <w:szCs w:val="20"/>
          <w:color w:val="auto"/>
        </w:rPr>
      </w:pPr>
      <w:r>
        <w:rPr>
          <w:rFonts w:ascii="Arial" w:cs="Arial" w:eastAsia="Arial" w:hAnsi="Arial"/>
          <w:sz w:val="16"/>
          <w:szCs w:val="16"/>
          <w:b w:val="1"/>
          <w:bCs w:val="1"/>
          <w:color w:val="262626"/>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146050</wp:posOffset>
            </wp:positionV>
            <wp:extent cx="1167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spacing w:after="0" w:line="308"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262626"/>
        </w:rPr>
        <w:t>SCHEDULE 14A</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262626"/>
        </w:rPr>
        <w:t>Proxy Statement Pursuant to Section 14(a) of the</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262626"/>
        </w:rPr>
        <w:t>Securities Exchange Act of 1934</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262626"/>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154940</wp:posOffset>
            </wp:positionV>
            <wp:extent cx="1167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spacing w:after="0" w:line="295" w:lineRule="exact"/>
        <w:rPr>
          <w:sz w:val="24"/>
          <w:szCs w:val="24"/>
          <w:color w:val="auto"/>
        </w:rPr>
      </w:pPr>
    </w:p>
    <w:p>
      <w:pPr>
        <w:ind w:left="1280"/>
        <w:spacing w:after="0" w:line="184" w:lineRule="exact"/>
        <w:rPr>
          <w:sz w:val="20"/>
          <w:szCs w:val="20"/>
          <w:color w:val="auto"/>
        </w:rPr>
      </w:pPr>
      <w:r>
        <w:rPr>
          <w:rFonts w:ascii="Arial" w:cs="Arial" w:eastAsia="Arial" w:hAnsi="Arial"/>
          <w:sz w:val="16"/>
          <w:szCs w:val="16"/>
          <w:color w:val="262626"/>
        </w:rPr>
        <w:t xml:space="preserve">Filed by the Registrant   </w:t>
      </w:r>
      <w:r>
        <w:rPr>
          <w:rFonts w:ascii="MS PGothic" w:cs="MS PGothic" w:eastAsia="MS PGothic" w:hAnsi="MS PGothic"/>
          <w:sz w:val="16"/>
          <w:szCs w:val="16"/>
          <w:color w:val="262626"/>
        </w:rPr>
        <w:t>☒</w:t>
      </w:r>
    </w:p>
    <w:p>
      <w:pPr>
        <w:spacing w:after="0" w:line="125" w:lineRule="exact"/>
        <w:rPr>
          <w:sz w:val="24"/>
          <w:szCs w:val="24"/>
          <w:color w:val="auto"/>
        </w:rPr>
      </w:pPr>
    </w:p>
    <w:p>
      <w:pPr>
        <w:ind w:left="1280"/>
        <w:spacing w:after="0" w:line="184" w:lineRule="exact"/>
        <w:rPr>
          <w:sz w:val="20"/>
          <w:szCs w:val="20"/>
          <w:color w:val="auto"/>
        </w:rPr>
      </w:pPr>
      <w:r>
        <w:rPr>
          <w:rFonts w:ascii="Arial" w:cs="Arial" w:eastAsia="Arial" w:hAnsi="Arial"/>
          <w:sz w:val="16"/>
          <w:szCs w:val="16"/>
          <w:color w:val="262626"/>
        </w:rPr>
        <w:t xml:space="preserve">Filed by a Party other than the Registrant   </w:t>
      </w:r>
      <w:r>
        <w:rPr>
          <w:rFonts w:ascii="MS PGothic" w:cs="MS PGothic" w:eastAsia="MS PGothic" w:hAnsi="MS PGothic"/>
          <w:sz w:val="16"/>
          <w:szCs w:val="16"/>
          <w:color w:val="262626"/>
        </w:rPr>
        <w:t>☐</w:t>
      </w:r>
    </w:p>
    <w:p>
      <w:pPr>
        <w:spacing w:after="0" w:line="160" w:lineRule="exact"/>
        <w:rPr>
          <w:sz w:val="24"/>
          <w:szCs w:val="24"/>
          <w:color w:val="auto"/>
        </w:rPr>
      </w:pPr>
    </w:p>
    <w:p>
      <w:pPr>
        <w:ind w:left="1280"/>
        <w:spacing w:after="0"/>
        <w:rPr>
          <w:sz w:val="20"/>
          <w:szCs w:val="20"/>
          <w:color w:val="auto"/>
        </w:rPr>
      </w:pPr>
      <w:r>
        <w:rPr>
          <w:rFonts w:ascii="Arial" w:cs="Arial" w:eastAsia="Arial" w:hAnsi="Arial"/>
          <w:sz w:val="16"/>
          <w:szCs w:val="16"/>
          <w:color w:val="262626"/>
        </w:rPr>
        <w:t>Check the appropriate box:</w:t>
      </w:r>
    </w:p>
    <w:p>
      <w:pPr>
        <w:spacing w:after="0" w:line="129" w:lineRule="exact"/>
        <w:rPr>
          <w:sz w:val="24"/>
          <w:szCs w:val="24"/>
          <w:color w:val="auto"/>
        </w:rPr>
      </w:pPr>
    </w:p>
    <w:p>
      <w:pPr>
        <w:ind w:left="1280"/>
        <w:spacing w:after="0" w:line="184" w:lineRule="exact"/>
        <w:tabs>
          <w:tab w:leader="none" w:pos="1600" w:val="left"/>
        </w:tabs>
        <w:rPr>
          <w:sz w:val="20"/>
          <w:szCs w:val="20"/>
          <w:color w:val="auto"/>
        </w:rPr>
      </w:pPr>
      <w:r>
        <w:rPr>
          <w:rFonts w:ascii="MS PGothic" w:cs="MS PGothic" w:eastAsia="MS PGothic" w:hAnsi="MS PGothic"/>
          <w:sz w:val="16"/>
          <w:szCs w:val="16"/>
          <w:color w:val="262626"/>
        </w:rPr>
        <w:t>☐</w:t>
      </w:r>
      <w:r>
        <w:rPr>
          <w:rFonts w:ascii="Arial" w:cs="Arial" w:eastAsia="Arial" w:hAnsi="Arial"/>
          <w:sz w:val="16"/>
          <w:szCs w:val="16"/>
          <w:color w:val="262626"/>
        </w:rPr>
        <w:t xml:space="preserve"> </w:t>
        <w:tab/>
        <w:t>Preliminary Proxy Statement</w:t>
      </w:r>
    </w:p>
    <w:p>
      <w:pPr>
        <w:spacing w:after="0" w:line="178" w:lineRule="exact"/>
        <w:rPr>
          <w:sz w:val="24"/>
          <w:szCs w:val="24"/>
          <w:color w:val="auto"/>
        </w:rPr>
      </w:pPr>
    </w:p>
    <w:p>
      <w:pPr>
        <w:ind w:left="1280"/>
        <w:spacing w:after="0" w:line="184" w:lineRule="exact"/>
        <w:tabs>
          <w:tab w:leader="none" w:pos="1600" w:val="left"/>
        </w:tabs>
        <w:rPr>
          <w:sz w:val="20"/>
          <w:szCs w:val="20"/>
          <w:color w:val="auto"/>
        </w:rPr>
      </w:pPr>
      <w:r>
        <w:rPr>
          <w:rFonts w:ascii="MS PGothic" w:cs="MS PGothic" w:eastAsia="MS PGothic" w:hAnsi="MS PGothic"/>
          <w:sz w:val="16"/>
          <w:szCs w:val="16"/>
          <w:color w:val="262626"/>
        </w:rPr>
        <w:t>☐</w:t>
      </w:r>
      <w:r>
        <w:rPr>
          <w:rFonts w:ascii="Arial" w:cs="Arial" w:eastAsia="Arial" w:hAnsi="Arial"/>
          <w:sz w:val="16"/>
          <w:szCs w:val="16"/>
          <w:color w:val="262626"/>
        </w:rPr>
        <w:t xml:space="preserve"> </w:t>
      </w:r>
      <w:r>
        <w:rPr>
          <w:sz w:val="20"/>
          <w:szCs w:val="20"/>
          <w:color w:val="auto"/>
        </w:rPr>
        <w:tab/>
      </w:r>
      <w:r>
        <w:rPr>
          <w:rFonts w:ascii="Arial" w:cs="Arial" w:eastAsia="Arial" w:hAnsi="Arial"/>
          <w:sz w:val="16"/>
          <w:szCs w:val="16"/>
          <w:b w:val="1"/>
          <w:bCs w:val="1"/>
          <w:color w:val="262626"/>
        </w:rPr>
        <w:t>Confidential, for Use of the Commission Only (as permitted by Rule 14a-6(e)(2))</w:t>
      </w:r>
    </w:p>
    <w:p>
      <w:pPr>
        <w:spacing w:after="0" w:line="182" w:lineRule="exact"/>
        <w:rPr>
          <w:sz w:val="24"/>
          <w:szCs w:val="24"/>
          <w:color w:val="auto"/>
        </w:rPr>
      </w:pPr>
    </w:p>
    <w:p>
      <w:pPr>
        <w:ind w:left="1280"/>
        <w:spacing w:after="0" w:line="184" w:lineRule="exact"/>
        <w:tabs>
          <w:tab w:leader="none" w:pos="1600" w:val="left"/>
        </w:tabs>
        <w:rPr>
          <w:sz w:val="20"/>
          <w:szCs w:val="20"/>
          <w:color w:val="auto"/>
        </w:rPr>
      </w:pPr>
      <w:r>
        <w:rPr>
          <w:rFonts w:ascii="MS PGothic" w:cs="MS PGothic" w:eastAsia="MS PGothic" w:hAnsi="MS PGothic"/>
          <w:sz w:val="16"/>
          <w:szCs w:val="16"/>
          <w:color w:val="262626"/>
        </w:rPr>
        <w:t>☒</w:t>
      </w:r>
      <w:r>
        <w:rPr>
          <w:rFonts w:ascii="Arial" w:cs="Arial" w:eastAsia="Arial" w:hAnsi="Arial"/>
          <w:sz w:val="16"/>
          <w:szCs w:val="16"/>
          <w:color w:val="262626"/>
        </w:rPr>
        <w:t xml:space="preserve"> </w:t>
        <w:tab/>
        <w:t>Definitive Proxy Statement</w:t>
      </w:r>
    </w:p>
    <w:p>
      <w:pPr>
        <w:spacing w:after="0" w:line="175" w:lineRule="exact"/>
        <w:rPr>
          <w:sz w:val="24"/>
          <w:szCs w:val="24"/>
          <w:color w:val="auto"/>
        </w:rPr>
      </w:pPr>
    </w:p>
    <w:p>
      <w:pPr>
        <w:ind w:left="1280"/>
        <w:spacing w:after="0" w:line="184" w:lineRule="exact"/>
        <w:tabs>
          <w:tab w:leader="none" w:pos="1600" w:val="left"/>
        </w:tabs>
        <w:rPr>
          <w:sz w:val="20"/>
          <w:szCs w:val="20"/>
          <w:color w:val="auto"/>
        </w:rPr>
      </w:pPr>
      <w:r>
        <w:rPr>
          <w:rFonts w:ascii="MS PGothic" w:cs="MS PGothic" w:eastAsia="MS PGothic" w:hAnsi="MS PGothic"/>
          <w:sz w:val="16"/>
          <w:szCs w:val="16"/>
          <w:color w:val="262626"/>
        </w:rPr>
        <w:t>☐</w:t>
      </w:r>
      <w:r>
        <w:rPr>
          <w:rFonts w:ascii="Arial" w:cs="Arial" w:eastAsia="Arial" w:hAnsi="Arial"/>
          <w:sz w:val="16"/>
          <w:szCs w:val="16"/>
          <w:color w:val="262626"/>
        </w:rPr>
        <w:t xml:space="preserve"> </w:t>
        <w:tab/>
        <w:t>Definitive Additional Materials</w:t>
      </w:r>
    </w:p>
    <w:p>
      <w:pPr>
        <w:spacing w:after="0" w:line="152" w:lineRule="exact"/>
        <w:rPr>
          <w:sz w:val="24"/>
          <w:szCs w:val="24"/>
          <w:color w:val="auto"/>
        </w:rPr>
      </w:pPr>
    </w:p>
    <w:p>
      <w:pPr>
        <w:ind w:left="1280"/>
        <w:spacing w:after="0" w:line="184" w:lineRule="exact"/>
        <w:tabs>
          <w:tab w:leader="none" w:pos="1600" w:val="left"/>
        </w:tabs>
        <w:rPr>
          <w:sz w:val="20"/>
          <w:szCs w:val="20"/>
          <w:color w:val="auto"/>
        </w:rPr>
      </w:pPr>
      <w:r>
        <w:rPr>
          <w:rFonts w:ascii="MS PGothic" w:cs="MS PGothic" w:eastAsia="MS PGothic" w:hAnsi="MS PGothic"/>
          <w:sz w:val="16"/>
          <w:szCs w:val="16"/>
          <w:color w:val="262626"/>
        </w:rPr>
        <w:t>☐</w:t>
      </w:r>
      <w:r>
        <w:rPr>
          <w:rFonts w:ascii="Arial" w:cs="Arial" w:eastAsia="Arial" w:hAnsi="Arial"/>
          <w:sz w:val="16"/>
          <w:szCs w:val="16"/>
          <w:color w:val="262626"/>
        </w:rPr>
        <w:t xml:space="preserve"> </w:t>
        <w:tab/>
        <w:t>Soliciting Material Pursuant to §240.14a-12</w:t>
      </w:r>
    </w:p>
    <w:p>
      <w:pPr>
        <w:spacing w:after="0" w:line="315"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262626"/>
        </w:rPr>
        <w:t>BROADCOM INC.</w:t>
      </w:r>
    </w:p>
    <w:p>
      <w:pPr>
        <w:spacing w:after="0" w:line="7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262626"/>
        </w:rPr>
        <w:t>(Name of Registrant as Specified In Its Charter)</w:t>
      </w:r>
    </w:p>
    <w:p>
      <w:pPr>
        <w:spacing w:after="0" w:line="5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262626"/>
        </w:rPr>
        <w:t>(Name of Person(s) Filing Proxy Statement, if other than the Registrant)</w:t>
      </w:r>
    </w:p>
    <w:p>
      <w:pPr>
        <w:spacing w:after="0" w:line="111" w:lineRule="exact"/>
        <w:rPr>
          <w:sz w:val="24"/>
          <w:szCs w:val="24"/>
          <w:color w:val="auto"/>
        </w:rPr>
      </w:pPr>
    </w:p>
    <w:p>
      <w:pPr>
        <w:ind w:left="1280"/>
        <w:spacing w:after="0"/>
        <w:rPr>
          <w:sz w:val="20"/>
          <w:szCs w:val="20"/>
          <w:color w:val="auto"/>
        </w:rPr>
      </w:pPr>
      <w:r>
        <w:rPr>
          <w:rFonts w:ascii="Arial" w:cs="Arial" w:eastAsia="Arial" w:hAnsi="Arial"/>
          <w:sz w:val="16"/>
          <w:szCs w:val="16"/>
          <w:color w:val="262626"/>
        </w:rPr>
        <w:t>Payment of Filing Fee (Check the appropriate box):</w:t>
      </w:r>
    </w:p>
    <w:p>
      <w:pPr>
        <w:spacing w:after="0" w:line="133" w:lineRule="exact"/>
        <w:rPr>
          <w:sz w:val="24"/>
          <w:szCs w:val="24"/>
          <w:color w:val="auto"/>
        </w:rPr>
      </w:pPr>
    </w:p>
    <w:p>
      <w:pPr>
        <w:ind w:left="1280"/>
        <w:spacing w:after="0" w:line="184" w:lineRule="exact"/>
        <w:tabs>
          <w:tab w:leader="none" w:pos="1600" w:val="left"/>
        </w:tabs>
        <w:rPr>
          <w:sz w:val="20"/>
          <w:szCs w:val="20"/>
          <w:color w:val="auto"/>
        </w:rPr>
      </w:pPr>
      <w:r>
        <w:rPr>
          <w:rFonts w:ascii="MS PGothic" w:cs="MS PGothic" w:eastAsia="MS PGothic" w:hAnsi="MS PGothic"/>
          <w:sz w:val="16"/>
          <w:szCs w:val="16"/>
          <w:color w:val="262626"/>
        </w:rPr>
        <w:t>☒</w:t>
      </w:r>
      <w:r>
        <w:rPr>
          <w:rFonts w:ascii="Arial" w:cs="Arial" w:eastAsia="Arial" w:hAnsi="Arial"/>
          <w:sz w:val="16"/>
          <w:szCs w:val="16"/>
          <w:color w:val="262626"/>
        </w:rPr>
        <w:t xml:space="preserve"> </w:t>
        <w:tab/>
        <w:t>No fee required.</w:t>
      </w:r>
    </w:p>
    <w:p>
      <w:pPr>
        <w:spacing w:after="0" w:line="148" w:lineRule="exact"/>
        <w:rPr>
          <w:sz w:val="24"/>
          <w:szCs w:val="24"/>
          <w:color w:val="auto"/>
        </w:rPr>
      </w:pPr>
    </w:p>
    <w:p>
      <w:pPr>
        <w:ind w:left="1280"/>
        <w:spacing w:after="0" w:line="184" w:lineRule="exact"/>
        <w:tabs>
          <w:tab w:leader="none" w:pos="1600" w:val="left"/>
        </w:tabs>
        <w:rPr>
          <w:sz w:val="20"/>
          <w:szCs w:val="20"/>
          <w:color w:val="auto"/>
        </w:rPr>
      </w:pPr>
      <w:r>
        <w:rPr>
          <w:rFonts w:ascii="MS PGothic" w:cs="MS PGothic" w:eastAsia="MS PGothic" w:hAnsi="MS PGothic"/>
          <w:sz w:val="16"/>
          <w:szCs w:val="16"/>
          <w:color w:val="262626"/>
        </w:rPr>
        <w:t>☐</w:t>
      </w:r>
      <w:r>
        <w:rPr>
          <w:rFonts w:ascii="Arial" w:cs="Arial" w:eastAsia="Arial" w:hAnsi="Arial"/>
          <w:sz w:val="16"/>
          <w:szCs w:val="16"/>
          <w:color w:val="262626"/>
        </w:rPr>
        <w:t xml:space="preserve"> </w:t>
        <w:tab/>
        <w:t>Fee paid previously with preliminary materials.</w:t>
      </w:r>
    </w:p>
    <w:p>
      <w:pPr>
        <w:spacing w:after="0" w:line="125" w:lineRule="exact"/>
        <w:rPr>
          <w:sz w:val="24"/>
          <w:szCs w:val="24"/>
          <w:color w:val="auto"/>
        </w:rPr>
      </w:pPr>
    </w:p>
    <w:p>
      <w:pPr>
        <w:ind w:left="1280"/>
        <w:spacing w:after="0" w:line="184" w:lineRule="exact"/>
        <w:tabs>
          <w:tab w:leader="none" w:pos="1600" w:val="left"/>
        </w:tabs>
        <w:rPr>
          <w:sz w:val="20"/>
          <w:szCs w:val="20"/>
          <w:color w:val="auto"/>
        </w:rPr>
      </w:pPr>
      <w:r>
        <w:rPr>
          <w:rFonts w:ascii="MS PGothic" w:cs="MS PGothic" w:eastAsia="MS PGothic" w:hAnsi="MS PGothic"/>
          <w:sz w:val="16"/>
          <w:szCs w:val="16"/>
          <w:color w:val="262626"/>
        </w:rPr>
        <w:t>☐</w:t>
      </w:r>
      <w:r>
        <w:rPr>
          <w:rFonts w:ascii="Arial" w:cs="Arial" w:eastAsia="Arial" w:hAnsi="Arial"/>
          <w:sz w:val="16"/>
          <w:szCs w:val="16"/>
          <w:color w:val="262626"/>
        </w:rPr>
        <w:t xml:space="preserve"> </w:t>
        <w:tab/>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814070</wp:posOffset>
            </wp:positionH>
            <wp:positionV relativeFrom="paragraph">
              <wp:posOffset>298450</wp:posOffset>
            </wp:positionV>
            <wp:extent cx="5522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2595" cy="825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340995</wp:posOffset>
            </wp:positionV>
            <wp:extent cx="5522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215265</wp:posOffset>
            </wp:positionV>
            <wp:extent cx="2769870" cy="375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9870" cy="37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1579"/>
        <w:spacing w:after="0"/>
        <w:rPr>
          <w:sz w:val="20"/>
          <w:szCs w:val="20"/>
          <w:color w:val="auto"/>
        </w:rPr>
      </w:pPr>
      <w:r>
        <w:rPr>
          <w:rFonts w:ascii="Arial" w:cs="Arial" w:eastAsia="Arial" w:hAnsi="Arial"/>
          <w:sz w:val="21"/>
          <w:szCs w:val="21"/>
          <w:color w:val="CF0A2C"/>
        </w:rPr>
        <w:t>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247015</wp:posOffset>
            </wp:positionV>
            <wp:extent cx="1337945" cy="28721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7945" cy="287210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280"/>
        <w:spacing w:after="0"/>
        <w:tabs>
          <w:tab w:leader="none" w:pos="2100" w:val="left"/>
        </w:tabs>
        <w:rPr>
          <w:sz w:val="20"/>
          <w:szCs w:val="20"/>
          <w:color w:val="auto"/>
        </w:rPr>
      </w:pPr>
      <w:r>
        <w:rPr>
          <w:rFonts w:ascii="Arial" w:cs="Arial" w:eastAsia="Arial" w:hAnsi="Arial"/>
          <w:sz w:val="16"/>
          <w:szCs w:val="16"/>
          <w:b w:val="1"/>
          <w:bCs w:val="1"/>
          <w:color w:val="262626"/>
        </w:rPr>
        <w:t>Date:</w:t>
      </w:r>
      <w:r>
        <w:rPr>
          <w:sz w:val="20"/>
          <w:szCs w:val="20"/>
          <w:color w:val="auto"/>
        </w:rPr>
        <w:tab/>
      </w:r>
      <w:r>
        <w:rPr>
          <w:rFonts w:ascii="Arial" w:cs="Arial" w:eastAsia="Arial" w:hAnsi="Arial"/>
          <w:sz w:val="16"/>
          <w:szCs w:val="16"/>
          <w:color w:val="262626"/>
        </w:rPr>
        <w:t>April 20, 2026</w:t>
      </w:r>
    </w:p>
    <w:p>
      <w:pPr>
        <w:spacing w:after="0" w:line="219" w:lineRule="exact"/>
        <w:rPr>
          <w:sz w:val="20"/>
          <w:szCs w:val="20"/>
          <w:color w:val="auto"/>
        </w:rPr>
      </w:pPr>
    </w:p>
    <w:p>
      <w:pPr>
        <w:ind w:left="1280"/>
        <w:spacing w:after="0"/>
        <w:tabs>
          <w:tab w:leader="none" w:pos="2100" w:val="left"/>
        </w:tabs>
        <w:rPr>
          <w:sz w:val="20"/>
          <w:szCs w:val="20"/>
          <w:color w:val="auto"/>
        </w:rPr>
      </w:pPr>
      <w:r>
        <w:rPr>
          <w:rFonts w:ascii="Arial" w:cs="Arial" w:eastAsia="Arial" w:hAnsi="Arial"/>
          <w:sz w:val="16"/>
          <w:szCs w:val="16"/>
          <w:b w:val="1"/>
          <w:bCs w:val="1"/>
          <w:color w:val="262626"/>
        </w:rPr>
        <w:t>Time:</w:t>
      </w:r>
      <w:r>
        <w:rPr>
          <w:sz w:val="20"/>
          <w:szCs w:val="20"/>
          <w:color w:val="auto"/>
        </w:rPr>
        <w:tab/>
      </w:r>
      <w:r>
        <w:rPr>
          <w:rFonts w:ascii="Arial" w:cs="Arial" w:eastAsia="Arial" w:hAnsi="Arial"/>
          <w:sz w:val="16"/>
          <w:szCs w:val="16"/>
          <w:color w:val="262626"/>
        </w:rPr>
        <w:t>4:00 p.m. Pacific Time</w:t>
      </w:r>
    </w:p>
    <w:p>
      <w:pPr>
        <w:spacing w:after="0" w:line="219" w:lineRule="exact"/>
        <w:rPr>
          <w:sz w:val="20"/>
          <w:szCs w:val="20"/>
          <w:color w:val="auto"/>
        </w:rPr>
      </w:pPr>
    </w:p>
    <w:p>
      <w:pPr>
        <w:ind w:left="1280"/>
        <w:spacing w:after="0"/>
        <w:tabs>
          <w:tab w:leader="none" w:pos="2100" w:val="left"/>
        </w:tabs>
        <w:rPr>
          <w:sz w:val="20"/>
          <w:szCs w:val="20"/>
          <w:color w:val="auto"/>
        </w:rPr>
      </w:pPr>
      <w:r>
        <w:rPr>
          <w:rFonts w:ascii="Arial" w:cs="Arial" w:eastAsia="Arial" w:hAnsi="Arial"/>
          <w:sz w:val="16"/>
          <w:szCs w:val="16"/>
          <w:b w:val="1"/>
          <w:bCs w:val="1"/>
          <w:color w:val="262626"/>
        </w:rPr>
        <w:t>Place:</w:t>
      </w:r>
      <w:r>
        <w:rPr>
          <w:sz w:val="20"/>
          <w:szCs w:val="20"/>
          <w:color w:val="auto"/>
        </w:rPr>
        <w:tab/>
      </w:r>
      <w:r>
        <w:rPr>
          <w:rFonts w:ascii="Arial" w:cs="Arial" w:eastAsia="Arial" w:hAnsi="Arial"/>
          <w:sz w:val="16"/>
          <w:szCs w:val="16"/>
          <w:color w:val="262626"/>
        </w:rPr>
        <w:t>3421 Hillview Avenue, Palo Alto, California 94304</w:t>
      </w:r>
    </w:p>
    <w:p>
      <w:pPr>
        <w:spacing w:after="0" w:line="219" w:lineRule="exact"/>
        <w:rPr>
          <w:sz w:val="20"/>
          <w:szCs w:val="20"/>
          <w:color w:val="auto"/>
        </w:rPr>
      </w:pPr>
    </w:p>
    <w:p>
      <w:pPr>
        <w:ind w:left="1280"/>
        <w:spacing w:after="0"/>
        <w:tabs>
          <w:tab w:leader="none" w:pos="2100" w:val="left"/>
        </w:tabs>
        <w:rPr>
          <w:sz w:val="20"/>
          <w:szCs w:val="20"/>
          <w:color w:val="auto"/>
        </w:rPr>
      </w:pPr>
      <w:r>
        <w:rPr>
          <w:rFonts w:ascii="Arial" w:cs="Arial" w:eastAsia="Arial" w:hAnsi="Arial"/>
          <w:sz w:val="16"/>
          <w:szCs w:val="16"/>
          <w:b w:val="1"/>
          <w:bCs w:val="1"/>
          <w:color w:val="262626"/>
        </w:rPr>
        <w:t>Record</w:t>
      </w:r>
      <w:r>
        <w:rPr>
          <w:sz w:val="20"/>
          <w:szCs w:val="20"/>
          <w:color w:val="auto"/>
        </w:rPr>
        <w:tab/>
      </w:r>
      <w:r>
        <w:rPr>
          <w:rFonts w:ascii="Arial" w:cs="Arial" w:eastAsia="Arial" w:hAnsi="Arial"/>
          <w:sz w:val="16"/>
          <w:szCs w:val="16"/>
          <w:color w:val="262626"/>
        </w:rPr>
        <w:t>February 24, 2026</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Date:</w:t>
      </w:r>
    </w:p>
    <w:p>
      <w:pPr>
        <w:spacing w:after="0" w:line="203" w:lineRule="exact"/>
        <w:rPr>
          <w:sz w:val="20"/>
          <w:szCs w:val="20"/>
          <w:color w:val="auto"/>
        </w:rPr>
      </w:pPr>
    </w:p>
    <w:p>
      <w:pPr>
        <w:ind w:left="1280"/>
        <w:spacing w:after="0" w:line="294" w:lineRule="auto"/>
        <w:rPr>
          <w:sz w:val="20"/>
          <w:szCs w:val="20"/>
          <w:color w:val="auto"/>
        </w:rPr>
      </w:pPr>
      <w:r>
        <w:rPr>
          <w:rFonts w:ascii="Arial" w:cs="Arial" w:eastAsia="Arial" w:hAnsi="Arial"/>
          <w:sz w:val="16"/>
          <w:szCs w:val="16"/>
          <w:b w:val="1"/>
          <w:bCs w:val="1"/>
          <w:color w:val="262626"/>
        </w:rPr>
        <w:t xml:space="preserve">Items of </w:t>
      </w:r>
      <w:r>
        <w:rPr>
          <w:rFonts w:ascii="Arial" w:cs="Arial" w:eastAsia="Arial" w:hAnsi="Arial"/>
          <w:sz w:val="16"/>
          <w:szCs w:val="16"/>
          <w:color w:val="262626"/>
        </w:rPr>
        <w:t>1. To elect each of the eight director nominees until the next annual meeting</w:t>
      </w:r>
      <w:r>
        <w:rPr>
          <w:rFonts w:ascii="Arial" w:cs="Arial" w:eastAsia="Arial" w:hAnsi="Arial"/>
          <w:sz w:val="16"/>
          <w:szCs w:val="16"/>
          <w:b w:val="1"/>
          <w:bCs w:val="1"/>
          <w:color w:val="262626"/>
        </w:rPr>
        <w:t xml:space="preserve"> Business: </w:t>
      </w:r>
      <w:r>
        <w:rPr>
          <w:rFonts w:ascii="Arial" w:cs="Arial" w:eastAsia="Arial" w:hAnsi="Arial"/>
          <w:sz w:val="16"/>
          <w:szCs w:val="16"/>
          <w:color w:val="262626"/>
        </w:rPr>
        <w:t>of stockholders or until their successors have been elected.</w:t>
      </w:r>
    </w:p>
    <w:p>
      <w:pPr>
        <w:spacing w:after="0" w:line="140" w:lineRule="exact"/>
        <w:rPr>
          <w:sz w:val="20"/>
          <w:szCs w:val="20"/>
          <w:color w:val="auto"/>
        </w:rPr>
      </w:pPr>
    </w:p>
    <w:p>
      <w:pPr>
        <w:ind w:left="2360" w:right="100" w:hanging="239"/>
        <w:spacing w:after="0" w:line="264" w:lineRule="auto"/>
        <w:tabs>
          <w:tab w:leader="none" w:pos="236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To ratify the appointment of PricewaterhouseCoopers LLP as the independent registered public accounting firm of Broadcom for the fiscal year ending November 1, 2026.</w:t>
      </w:r>
    </w:p>
    <w:p>
      <w:pPr>
        <w:spacing w:after="0" w:line="171" w:lineRule="exact"/>
        <w:rPr>
          <w:rFonts w:ascii="Arial" w:cs="Arial" w:eastAsia="Arial" w:hAnsi="Arial"/>
          <w:sz w:val="16"/>
          <w:szCs w:val="16"/>
          <w:color w:val="262626"/>
        </w:rPr>
      </w:pPr>
    </w:p>
    <w:p>
      <w:pPr>
        <w:ind w:left="2360" w:right="660" w:hanging="239"/>
        <w:spacing w:after="0" w:line="283" w:lineRule="auto"/>
        <w:tabs>
          <w:tab w:leader="none" w:pos="236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 xml:space="preserve">To hold an advisory vote to approve the named executive officer compensation.         </w:t>
      </w:r>
    </w:p>
    <w:p>
      <w:pPr>
        <w:spacing w:after="0" w:line="156" w:lineRule="exact"/>
        <w:rPr>
          <w:rFonts w:ascii="Arial" w:cs="Arial" w:eastAsia="Arial" w:hAnsi="Arial"/>
          <w:sz w:val="16"/>
          <w:szCs w:val="16"/>
          <w:color w:val="262626"/>
        </w:rPr>
      </w:pPr>
    </w:p>
    <w:p>
      <w:pPr>
        <w:ind w:left="2360" w:right="20" w:hanging="239"/>
        <w:spacing w:after="0" w:line="283" w:lineRule="auto"/>
        <w:tabs>
          <w:tab w:leader="none" w:pos="236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To transact any other business as may properly come before the meeting or any postponements or adjournments to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left="7"/>
        <w:spacing w:after="0"/>
        <w:rPr>
          <w:sz w:val="20"/>
          <w:szCs w:val="20"/>
          <w:color w:val="auto"/>
        </w:rPr>
      </w:pPr>
      <w:r>
        <w:rPr>
          <w:rFonts w:ascii="Arial" w:cs="Arial" w:eastAsia="Arial" w:hAnsi="Arial"/>
          <w:sz w:val="14"/>
          <w:szCs w:val="14"/>
          <w:color w:val="262626"/>
        </w:rPr>
        <w:t> </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7"/>
        <w:spacing w:after="0"/>
        <w:rPr>
          <w:sz w:val="20"/>
          <w:szCs w:val="20"/>
          <w:color w:val="auto"/>
        </w:rPr>
      </w:pPr>
      <w:r>
        <w:rPr>
          <w:rFonts w:ascii="Arial" w:cs="Arial" w:eastAsia="Arial" w:hAnsi="Arial"/>
          <w:sz w:val="14"/>
          <w:szCs w:val="14"/>
          <w:b w:val="1"/>
          <w:bCs w:val="1"/>
          <w:color w:val="262626"/>
        </w:rPr>
        <w:t>Vote via the Internet</w:t>
      </w:r>
    </w:p>
    <w:p>
      <w:pPr>
        <w:spacing w:after="0" w:line="14" w:lineRule="exact"/>
        <w:rPr>
          <w:sz w:val="20"/>
          <w:szCs w:val="20"/>
          <w:color w:val="auto"/>
        </w:rPr>
      </w:pPr>
    </w:p>
    <w:p>
      <w:pPr>
        <w:ind w:left="347"/>
        <w:spacing w:after="0"/>
        <w:rPr>
          <w:sz w:val="20"/>
          <w:szCs w:val="20"/>
          <w:color w:val="auto"/>
        </w:rPr>
      </w:pPr>
      <w:r>
        <w:rPr>
          <w:rFonts w:ascii="Arial" w:cs="Arial" w:eastAsia="Arial" w:hAnsi="Arial"/>
          <w:sz w:val="14"/>
          <w:szCs w:val="14"/>
          <w:color w:val="262626"/>
        </w:rPr>
        <w:t>www.proxyvote.com</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9"/>
          <w:szCs w:val="9"/>
          <w:color w:val="262626"/>
        </w:rPr>
        <w:t> </w:t>
      </w:r>
    </w:p>
    <w:p>
      <w:pPr>
        <w:spacing w:after="0" w:line="200" w:lineRule="exact"/>
        <w:rPr>
          <w:sz w:val="20"/>
          <w:szCs w:val="20"/>
          <w:color w:val="auto"/>
        </w:rPr>
      </w:pPr>
    </w:p>
    <w:p>
      <w:pPr>
        <w:spacing w:after="0" w:line="380" w:lineRule="exact"/>
        <w:rPr>
          <w:sz w:val="20"/>
          <w:szCs w:val="20"/>
          <w:color w:val="auto"/>
        </w:rPr>
      </w:pPr>
    </w:p>
    <w:p>
      <w:pPr>
        <w:jc w:val="center"/>
        <w:ind w:left="-126" w:right="160"/>
        <w:spacing w:after="0" w:line="261" w:lineRule="auto"/>
        <w:rPr>
          <w:sz w:val="20"/>
          <w:szCs w:val="20"/>
          <w:color w:val="auto"/>
        </w:rPr>
      </w:pPr>
      <w:r>
        <w:rPr>
          <w:rFonts w:ascii="Arial" w:cs="Arial" w:eastAsia="Arial" w:hAnsi="Arial"/>
          <w:sz w:val="14"/>
          <w:szCs w:val="14"/>
          <w:b w:val="1"/>
          <w:bCs w:val="1"/>
          <w:color w:val="262626"/>
        </w:rPr>
        <w:t xml:space="preserve">Vote by Telephone </w:t>
      </w:r>
      <w:r>
        <w:rPr>
          <w:rFonts w:ascii="Arial" w:cs="Arial" w:eastAsia="Arial" w:hAnsi="Arial"/>
          <w:sz w:val="14"/>
          <w:szCs w:val="14"/>
          <w:color w:val="262626"/>
        </w:rPr>
        <w:t>In the U.S. or Canada (800) 690-6903</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9"/>
          <w:szCs w:val="9"/>
          <w:color w:val="262626"/>
        </w:rPr>
        <w:t> </w:t>
      </w:r>
    </w:p>
    <w:p>
      <w:pPr>
        <w:spacing w:after="0" w:line="365" w:lineRule="exact"/>
        <w:rPr>
          <w:sz w:val="20"/>
          <w:szCs w:val="20"/>
          <w:color w:val="auto"/>
        </w:rPr>
      </w:pPr>
    </w:p>
    <w:p>
      <w:pPr>
        <w:jc w:val="center"/>
        <w:ind w:right="192"/>
        <w:spacing w:after="0"/>
        <w:rPr>
          <w:sz w:val="20"/>
          <w:szCs w:val="20"/>
          <w:color w:val="auto"/>
        </w:rPr>
      </w:pPr>
      <w:r>
        <w:rPr>
          <w:rFonts w:ascii="Arial" w:cs="Arial" w:eastAsia="Arial" w:hAnsi="Arial"/>
          <w:sz w:val="14"/>
          <w:szCs w:val="14"/>
          <w:b w:val="1"/>
          <w:bCs w:val="1"/>
          <w:color w:val="262626"/>
        </w:rPr>
        <w:t>Vote by Mail</w:t>
      </w:r>
    </w:p>
    <w:p>
      <w:pPr>
        <w:spacing w:after="0" w:line="14" w:lineRule="exact"/>
        <w:rPr>
          <w:sz w:val="20"/>
          <w:szCs w:val="20"/>
          <w:color w:val="auto"/>
        </w:rPr>
      </w:pPr>
    </w:p>
    <w:p>
      <w:pPr>
        <w:jc w:val="center"/>
        <w:ind w:right="192"/>
        <w:spacing w:after="0"/>
        <w:rPr>
          <w:sz w:val="20"/>
          <w:szCs w:val="20"/>
          <w:color w:val="auto"/>
        </w:rPr>
      </w:pPr>
      <w:r>
        <w:rPr>
          <w:rFonts w:ascii="Arial" w:cs="Arial" w:eastAsia="Arial" w:hAnsi="Arial"/>
          <w:sz w:val="14"/>
          <w:szCs w:val="14"/>
          <w:color w:val="262626"/>
        </w:rPr>
        <w:t>Complete, sign, date</w:t>
      </w:r>
    </w:p>
    <w:p>
      <w:pPr>
        <w:ind w:left="147" w:hanging="147"/>
        <w:spacing w:after="0"/>
        <w:tabs>
          <w:tab w:leader="none" w:pos="147" w:val="left"/>
        </w:tabs>
        <w:numPr>
          <w:ilvl w:val="0"/>
          <w:numId w:val="2"/>
        </w:numPr>
        <w:rPr>
          <w:rFonts w:ascii="Arial" w:cs="Arial" w:eastAsia="Arial" w:hAnsi="Arial"/>
          <w:sz w:val="14"/>
          <w:szCs w:val="14"/>
          <w:color w:val="262626"/>
        </w:rPr>
      </w:pPr>
      <w:r>
        <w:rPr>
          <w:rFonts w:ascii="Arial" w:cs="Arial" w:eastAsia="Arial" w:hAnsi="Arial"/>
          <w:sz w:val="14"/>
          <w:szCs w:val="14"/>
          <w:color w:val="262626"/>
        </w:rPr>
        <w:t>and return your proxy card</w:t>
      </w:r>
    </w:p>
    <w:p>
      <w:pPr>
        <w:ind w:left="367"/>
        <w:spacing w:after="0"/>
        <w:rPr>
          <w:rFonts w:ascii="Arial" w:cs="Arial" w:eastAsia="Arial" w:hAnsi="Arial"/>
          <w:sz w:val="14"/>
          <w:szCs w:val="14"/>
          <w:color w:val="262626"/>
        </w:rPr>
      </w:pPr>
      <w:r>
        <w:rPr>
          <w:rFonts w:ascii="Arial" w:cs="Arial" w:eastAsia="Arial" w:hAnsi="Arial"/>
          <w:sz w:val="14"/>
          <w:szCs w:val="14"/>
          <w:color w:val="262626"/>
        </w:rPr>
        <w:t>in the postage-paid</w:t>
      </w:r>
    </w:p>
    <w:p>
      <w:pPr>
        <w:ind w:left="687"/>
        <w:spacing w:after="0"/>
        <w:rPr>
          <w:rFonts w:ascii="Arial" w:cs="Arial" w:eastAsia="Arial" w:hAnsi="Arial"/>
          <w:sz w:val="14"/>
          <w:szCs w:val="14"/>
          <w:color w:val="262626"/>
        </w:rPr>
      </w:pPr>
      <w:r>
        <w:rPr>
          <w:rFonts w:ascii="Arial" w:cs="Arial" w:eastAsia="Arial" w:hAnsi="Arial"/>
          <w:sz w:val="14"/>
          <w:szCs w:val="14"/>
          <w:color w:val="262626"/>
        </w:rPr>
        <w:t>envelope</w:t>
      </w:r>
    </w:p>
    <w:p>
      <w:pPr>
        <w:spacing w:after="0" w:line="413" w:lineRule="exact"/>
        <w:rPr>
          <w:sz w:val="20"/>
          <w:szCs w:val="20"/>
          <w:color w:val="auto"/>
        </w:rPr>
      </w:pPr>
    </w:p>
    <w:p>
      <w:pPr>
        <w:sectPr>
          <w:pgSz w:w="11900" w:h="16838" w:orient="portrait"/>
          <w:cols w:equalWidth="0" w:num="2">
            <w:col w:w="7580" w:space="393"/>
            <w:col w:w="2166"/>
          </w:cols>
          <w:pgMar w:left="320" w:top="480" w:right="1440" w:bottom="1440" w:gutter="0" w:footer="0" w:header="0"/>
          <w:type w:val="continuous"/>
        </w:sectPr>
      </w:pPr>
    </w:p>
    <w:p>
      <w:pPr>
        <w:spacing w:after="0" w:line="171" w:lineRule="exact"/>
        <w:rPr>
          <w:sz w:val="20"/>
          <w:szCs w:val="20"/>
          <w:color w:val="auto"/>
        </w:rPr>
      </w:pPr>
    </w:p>
    <w:p>
      <w:pPr>
        <w:jc w:val="both"/>
        <w:ind w:left="1280" w:right="159"/>
        <w:spacing w:after="0" w:line="343" w:lineRule="auto"/>
        <w:rPr>
          <w:sz w:val="20"/>
          <w:szCs w:val="20"/>
          <w:color w:val="auto"/>
        </w:rPr>
      </w:pPr>
      <w:r>
        <w:rPr>
          <w:rFonts w:ascii="Arial" w:cs="Arial" w:eastAsia="Arial" w:hAnsi="Arial"/>
          <w:sz w:val="16"/>
          <w:szCs w:val="16"/>
          <w:color w:val="262626"/>
        </w:rPr>
        <w:t>These items of business are described more fully in the accompanying proxy statement. On or about March 2, 2026, we are mailing to Broadcom’s stockholders at the close of business on the Record Date a Notice of Internet Availability of Proxy Materials.</w:t>
      </w:r>
    </w:p>
    <w:p>
      <w:pPr>
        <w:spacing w:after="0" w:line="177"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Your vote is important. Regardless of whether you plan to participate in the Annual Meeting, we encourage you to vote via the Internet, by telephone or by mail to ensure you are represented at the Annual Meeting. Instructions for using these voting methods are set forth on the proxy card or the Notice of Internet Availability of Proxy Materials. Please refer to “</w:t>
      </w:r>
      <w:r>
        <w:rPr>
          <w:rFonts w:ascii="Arial" w:cs="Arial" w:eastAsia="Arial" w:hAnsi="Arial"/>
          <w:sz w:val="16"/>
          <w:szCs w:val="16"/>
          <w:i w:val="1"/>
          <w:iCs w:val="1"/>
          <w:color w:val="262626"/>
        </w:rPr>
        <w:t>Additional Meeting Information</w:t>
      </w:r>
      <w:r>
        <w:rPr>
          <w:rFonts w:ascii="Arial" w:cs="Arial" w:eastAsia="Arial" w:hAnsi="Arial"/>
          <w:sz w:val="16"/>
          <w:szCs w:val="16"/>
          <w:color w:val="262626"/>
        </w:rPr>
        <w:t>” for instructions on how to register for and attend the Annual Meeting.</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Important notice of internet availability of proxy materials:</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The notice of the annual meeting, proxy statement and annual report are available at https://investors.broadcom.com.</w:t>
      </w:r>
    </w:p>
    <w:p>
      <w:pPr>
        <w:spacing w:after="0" w:line="286"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215900</wp:posOffset>
            </wp:positionV>
            <wp:extent cx="1048385" cy="537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8385" cy="53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80"/>
        <w:spacing w:after="0"/>
        <w:rPr>
          <w:sz w:val="20"/>
          <w:szCs w:val="20"/>
          <w:color w:val="auto"/>
        </w:rPr>
      </w:pPr>
      <w:r>
        <w:rPr>
          <w:rFonts w:ascii="Arial" w:cs="Arial" w:eastAsia="Arial" w:hAnsi="Arial"/>
          <w:sz w:val="18"/>
          <w:szCs w:val="18"/>
          <w:color w:val="262626"/>
        </w:rPr>
        <w:t>Hock E. Tan</w:t>
      </w:r>
    </w:p>
    <w:p>
      <w:pPr>
        <w:spacing w:after="0" w:line="48" w:lineRule="exact"/>
        <w:rPr>
          <w:sz w:val="20"/>
          <w:szCs w:val="20"/>
          <w:color w:val="auto"/>
        </w:rPr>
      </w:pPr>
    </w:p>
    <w:p>
      <w:pPr>
        <w:ind w:left="1280"/>
        <w:spacing w:after="0"/>
        <w:rPr>
          <w:sz w:val="20"/>
          <w:szCs w:val="20"/>
          <w:color w:val="auto"/>
        </w:rPr>
      </w:pPr>
      <w:r>
        <w:rPr>
          <w:rFonts w:ascii="Arial" w:cs="Arial" w:eastAsia="Arial" w:hAnsi="Arial"/>
          <w:sz w:val="18"/>
          <w:szCs w:val="18"/>
          <w:color w:val="262626"/>
        </w:rPr>
        <w:t>President, Chief Executive Officer and Director</w:t>
      </w:r>
    </w:p>
    <w:p>
      <w:pPr>
        <w:spacing w:after="0" w:line="236" w:lineRule="exact"/>
        <w:rPr>
          <w:sz w:val="20"/>
          <w:szCs w:val="20"/>
          <w:color w:val="auto"/>
        </w:rPr>
      </w:pPr>
    </w:p>
    <w:p>
      <w:pPr>
        <w:ind w:left="1280"/>
        <w:spacing w:after="0"/>
        <w:rPr>
          <w:sz w:val="20"/>
          <w:szCs w:val="20"/>
          <w:color w:val="auto"/>
        </w:rPr>
      </w:pPr>
      <w:r>
        <w:rPr>
          <w:rFonts w:ascii="Arial" w:cs="Arial" w:eastAsia="Arial" w:hAnsi="Arial"/>
          <w:sz w:val="18"/>
          <w:szCs w:val="18"/>
          <w:color w:val="262626"/>
        </w:rPr>
        <w:t>March 2, 2026</w:t>
      </w:r>
    </w:p>
    <w:p>
      <w:pPr>
        <w:sectPr>
          <w:pgSz w:w="11900" w:h="16838" w:orient="portrait"/>
          <w:cols w:equalWidth="0" w:num="1">
            <w:col w:w="10139"/>
          </w:cols>
          <w:pgMar w:left="320" w:top="48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tbl>
      <w:tblPr>
        <w:tblLayout w:type="fixed"/>
        <w:tblInd w:w="1280" w:type="dxa"/>
        <w:tblCellMar>
          <w:top w:w="0" w:type="dxa"/>
          <w:left w:w="0" w:type="dxa"/>
          <w:bottom w:w="0" w:type="dxa"/>
          <w:right w:w="0" w:type="dxa"/>
        </w:tblCellMar>
      </w:tblPr>
      <w:tr>
        <w:trPr>
          <w:trHeight w:val="331"/>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5"/>
          </w:tcPr>
          <w:p>
            <w:pPr>
              <w:ind w:left="200"/>
              <w:spacing w:after="0"/>
              <w:rPr>
                <w:sz w:val="20"/>
                <w:szCs w:val="20"/>
                <w:color w:val="auto"/>
              </w:rPr>
            </w:pPr>
            <w:r>
              <w:rPr>
                <w:rFonts w:ascii="Arial" w:cs="Arial" w:eastAsia="Arial" w:hAnsi="Arial"/>
                <w:sz w:val="25"/>
                <w:szCs w:val="25"/>
                <w:color w:val="D62E4B"/>
              </w:rPr>
              <w:t>TABLE OF CONTENTS</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60" w:type="dxa"/>
            <w:vAlign w:val="bottom"/>
            <w:gridSpan w:val="4"/>
          </w:tcPr>
          <w:p>
            <w:pPr>
              <w:jc w:val="center"/>
              <w:ind w:left="1799"/>
              <w:spacing w:after="0"/>
              <w:rPr>
                <w:sz w:val="20"/>
                <w:szCs w:val="20"/>
                <w:color w:val="auto"/>
              </w:rPr>
            </w:pPr>
            <w:r>
              <w:rPr>
                <w:rFonts w:ascii="Arial" w:cs="Arial" w:eastAsia="Arial" w:hAnsi="Arial"/>
                <w:sz w:val="16"/>
                <w:szCs w:val="16"/>
                <w:color w:val="262626"/>
              </w:rPr>
              <w:t>Page</w:t>
            </w:r>
          </w:p>
        </w:tc>
      </w:tr>
      <w:tr>
        <w:trPr>
          <w:trHeight w:val="284"/>
        </w:trPr>
        <w:tc>
          <w:tcPr>
            <w:tcW w:w="6420" w:type="dxa"/>
            <w:vAlign w:val="bottom"/>
            <w:gridSpan w:val="18"/>
          </w:tcPr>
          <w:p>
            <w:pPr>
              <w:spacing w:after="0"/>
              <w:rPr>
                <w:sz w:val="20"/>
                <w:szCs w:val="20"/>
                <w:color w:val="auto"/>
              </w:rPr>
            </w:pPr>
            <w:r>
              <w:rPr>
                <w:rFonts w:ascii="Arial" w:cs="Arial" w:eastAsia="Arial" w:hAnsi="Arial"/>
                <w:sz w:val="16"/>
                <w:szCs w:val="16"/>
                <w:color w:val="0000EE"/>
              </w:rPr>
              <w:t>Letter from the Chairman of the Board</w:t>
            </w:r>
          </w:p>
        </w:tc>
        <w:tc>
          <w:tcPr>
            <w:tcW w:w="2120" w:type="dxa"/>
            <w:vAlign w:val="bottom"/>
            <w:gridSpan w:val="2"/>
          </w:tcPr>
          <w:p>
            <w:pPr>
              <w:jc w:val="center"/>
              <w:ind w:left="1959"/>
              <w:spacing w:after="0"/>
              <w:rPr>
                <w:sz w:val="20"/>
                <w:szCs w:val="20"/>
                <w:color w:val="auto"/>
              </w:rPr>
            </w:pPr>
            <w:r>
              <w:rPr>
                <w:rFonts w:ascii="Arial" w:cs="Arial" w:eastAsia="Arial" w:hAnsi="Arial"/>
                <w:sz w:val="16"/>
                <w:szCs w:val="16"/>
                <w:color w:val="0000EE"/>
                <w:w w:val="89"/>
              </w:rPr>
              <w:t>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1920" w:type="dxa"/>
            <w:vAlign w:val="bottom"/>
            <w:gridSpan w:val="7"/>
          </w:tcPr>
          <w:p>
            <w:pPr>
              <w:spacing w:after="0"/>
              <w:rPr>
                <w:sz w:val="20"/>
                <w:szCs w:val="20"/>
                <w:color w:val="auto"/>
              </w:rPr>
            </w:pPr>
            <w:r>
              <w:rPr>
                <w:rFonts w:ascii="Arial" w:cs="Arial" w:eastAsia="Arial" w:hAnsi="Arial"/>
                <w:sz w:val="16"/>
                <w:szCs w:val="16"/>
                <w:color w:val="0000EE"/>
                <w:w w:val="99"/>
              </w:rPr>
              <w:t>Proxy Statement Summary</w:t>
            </w:r>
          </w:p>
        </w:tc>
        <w:tc>
          <w:tcPr>
            <w:tcW w:w="780" w:type="dxa"/>
            <w:vAlign w:val="bottom"/>
            <w:gridSpan w:val="4"/>
          </w:tcPr>
          <w:p>
            <w:pPr>
              <w:spacing w:after="0"/>
              <w:rPr>
                <w:sz w:val="24"/>
                <w:szCs w:val="24"/>
                <w:color w:val="auto"/>
              </w:rPr>
            </w:pPr>
          </w:p>
        </w:tc>
        <w:tc>
          <w:tcPr>
            <w:tcW w:w="3720" w:type="dxa"/>
            <w:vAlign w:val="bottom"/>
            <w:gridSpan w:val="7"/>
          </w:tcPr>
          <w:p>
            <w:pPr>
              <w:spacing w:after="0"/>
              <w:rPr>
                <w:sz w:val="24"/>
                <w:szCs w:val="24"/>
                <w:color w:val="auto"/>
              </w:rPr>
            </w:pPr>
          </w:p>
        </w:tc>
        <w:tc>
          <w:tcPr>
            <w:tcW w:w="2120" w:type="dxa"/>
            <w:vAlign w:val="bottom"/>
            <w:gridSpan w:val="2"/>
          </w:tcPr>
          <w:p>
            <w:pPr>
              <w:jc w:val="center"/>
              <w:ind w:left="1959"/>
              <w:spacing w:after="0"/>
              <w:rPr>
                <w:sz w:val="20"/>
                <w:szCs w:val="20"/>
                <w:color w:val="auto"/>
              </w:rPr>
            </w:pPr>
            <w:r>
              <w:rPr>
                <w:rFonts w:ascii="Arial" w:cs="Arial" w:eastAsia="Arial" w:hAnsi="Arial"/>
                <w:sz w:val="16"/>
                <w:szCs w:val="16"/>
                <w:color w:val="0000EE"/>
                <w:w w:val="89"/>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1640" w:type="dxa"/>
            <w:vAlign w:val="bottom"/>
            <w:gridSpan w:val="4"/>
          </w:tcPr>
          <w:p>
            <w:pPr>
              <w:spacing w:after="0"/>
              <w:rPr>
                <w:sz w:val="20"/>
                <w:szCs w:val="20"/>
                <w:color w:val="auto"/>
              </w:rPr>
            </w:pPr>
            <w:r>
              <w:rPr>
                <w:rFonts w:ascii="Arial" w:cs="Arial" w:eastAsia="Arial" w:hAnsi="Arial"/>
                <w:sz w:val="16"/>
                <w:szCs w:val="16"/>
                <w:color w:val="0000EE"/>
                <w:w w:val="99"/>
              </w:rPr>
              <w:t>Corporate Governance</w:t>
            </w:r>
          </w:p>
        </w:tc>
        <w:tc>
          <w:tcPr>
            <w:tcW w:w="280" w:type="dxa"/>
            <w:vAlign w:val="bottom"/>
            <w:gridSpan w:val="3"/>
          </w:tcPr>
          <w:p>
            <w:pPr>
              <w:spacing w:after="0"/>
              <w:rPr>
                <w:sz w:val="24"/>
                <w:szCs w:val="24"/>
                <w:color w:val="auto"/>
              </w:rPr>
            </w:pPr>
          </w:p>
        </w:tc>
        <w:tc>
          <w:tcPr>
            <w:tcW w:w="4500" w:type="dxa"/>
            <w:vAlign w:val="bottom"/>
            <w:gridSpan w:val="11"/>
          </w:tcPr>
          <w:p>
            <w:pPr>
              <w:spacing w:after="0"/>
              <w:rPr>
                <w:sz w:val="24"/>
                <w:szCs w:val="24"/>
                <w:color w:val="auto"/>
              </w:rPr>
            </w:pPr>
          </w:p>
        </w:tc>
        <w:tc>
          <w:tcPr>
            <w:tcW w:w="2120" w:type="dxa"/>
            <w:vAlign w:val="bottom"/>
            <w:gridSpan w:val="2"/>
          </w:tcPr>
          <w:p>
            <w:pPr>
              <w:jc w:val="center"/>
              <w:ind w:left="1959"/>
              <w:spacing w:after="0"/>
              <w:rPr>
                <w:sz w:val="20"/>
                <w:szCs w:val="20"/>
                <w:color w:val="auto"/>
              </w:rPr>
            </w:pPr>
            <w:r>
              <w:rPr>
                <w:rFonts w:ascii="Arial" w:cs="Arial" w:eastAsia="Arial" w:hAnsi="Arial"/>
                <w:sz w:val="16"/>
                <w:szCs w:val="16"/>
                <w:color w:val="0000EE"/>
                <w:w w:val="89"/>
              </w:rPr>
              <w:t>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1300" w:type="dxa"/>
            <w:vAlign w:val="bottom"/>
            <w:gridSpan w:val="3"/>
          </w:tcPr>
          <w:p>
            <w:pPr>
              <w:spacing w:after="0"/>
              <w:rPr>
                <w:sz w:val="20"/>
                <w:szCs w:val="20"/>
                <w:color w:val="auto"/>
              </w:rPr>
            </w:pPr>
            <w:r>
              <w:rPr>
                <w:rFonts w:ascii="Arial" w:cs="Arial" w:eastAsia="Arial" w:hAnsi="Arial"/>
                <w:sz w:val="16"/>
                <w:szCs w:val="16"/>
                <w:color w:val="0000EE"/>
                <w:w w:val="99"/>
              </w:rPr>
              <w:t>Board of Directors</w:t>
            </w:r>
          </w:p>
        </w:tc>
        <w:tc>
          <w:tcPr>
            <w:tcW w:w="340" w:type="dxa"/>
            <w:vAlign w:val="bottom"/>
          </w:tcPr>
          <w:p>
            <w:pPr>
              <w:spacing w:after="0"/>
              <w:rPr>
                <w:sz w:val="24"/>
                <w:szCs w:val="24"/>
                <w:color w:val="auto"/>
              </w:rPr>
            </w:pPr>
          </w:p>
        </w:tc>
        <w:tc>
          <w:tcPr>
            <w:tcW w:w="4780" w:type="dxa"/>
            <w:vAlign w:val="bottom"/>
            <w:gridSpan w:val="14"/>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EE"/>
                <w:w w:val="71"/>
              </w:rPr>
              <w:t>10</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2300" w:type="dxa"/>
            <w:vAlign w:val="bottom"/>
            <w:gridSpan w:val="9"/>
          </w:tcPr>
          <w:p>
            <w:pPr>
              <w:spacing w:after="0"/>
              <w:rPr>
                <w:sz w:val="20"/>
                <w:szCs w:val="20"/>
                <w:color w:val="auto"/>
              </w:rPr>
            </w:pPr>
            <w:r>
              <w:rPr>
                <w:rFonts w:ascii="Arial" w:cs="Arial" w:eastAsia="Arial" w:hAnsi="Arial"/>
                <w:sz w:val="16"/>
                <w:szCs w:val="16"/>
                <w:color w:val="0000EE"/>
                <w:w w:val="99"/>
              </w:rPr>
              <w:t>Proposal 1: Election of Directors</w:t>
            </w:r>
          </w:p>
        </w:tc>
        <w:tc>
          <w:tcPr>
            <w:tcW w:w="4120" w:type="dxa"/>
            <w:vAlign w:val="bottom"/>
            <w:gridSpan w:val="9"/>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EE"/>
                <w:w w:val="71"/>
              </w:rPr>
              <w:t>18</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6420" w:type="dxa"/>
            <w:vAlign w:val="bottom"/>
            <w:gridSpan w:val="18"/>
          </w:tcPr>
          <w:p>
            <w:pPr>
              <w:spacing w:after="0"/>
              <w:rPr>
                <w:sz w:val="20"/>
                <w:szCs w:val="20"/>
                <w:color w:val="auto"/>
              </w:rPr>
            </w:pPr>
            <w:r>
              <w:rPr>
                <w:rFonts w:ascii="Arial" w:cs="Arial" w:eastAsia="Arial" w:hAnsi="Arial"/>
                <w:sz w:val="16"/>
                <w:szCs w:val="16"/>
                <w:color w:val="0000EE"/>
              </w:rPr>
              <w:t>Proposal 2: Ratification of Appointment of Independent Registered Public Accounting Firm</w:t>
            </w:r>
          </w:p>
        </w:tc>
        <w:tc>
          <w:tcPr>
            <w:tcW w:w="2040" w:type="dxa"/>
            <w:vAlign w:val="bottom"/>
          </w:tcPr>
          <w:p>
            <w:pPr>
              <w:spacing w:after="0"/>
              <w:rPr>
                <w:sz w:val="24"/>
                <w:szCs w:val="24"/>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EE"/>
                <w:w w:val="71"/>
              </w:rPr>
              <w:t>23</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1720" w:type="dxa"/>
            <w:vAlign w:val="bottom"/>
            <w:gridSpan w:val="5"/>
          </w:tcPr>
          <w:p>
            <w:pPr>
              <w:spacing w:after="0"/>
              <w:rPr>
                <w:sz w:val="20"/>
                <w:szCs w:val="20"/>
                <w:color w:val="auto"/>
              </w:rPr>
            </w:pPr>
            <w:r>
              <w:rPr>
                <w:rFonts w:ascii="Arial" w:cs="Arial" w:eastAsia="Arial" w:hAnsi="Arial"/>
                <w:sz w:val="16"/>
                <w:szCs w:val="16"/>
                <w:color w:val="0000EE"/>
                <w:w w:val="99"/>
              </w:rPr>
              <w:t>Audit Committee Report</w:t>
            </w:r>
          </w:p>
        </w:tc>
        <w:tc>
          <w:tcPr>
            <w:tcW w:w="4700" w:type="dxa"/>
            <w:vAlign w:val="bottom"/>
            <w:gridSpan w:val="13"/>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EE"/>
                <w:w w:val="71"/>
              </w:rPr>
              <w:t>25</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6420" w:type="dxa"/>
            <w:vAlign w:val="bottom"/>
            <w:gridSpan w:val="18"/>
          </w:tcPr>
          <w:p>
            <w:pPr>
              <w:spacing w:after="0"/>
              <w:rPr>
                <w:sz w:val="20"/>
                <w:szCs w:val="20"/>
                <w:color w:val="auto"/>
              </w:rPr>
            </w:pPr>
            <w:r>
              <w:rPr>
                <w:rFonts w:ascii="Arial" w:cs="Arial" w:eastAsia="Arial" w:hAnsi="Arial"/>
                <w:sz w:val="16"/>
                <w:szCs w:val="16"/>
                <w:color w:val="0000EE"/>
              </w:rPr>
              <w:t>Proposal 3: Advisory Vote to Approve Named Executive Officer Compensation</w:t>
            </w:r>
          </w:p>
        </w:tc>
        <w:tc>
          <w:tcPr>
            <w:tcW w:w="2160" w:type="dxa"/>
            <w:vAlign w:val="bottom"/>
            <w:gridSpan w:val="3"/>
          </w:tcPr>
          <w:p>
            <w:pPr>
              <w:jc w:val="center"/>
              <w:ind w:left="1899"/>
              <w:spacing w:after="0"/>
              <w:rPr>
                <w:sz w:val="20"/>
                <w:szCs w:val="20"/>
                <w:color w:val="auto"/>
              </w:rPr>
            </w:pPr>
            <w:r>
              <w:rPr>
                <w:rFonts w:ascii="Arial" w:cs="Arial" w:eastAsia="Arial" w:hAnsi="Arial"/>
                <w:sz w:val="16"/>
                <w:szCs w:val="16"/>
                <w:color w:val="0000EE"/>
              </w:rPr>
              <w:t>26</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2820" w:type="dxa"/>
            <w:vAlign w:val="bottom"/>
            <w:gridSpan w:val="13"/>
          </w:tcPr>
          <w:p>
            <w:pPr>
              <w:spacing w:after="0"/>
              <w:rPr>
                <w:sz w:val="20"/>
                <w:szCs w:val="20"/>
                <w:color w:val="auto"/>
              </w:rPr>
            </w:pPr>
            <w:r>
              <w:rPr>
                <w:rFonts w:ascii="Arial" w:cs="Arial" w:eastAsia="Arial" w:hAnsi="Arial"/>
                <w:sz w:val="16"/>
                <w:szCs w:val="16"/>
                <w:color w:val="0000EE"/>
                <w:w w:val="99"/>
              </w:rPr>
              <w:t>Compensation Discussion and Analysis</w:t>
            </w:r>
          </w:p>
        </w:tc>
        <w:tc>
          <w:tcPr>
            <w:tcW w:w="2740" w:type="dxa"/>
            <w:vAlign w:val="bottom"/>
            <w:gridSpan w:val="3"/>
          </w:tcPr>
          <w:p>
            <w:pPr>
              <w:spacing w:after="0"/>
              <w:rPr>
                <w:sz w:val="24"/>
                <w:szCs w:val="24"/>
                <w:color w:val="auto"/>
              </w:rPr>
            </w:pPr>
          </w:p>
        </w:tc>
        <w:tc>
          <w:tcPr>
            <w:tcW w:w="860" w:type="dxa"/>
            <w:vAlign w:val="bottom"/>
            <w:gridSpan w:val="2"/>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EE"/>
                <w:w w:val="71"/>
              </w:rPr>
              <w:t>27</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2820" w:type="dxa"/>
            <w:vAlign w:val="bottom"/>
            <w:gridSpan w:val="13"/>
          </w:tcPr>
          <w:p>
            <w:pPr>
              <w:spacing w:after="0"/>
              <w:rPr>
                <w:sz w:val="20"/>
                <w:szCs w:val="20"/>
                <w:color w:val="auto"/>
              </w:rPr>
            </w:pPr>
            <w:r>
              <w:rPr>
                <w:rFonts w:ascii="Arial" w:cs="Arial" w:eastAsia="Arial" w:hAnsi="Arial"/>
                <w:sz w:val="16"/>
                <w:szCs w:val="16"/>
                <w:color w:val="0000EE"/>
              </w:rPr>
              <w:t>Compensation Committee Report</w:t>
            </w:r>
          </w:p>
        </w:tc>
        <w:tc>
          <w:tcPr>
            <w:tcW w:w="3600" w:type="dxa"/>
            <w:vAlign w:val="bottom"/>
            <w:gridSpan w:val="5"/>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EE"/>
                <w:w w:val="71"/>
              </w:rPr>
              <w:t>49</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1780" w:type="dxa"/>
            <w:vAlign w:val="bottom"/>
            <w:gridSpan w:val="6"/>
          </w:tcPr>
          <w:p>
            <w:pPr>
              <w:spacing w:after="0"/>
              <w:rPr>
                <w:sz w:val="20"/>
                <w:szCs w:val="20"/>
                <w:color w:val="auto"/>
              </w:rPr>
            </w:pPr>
            <w:r>
              <w:rPr>
                <w:rFonts w:ascii="Arial" w:cs="Arial" w:eastAsia="Arial" w:hAnsi="Arial"/>
                <w:sz w:val="16"/>
                <w:szCs w:val="16"/>
                <w:color w:val="0000EE"/>
                <w:w w:val="98"/>
              </w:rPr>
              <w:t>Executive Compensation</w:t>
            </w:r>
          </w:p>
        </w:tc>
        <w:tc>
          <w:tcPr>
            <w:tcW w:w="600" w:type="dxa"/>
            <w:vAlign w:val="bottom"/>
            <w:gridSpan w:val="4"/>
          </w:tcPr>
          <w:p>
            <w:pPr>
              <w:spacing w:after="0"/>
              <w:rPr>
                <w:sz w:val="24"/>
                <w:szCs w:val="24"/>
                <w:color w:val="auto"/>
              </w:rPr>
            </w:pPr>
          </w:p>
        </w:tc>
        <w:tc>
          <w:tcPr>
            <w:tcW w:w="4040" w:type="dxa"/>
            <w:vAlign w:val="bottom"/>
            <w:gridSpan w:val="8"/>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EE"/>
                <w:w w:val="71"/>
              </w:rPr>
              <w:t>50</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1780" w:type="dxa"/>
            <w:vAlign w:val="bottom"/>
            <w:gridSpan w:val="6"/>
          </w:tcPr>
          <w:p>
            <w:pPr>
              <w:spacing w:after="0"/>
              <w:rPr>
                <w:sz w:val="20"/>
                <w:szCs w:val="20"/>
                <w:color w:val="auto"/>
              </w:rPr>
            </w:pPr>
            <w:r>
              <w:rPr>
                <w:rFonts w:ascii="Arial" w:cs="Arial" w:eastAsia="Arial" w:hAnsi="Arial"/>
                <w:sz w:val="16"/>
                <w:szCs w:val="16"/>
                <w:color w:val="0000EE"/>
              </w:rPr>
              <w:t>CEO Pay Ratio</w:t>
            </w:r>
          </w:p>
        </w:tc>
        <w:tc>
          <w:tcPr>
            <w:tcW w:w="4640" w:type="dxa"/>
            <w:vAlign w:val="bottom"/>
            <w:gridSpan w:val="12"/>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EE"/>
                <w:w w:val="71"/>
              </w:rPr>
              <w:t>60</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1780" w:type="dxa"/>
            <w:vAlign w:val="bottom"/>
            <w:gridSpan w:val="6"/>
          </w:tcPr>
          <w:p>
            <w:pPr>
              <w:spacing w:after="0"/>
              <w:rPr>
                <w:sz w:val="20"/>
                <w:szCs w:val="20"/>
                <w:color w:val="auto"/>
              </w:rPr>
            </w:pPr>
            <w:r>
              <w:rPr>
                <w:rFonts w:ascii="Arial" w:cs="Arial" w:eastAsia="Arial" w:hAnsi="Arial"/>
                <w:sz w:val="16"/>
                <w:szCs w:val="16"/>
                <w:color w:val="0000EE"/>
                <w:w w:val="97"/>
              </w:rPr>
              <w:t>Pay Versus Performance</w:t>
            </w:r>
          </w:p>
        </w:tc>
        <w:tc>
          <w:tcPr>
            <w:tcW w:w="4640" w:type="dxa"/>
            <w:vAlign w:val="bottom"/>
            <w:gridSpan w:val="12"/>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EE"/>
                <w:w w:val="71"/>
              </w:rPr>
              <w:t>61</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6420" w:type="dxa"/>
            <w:vAlign w:val="bottom"/>
            <w:gridSpan w:val="18"/>
          </w:tcPr>
          <w:p>
            <w:pPr>
              <w:spacing w:after="0"/>
              <w:rPr>
                <w:sz w:val="20"/>
                <w:szCs w:val="20"/>
                <w:color w:val="auto"/>
              </w:rPr>
            </w:pPr>
            <w:r>
              <w:rPr>
                <w:rFonts w:ascii="Arial" w:cs="Arial" w:eastAsia="Arial" w:hAnsi="Arial"/>
                <w:sz w:val="16"/>
                <w:szCs w:val="16"/>
                <w:color w:val="0000EE"/>
              </w:rPr>
              <w:t>Equity Compensation Plan Information</w:t>
            </w:r>
          </w:p>
        </w:tc>
        <w:tc>
          <w:tcPr>
            <w:tcW w:w="2160" w:type="dxa"/>
            <w:vAlign w:val="bottom"/>
            <w:gridSpan w:val="3"/>
          </w:tcPr>
          <w:p>
            <w:pPr>
              <w:jc w:val="center"/>
              <w:ind w:left="1899"/>
              <w:spacing w:after="0"/>
              <w:rPr>
                <w:sz w:val="20"/>
                <w:szCs w:val="20"/>
                <w:color w:val="auto"/>
              </w:rPr>
            </w:pPr>
            <w:r>
              <w:rPr>
                <w:rFonts w:ascii="Arial" w:cs="Arial" w:eastAsia="Arial" w:hAnsi="Arial"/>
                <w:sz w:val="16"/>
                <w:szCs w:val="16"/>
                <w:color w:val="0000EE"/>
              </w:rPr>
              <w:t>64</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6420" w:type="dxa"/>
            <w:vAlign w:val="bottom"/>
            <w:gridSpan w:val="18"/>
          </w:tcPr>
          <w:p>
            <w:pPr>
              <w:spacing w:after="0"/>
              <w:rPr>
                <w:sz w:val="20"/>
                <w:szCs w:val="20"/>
                <w:color w:val="auto"/>
              </w:rPr>
            </w:pPr>
            <w:r>
              <w:rPr>
                <w:rFonts w:ascii="Arial" w:cs="Arial" w:eastAsia="Arial" w:hAnsi="Arial"/>
                <w:sz w:val="16"/>
                <w:szCs w:val="16"/>
                <w:color w:val="0000EE"/>
              </w:rPr>
              <w:t>Security Ownership of Certain Beneficial Owners, Directors and Executive Officers</w:t>
            </w:r>
          </w:p>
        </w:tc>
        <w:tc>
          <w:tcPr>
            <w:tcW w:w="2160" w:type="dxa"/>
            <w:vAlign w:val="bottom"/>
            <w:gridSpan w:val="3"/>
          </w:tcPr>
          <w:p>
            <w:pPr>
              <w:jc w:val="center"/>
              <w:ind w:left="1899"/>
              <w:spacing w:after="0"/>
              <w:rPr>
                <w:sz w:val="20"/>
                <w:szCs w:val="20"/>
                <w:color w:val="auto"/>
              </w:rPr>
            </w:pPr>
            <w:r>
              <w:rPr>
                <w:rFonts w:ascii="Arial" w:cs="Arial" w:eastAsia="Arial" w:hAnsi="Arial"/>
                <w:sz w:val="16"/>
                <w:szCs w:val="16"/>
                <w:color w:val="0000EE"/>
              </w:rPr>
              <w:t>65</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5860" w:type="dxa"/>
            <w:vAlign w:val="bottom"/>
            <w:gridSpan w:val="17"/>
          </w:tcPr>
          <w:p>
            <w:pPr>
              <w:spacing w:after="0"/>
              <w:rPr>
                <w:sz w:val="20"/>
                <w:szCs w:val="20"/>
                <w:color w:val="auto"/>
              </w:rPr>
            </w:pPr>
            <w:r>
              <w:rPr>
                <w:rFonts w:ascii="Arial" w:cs="Arial" w:eastAsia="Arial" w:hAnsi="Arial"/>
                <w:sz w:val="16"/>
                <w:szCs w:val="16"/>
                <w:color w:val="0000EE"/>
              </w:rPr>
              <w:t>Certain Relationships and Related Party Transactions</w:t>
            </w:r>
          </w:p>
        </w:tc>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EE"/>
                <w:w w:val="71"/>
              </w:rPr>
              <w:t>67</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2180" w:type="dxa"/>
            <w:vAlign w:val="bottom"/>
            <w:gridSpan w:val="8"/>
          </w:tcPr>
          <w:p>
            <w:pPr>
              <w:spacing w:after="0"/>
              <w:rPr>
                <w:sz w:val="20"/>
                <w:szCs w:val="20"/>
                <w:color w:val="auto"/>
              </w:rPr>
            </w:pPr>
            <w:r>
              <w:rPr>
                <w:rFonts w:ascii="Arial" w:cs="Arial" w:eastAsia="Arial" w:hAnsi="Arial"/>
                <w:sz w:val="16"/>
                <w:szCs w:val="16"/>
                <w:color w:val="0000EE"/>
                <w:w w:val="99"/>
              </w:rPr>
              <w:t>Additional Meeting Information</w:t>
            </w:r>
          </w:p>
        </w:tc>
        <w:tc>
          <w:tcPr>
            <w:tcW w:w="1640" w:type="dxa"/>
            <w:vAlign w:val="bottom"/>
            <w:gridSpan w:val="6"/>
          </w:tcPr>
          <w:p>
            <w:pPr>
              <w:spacing w:after="0"/>
              <w:rPr>
                <w:sz w:val="24"/>
                <w:szCs w:val="24"/>
                <w:color w:val="auto"/>
              </w:rPr>
            </w:pPr>
          </w:p>
        </w:tc>
        <w:tc>
          <w:tcPr>
            <w:tcW w:w="2600" w:type="dxa"/>
            <w:vAlign w:val="bottom"/>
            <w:gridSpan w:val="4"/>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EE"/>
                <w:w w:val="71"/>
              </w:rPr>
              <w:t>68</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2180" w:type="dxa"/>
            <w:vAlign w:val="bottom"/>
            <w:gridSpan w:val="8"/>
          </w:tcPr>
          <w:p>
            <w:pPr>
              <w:spacing w:after="0"/>
              <w:rPr>
                <w:sz w:val="20"/>
                <w:szCs w:val="20"/>
                <w:color w:val="auto"/>
              </w:rPr>
            </w:pPr>
            <w:r>
              <w:rPr>
                <w:rFonts w:ascii="Arial" w:cs="Arial" w:eastAsia="Arial" w:hAnsi="Arial"/>
                <w:sz w:val="16"/>
                <w:szCs w:val="16"/>
                <w:color w:val="0000EE"/>
              </w:rPr>
              <w:t>Other Matters</w:t>
            </w:r>
          </w:p>
        </w:tc>
        <w:tc>
          <w:tcPr>
            <w:tcW w:w="4240" w:type="dxa"/>
            <w:vAlign w:val="bottom"/>
            <w:gridSpan w:val="10"/>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gridSpan w:val="2"/>
          </w:tcPr>
          <w:p>
            <w:pPr>
              <w:jc w:val="center"/>
              <w:spacing w:after="0"/>
              <w:rPr>
                <w:sz w:val="20"/>
                <w:szCs w:val="20"/>
                <w:color w:val="auto"/>
              </w:rPr>
            </w:pPr>
            <w:r>
              <w:rPr>
                <w:rFonts w:ascii="Arial" w:cs="Arial" w:eastAsia="Arial" w:hAnsi="Arial"/>
                <w:sz w:val="15"/>
                <w:szCs w:val="15"/>
                <w:color w:val="0000EE"/>
                <w:w w:val="71"/>
              </w:rPr>
              <w:t>72</w:t>
            </w:r>
          </w:p>
        </w:tc>
        <w:tc>
          <w:tcPr>
            <w:tcW w:w="10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3480" w:type="dxa"/>
            <w:vAlign w:val="bottom"/>
            <w:gridSpan w:val="14"/>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0"/>
        </w:trPr>
        <w:tc>
          <w:tcPr>
            <w:tcW w:w="6420" w:type="dxa"/>
            <w:vAlign w:val="bottom"/>
            <w:gridSpan w:val="18"/>
          </w:tcPr>
          <w:p>
            <w:pPr>
              <w:spacing w:after="0"/>
              <w:rPr>
                <w:sz w:val="20"/>
                <w:szCs w:val="20"/>
                <w:color w:val="auto"/>
              </w:rPr>
            </w:pPr>
            <w:r>
              <w:rPr>
                <w:rFonts w:ascii="Arial" w:cs="Arial" w:eastAsia="Arial" w:hAnsi="Arial"/>
                <w:sz w:val="16"/>
                <w:szCs w:val="16"/>
                <w:color w:val="0000EE"/>
              </w:rPr>
              <w:t>Appendix A – Reconciliation of Non-GAAP Financial Measures</w:t>
            </w:r>
          </w:p>
        </w:tc>
        <w:tc>
          <w:tcPr>
            <w:tcW w:w="2040" w:type="dxa"/>
            <w:vAlign w:val="bottom"/>
          </w:tcPr>
          <w:p>
            <w:pPr>
              <w:spacing w:after="0"/>
              <w:rPr>
                <w:sz w:val="24"/>
                <w:szCs w:val="24"/>
                <w:color w:val="auto"/>
              </w:rPr>
            </w:pPr>
          </w:p>
        </w:tc>
        <w:tc>
          <w:tcPr>
            <w:tcW w:w="220" w:type="dxa"/>
            <w:vAlign w:val="bottom"/>
            <w:gridSpan w:val="3"/>
          </w:tcPr>
          <w:p>
            <w:pPr>
              <w:jc w:val="center"/>
              <w:ind w:right="60"/>
              <w:spacing w:after="0"/>
              <w:rPr>
                <w:sz w:val="20"/>
                <w:szCs w:val="20"/>
                <w:color w:val="auto"/>
              </w:rPr>
            </w:pPr>
            <w:r>
              <w:rPr>
                <w:rFonts w:ascii="Arial" w:cs="Arial" w:eastAsia="Arial" w:hAnsi="Arial"/>
                <w:sz w:val="14"/>
                <w:szCs w:val="14"/>
                <w:color w:val="0000EE"/>
                <w:w w:val="73"/>
              </w:rPr>
              <w:t>A-1</w:t>
            </w:r>
          </w:p>
        </w:tc>
      </w:tr>
      <w:tr>
        <w:trPr>
          <w:trHeight w:val="20"/>
        </w:trPr>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280" w:right="159"/>
        <w:spacing w:after="0" w:line="329" w:lineRule="auto"/>
        <w:rPr>
          <w:sz w:val="20"/>
          <w:szCs w:val="20"/>
          <w:color w:val="auto"/>
        </w:rPr>
      </w:pPr>
      <w:r>
        <w:rPr>
          <w:rFonts w:ascii="Arial" w:cs="Arial" w:eastAsia="Arial" w:hAnsi="Arial"/>
          <w:sz w:val="16"/>
          <w:szCs w:val="16"/>
          <w:color w:val="262626"/>
        </w:rPr>
        <w:t>This proxy statement contains forward-looking statements, including statements that address our expected future business and financial performance, and other statements identified by words such as “will,” “expect,” “believe,” “anticipate,” “estimate,” “should,” “intend,” “plan,” “potential,” “predict,” “project,” “aim” and similar words, phrases or expressions. These forward-looking statements are based on current expectations and projections, and involve risks and uncertainties that may cause actual results to differ materially from those contained in such forward-looking statements. These forward-looking statements should be considered in light of the uncertainties that affect our business under the heading “Risk Factors” in our Annual Report on Form 10-K for the fiscal year ended November 2, 2025 and subsequent filings filed with the Securities and Exchange Commission. We caution readers not to place undue reliance on any forward-looking statements included in this proxy statement, which speak only as of the date of this proxy statement. We undertake no responsibility to update these statements, except as required by law.</w:t>
      </w:r>
    </w:p>
    <w:p>
      <w:pPr>
        <w:spacing w:after="0" w:line="92" w:lineRule="exact"/>
        <w:rPr>
          <w:sz w:val="20"/>
          <w:szCs w:val="20"/>
          <w:color w:val="auto"/>
        </w:rPr>
      </w:pPr>
    </w:p>
    <w:p>
      <w:pPr>
        <w:jc w:val="right"/>
        <w:ind w:right="159"/>
        <w:spacing w:after="0"/>
        <w:rPr>
          <w:sz w:val="20"/>
          <w:szCs w:val="20"/>
          <w:color w:val="auto"/>
        </w:rPr>
      </w:pPr>
      <w:r>
        <w:rPr>
          <w:rFonts w:ascii="Arial" w:cs="Arial" w:eastAsia="Arial" w:hAnsi="Arial"/>
          <w:sz w:val="15"/>
          <w:szCs w:val="15"/>
          <w:color w:val="262626"/>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2780"/>
        <w:spacing w:after="0"/>
        <w:rPr>
          <w:sz w:val="20"/>
          <w:szCs w:val="20"/>
          <w:color w:val="auto"/>
        </w:rPr>
      </w:pPr>
      <w:r>
        <w:rPr>
          <w:rFonts w:ascii="Arial" w:cs="Arial" w:eastAsia="Arial" w:hAnsi="Arial"/>
          <w:sz w:val="25"/>
          <w:szCs w:val="25"/>
          <w:color w:val="CF0A2C"/>
        </w:rPr>
        <w:t>LETTER FROM THE CHAIRMAN OF THE BOARD</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Dear Broadcom stockholders:</w:t>
      </w:r>
    </w:p>
    <w:p>
      <w:pPr>
        <w:spacing w:after="0" w:line="272" w:lineRule="exact"/>
        <w:rPr>
          <w:sz w:val="20"/>
          <w:szCs w:val="20"/>
          <w:color w:val="auto"/>
        </w:rPr>
      </w:pPr>
    </w:p>
    <w:p>
      <w:pPr>
        <w:jc w:val="both"/>
        <w:ind w:left="1280" w:right="159"/>
        <w:spacing w:after="0" w:line="371" w:lineRule="auto"/>
        <w:rPr>
          <w:sz w:val="20"/>
          <w:szCs w:val="20"/>
          <w:color w:val="auto"/>
        </w:rPr>
      </w:pPr>
      <w:r>
        <w:rPr>
          <w:rFonts w:ascii="Arial" w:cs="Arial" w:eastAsia="Arial" w:hAnsi="Arial"/>
          <w:sz w:val="16"/>
          <w:szCs w:val="16"/>
          <w:color w:val="262626"/>
        </w:rPr>
        <w:t>On behalf of the Board, I want to thank you for your continued commitment to Broadcom. I also want to provide you with several updates in connection with the upcoming Annual Meeting. </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Financial Performance</w:t>
      </w:r>
    </w:p>
    <w:p>
      <w:pPr>
        <w:spacing w:after="0" w:line="242" w:lineRule="exact"/>
        <w:rPr>
          <w:sz w:val="20"/>
          <w:szCs w:val="20"/>
          <w:color w:val="auto"/>
        </w:rPr>
      </w:pPr>
    </w:p>
    <w:p>
      <w:pPr>
        <w:jc w:val="both"/>
        <w:ind w:left="1280" w:right="159"/>
        <w:spacing w:after="0" w:line="353" w:lineRule="auto"/>
        <w:rPr>
          <w:sz w:val="20"/>
          <w:szCs w:val="20"/>
          <w:color w:val="auto"/>
        </w:rPr>
      </w:pPr>
      <w:r>
        <w:rPr>
          <w:rFonts w:ascii="Arial" w:cs="Arial" w:eastAsia="Arial" w:hAnsi="Arial"/>
          <w:sz w:val="16"/>
          <w:szCs w:val="16"/>
          <w:color w:val="262626"/>
        </w:rPr>
        <w:t>Fiscal 2025 was another strong year for Broadcom. Broadcom achieved record revenue of $63.9 billion, record cash from operations of $27.5 billion and record free cash flow of $26.9 billion.</w:t>
      </w:r>
    </w:p>
    <w:p>
      <w:pPr>
        <w:spacing w:after="0" w:line="170"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The momentum for our AI semiconductor solutions continued in fiscal 2025 due to the unprecedented demand for compute and AI infrastructure. AI semiconductor revenue in fiscal 2025 grew 65% year-over-year to $20.2 billion and drove our semiconductor revenue to $36.9 billion. We also released VMware Cloud Foundation 9.0 in June 2025, which drove our infrastructure software revenue to $27.0 billion in fiscal 2025.</w:t>
      </w:r>
    </w:p>
    <w:p>
      <w:pPr>
        <w:spacing w:after="0" w:line="168"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Our record achievements in fiscal 2025 are a testament to the steadfast leadership of our executives and their laser-focused execution of our existing and new business models and strategies.</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Board Composition</w:t>
      </w:r>
    </w:p>
    <w:p>
      <w:pPr>
        <w:spacing w:after="0" w:line="242"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My fellow Board members and I would like to thank Eddy Hartenstein for his invaluable contribution to Broadcom and the Board since joining the Board after the acquisition of Broadcom Corporation in February 2016. After ten years of dedicated service on the Board, including eight years as Lead Independent Director, Mr. Hartenstein will retire from the Board upon the conclusion of his term at the upcoming Annual Meeting.</w:t>
      </w:r>
    </w:p>
    <w:p>
      <w:pPr>
        <w:spacing w:after="0" w:line="134"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Continued Leadership</w:t>
      </w:r>
    </w:p>
    <w:p>
      <w:pPr>
        <w:spacing w:after="0" w:line="242" w:lineRule="exact"/>
        <w:rPr>
          <w:sz w:val="20"/>
          <w:szCs w:val="20"/>
          <w:color w:val="auto"/>
        </w:rPr>
      </w:pPr>
    </w:p>
    <w:p>
      <w:pPr>
        <w:jc w:val="both"/>
        <w:ind w:left="1280" w:right="179"/>
        <w:spacing w:after="0" w:line="337" w:lineRule="auto"/>
        <w:rPr>
          <w:sz w:val="20"/>
          <w:szCs w:val="20"/>
          <w:color w:val="auto"/>
        </w:rPr>
      </w:pPr>
      <w:r>
        <w:rPr>
          <w:rFonts w:ascii="Arial" w:cs="Arial" w:eastAsia="Arial" w:hAnsi="Arial"/>
          <w:sz w:val="16"/>
          <w:szCs w:val="16"/>
          <w:color w:val="262626"/>
        </w:rPr>
        <w:t>The technology industry is undergoing a profound transformation due to AI and our stockholders have expressed their support in securing the continued leadership of Broadcom President and CEO Hock Tan through this transformation. After careful consideration, the Board granted Mr. Tan a PSU award in September 2025 to extend his leadership of Broadcom through fiscal 2030. More information about Mr. Tan’s new PSU award, as well as his post-vesting holding requirement, is provided below in “</w:t>
      </w:r>
      <w:r>
        <w:rPr>
          <w:rFonts w:ascii="Arial" w:cs="Arial" w:eastAsia="Arial" w:hAnsi="Arial"/>
          <w:sz w:val="16"/>
          <w:szCs w:val="16"/>
          <w:i w:val="1"/>
          <w:iCs w:val="1"/>
          <w:color w:val="262626"/>
        </w:rPr>
        <w:t>Compensation Discussion and Analysis</w:t>
      </w:r>
      <w:r>
        <w:rPr>
          <w:rFonts w:ascii="Arial" w:cs="Arial" w:eastAsia="Arial" w:hAnsi="Arial"/>
          <w:sz w:val="16"/>
          <w:szCs w:val="16"/>
          <w:color w:val="262626"/>
        </w:rPr>
        <w:t>.”</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Succession Planning</w:t>
      </w:r>
    </w:p>
    <w:p>
      <w:pPr>
        <w:spacing w:after="0" w:line="242"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The Board continues to focus on and be actively engaged in CEO succession planning. We have provided below more information about the Board’s approach to CEO succession planning in “</w:t>
      </w:r>
      <w:r>
        <w:rPr>
          <w:rFonts w:ascii="Arial" w:cs="Arial" w:eastAsia="Arial" w:hAnsi="Arial"/>
          <w:sz w:val="16"/>
          <w:szCs w:val="16"/>
          <w:i w:val="1"/>
          <w:iCs w:val="1"/>
          <w:color w:val="262626"/>
        </w:rPr>
        <w:t>Corporate Governance</w:t>
      </w:r>
      <w:r>
        <w:rPr>
          <w:rFonts w:ascii="Arial" w:cs="Arial" w:eastAsia="Arial" w:hAnsi="Arial"/>
          <w:sz w:val="16"/>
          <w:szCs w:val="16"/>
          <w:color w:val="262626"/>
        </w:rPr>
        <w:t>.”</w:t>
      </w:r>
    </w:p>
    <w:p>
      <w:pPr>
        <w:spacing w:after="0" w:line="135"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Stockholder Engagement and Responsiveness</w:t>
      </w:r>
    </w:p>
    <w:p>
      <w:pPr>
        <w:spacing w:after="0" w:line="242"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We continued our robust stockholder engagement program in 2025 and met with our stockholders prior to the 2025 annual meeting and after granting Mr. Tan the new PSU award. More information about our engagement with our stockholders and our responsiveness to their concerns is provided below in “</w:t>
      </w:r>
      <w:r>
        <w:rPr>
          <w:rFonts w:ascii="Arial" w:cs="Arial" w:eastAsia="Arial" w:hAnsi="Arial"/>
          <w:sz w:val="16"/>
          <w:szCs w:val="16"/>
          <w:i w:val="1"/>
          <w:iCs w:val="1"/>
          <w:color w:val="262626"/>
        </w:rPr>
        <w:t>Corporate Governanc</w:t>
      </w:r>
      <w:r>
        <w:rPr>
          <w:rFonts w:ascii="Arial" w:cs="Arial" w:eastAsia="Arial" w:hAnsi="Arial"/>
          <w:sz w:val="16"/>
          <w:szCs w:val="16"/>
          <w:color w:val="262626"/>
        </w:rPr>
        <w:t>e” and “</w:t>
      </w:r>
      <w:r>
        <w:rPr>
          <w:rFonts w:ascii="Arial" w:cs="Arial" w:eastAsia="Arial" w:hAnsi="Arial"/>
          <w:sz w:val="16"/>
          <w:szCs w:val="16"/>
          <w:i w:val="1"/>
          <w:iCs w:val="1"/>
          <w:color w:val="262626"/>
        </w:rPr>
        <w:t>Compensation</w:t>
      </w:r>
      <w:r>
        <w:rPr>
          <w:rFonts w:ascii="Arial" w:cs="Arial" w:eastAsia="Arial" w:hAnsi="Arial"/>
          <w:sz w:val="16"/>
          <w:szCs w:val="16"/>
          <w:color w:val="262626"/>
        </w:rPr>
        <w:t xml:space="preserve"> </w:t>
      </w:r>
      <w:r>
        <w:rPr>
          <w:rFonts w:ascii="Arial" w:cs="Arial" w:eastAsia="Arial" w:hAnsi="Arial"/>
          <w:sz w:val="16"/>
          <w:szCs w:val="16"/>
          <w:i w:val="1"/>
          <w:iCs w:val="1"/>
          <w:color w:val="262626"/>
        </w:rPr>
        <w:t>Discussion and Analysis</w:t>
      </w:r>
      <w:r>
        <w:rPr>
          <w:rFonts w:ascii="Arial" w:cs="Arial" w:eastAsia="Arial" w:hAnsi="Arial"/>
          <w:sz w:val="16"/>
          <w:szCs w:val="16"/>
          <w:color w:val="262626"/>
        </w:rPr>
        <w:t>.”</w:t>
      </w:r>
    </w:p>
    <w:p>
      <w:pPr>
        <w:spacing w:after="0" w:line="182"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Your continued support and vote are important to us. We encourage you to read this Proxy Statement and vote your shares.</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224790</wp:posOffset>
            </wp:positionV>
            <wp:extent cx="1423035" cy="221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Henry Samueli, Ph.D.</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Chairman of the Board</w:t>
      </w:r>
    </w:p>
    <w:p>
      <w:pPr>
        <w:sectPr>
          <w:pgSz w:w="11900" w:h="16838" w:orient="portrait"/>
          <w:cols w:equalWidth="0" w:num="1">
            <w:col w:w="10139"/>
          </w:cols>
          <w:pgMar w:left="320" w:top="480" w:right="1440" w:bottom="1440" w:gutter="0" w:footer="0" w:header="0"/>
        </w:sectPr>
      </w:pPr>
    </w:p>
    <w:p>
      <w:pPr>
        <w:spacing w:after="0" w:line="175" w:lineRule="exact"/>
        <w:rPr>
          <w:sz w:val="20"/>
          <w:szCs w:val="20"/>
          <w:color w:val="auto"/>
        </w:rPr>
      </w:pPr>
    </w:p>
    <w:p>
      <w:pPr>
        <w:ind w:left="9880"/>
        <w:spacing w:after="0"/>
        <w:rPr>
          <w:sz w:val="20"/>
          <w:szCs w:val="20"/>
          <w:color w:val="auto"/>
        </w:rPr>
      </w:pPr>
      <w:r>
        <w:rPr>
          <w:rFonts w:ascii="Arial" w:cs="Arial" w:eastAsia="Arial" w:hAnsi="Arial"/>
          <w:sz w:val="15"/>
          <w:szCs w:val="15"/>
          <w:color w:val="26262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25"/>
          <w:szCs w:val="25"/>
          <w:color w:val="CF0A2C"/>
        </w:rPr>
        <w:t>PROXY STATEMENT SUMMARY</w:t>
      </w:r>
    </w:p>
    <w:p>
      <w:pPr>
        <w:spacing w:after="0" w:line="258"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Your proxy is being solicited by the Board of Directors of Broadcom Inc. (the “Board”) in connection with the 2026 Annual Meeting of Stockholders (the “Annual Meeting”). We are making the Notice of Internet Availability of Proxy Materials (the “Internet Notice”), this proxy statement (the “Proxy Statement”) with the proxy card and our Annual Report on Form 10-K for the fiscal year ended November 2, 2025 (the “2025 Annual Report”) available to stockholders at the close of business on February 24, 2026 (the “Record Date”) on or about March 2, 2026.</w:t>
      </w:r>
    </w:p>
    <w:p>
      <w:pPr>
        <w:spacing w:after="0" w:line="186"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This summary highlights information contained elsewhere in this Proxy Statement. We encourage you to review the entire Proxy Statement before voting.</w:t>
      </w:r>
    </w:p>
    <w:p>
      <w:pPr>
        <w:spacing w:after="0" w:line="170"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Unless the context otherwise requires, references in this Proxy Statement to “Broadcom,” “we,” “our,” “us” and similar terms are to Broadcom Inc.</w:t>
      </w:r>
    </w:p>
    <w:p>
      <w:pPr>
        <w:spacing w:after="0" w:line="33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PROPOSALS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127635</wp:posOffset>
            </wp:positionV>
            <wp:extent cx="5522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61"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5980" w:type="dxa"/>
            <w:vAlign w:val="bottom"/>
            <w:gridSpan w:val="2"/>
          </w:tcPr>
          <w:p>
            <w:pPr>
              <w:spacing w:after="0"/>
              <w:rPr>
                <w:sz w:val="20"/>
                <w:szCs w:val="20"/>
                <w:color w:val="auto"/>
              </w:rPr>
            </w:pPr>
            <w:r>
              <w:rPr>
                <w:rFonts w:ascii="Arial" w:cs="Arial" w:eastAsia="Arial" w:hAnsi="Arial"/>
                <w:sz w:val="16"/>
                <w:szCs w:val="16"/>
                <w:b w:val="1"/>
                <w:bCs w:val="1"/>
                <w:color w:val="262626"/>
              </w:rPr>
              <w:t>Proposal</w:t>
            </w:r>
          </w:p>
        </w:tc>
        <w:tc>
          <w:tcPr>
            <w:tcW w:w="2100" w:type="dxa"/>
            <w:vAlign w:val="bottom"/>
          </w:tcPr>
          <w:p>
            <w:pPr>
              <w:jc w:val="center"/>
              <w:ind w:left="79"/>
              <w:spacing w:after="0"/>
              <w:rPr>
                <w:sz w:val="20"/>
                <w:szCs w:val="20"/>
                <w:color w:val="auto"/>
              </w:rPr>
            </w:pPr>
            <w:r>
              <w:rPr>
                <w:rFonts w:ascii="Arial" w:cs="Arial" w:eastAsia="Arial" w:hAnsi="Arial"/>
                <w:sz w:val="16"/>
                <w:szCs w:val="16"/>
                <w:b w:val="1"/>
                <w:bCs w:val="1"/>
                <w:color w:val="262626"/>
              </w:rPr>
              <w:t>Board Recommendation</w:t>
            </w:r>
          </w:p>
        </w:tc>
        <w:tc>
          <w:tcPr>
            <w:tcW w:w="6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262626"/>
                <w:w w:val="98"/>
              </w:rPr>
              <w:t>  Page</w:t>
            </w:r>
          </w:p>
        </w:tc>
      </w:tr>
      <w:tr>
        <w:trPr>
          <w:trHeight w:val="74"/>
        </w:trPr>
        <w:tc>
          <w:tcPr>
            <w:tcW w:w="220" w:type="dxa"/>
            <w:vAlign w:val="bottom"/>
            <w:tcBorders>
              <w:bottom w:val="single" w:sz="8" w:color="CF0A2C"/>
            </w:tcBorders>
          </w:tcPr>
          <w:p>
            <w:pPr>
              <w:spacing w:after="0"/>
              <w:rPr>
                <w:sz w:val="6"/>
                <w:szCs w:val="6"/>
                <w:color w:val="auto"/>
              </w:rPr>
            </w:pPr>
          </w:p>
        </w:tc>
        <w:tc>
          <w:tcPr>
            <w:tcW w:w="5760" w:type="dxa"/>
            <w:vAlign w:val="bottom"/>
            <w:tcBorders>
              <w:bottom w:val="single" w:sz="8" w:color="CF0A2C"/>
            </w:tcBorders>
          </w:tcPr>
          <w:p>
            <w:pPr>
              <w:spacing w:after="0"/>
              <w:rPr>
                <w:sz w:val="6"/>
                <w:szCs w:val="6"/>
                <w:color w:val="auto"/>
              </w:rPr>
            </w:pPr>
          </w:p>
        </w:tc>
        <w:tc>
          <w:tcPr>
            <w:tcW w:w="2100" w:type="dxa"/>
            <w:vAlign w:val="bottom"/>
            <w:tcBorders>
              <w:bottom w:val="single" w:sz="8" w:color="CF0A2C"/>
            </w:tcBorders>
          </w:tcPr>
          <w:p>
            <w:pPr>
              <w:spacing w:after="0"/>
              <w:rPr>
                <w:sz w:val="6"/>
                <w:szCs w:val="6"/>
                <w:color w:val="auto"/>
              </w:rPr>
            </w:pPr>
          </w:p>
        </w:tc>
        <w:tc>
          <w:tcPr>
            <w:tcW w:w="240" w:type="dxa"/>
            <w:vAlign w:val="bottom"/>
            <w:tcBorders>
              <w:bottom w:val="single" w:sz="8" w:color="CF0A2C"/>
            </w:tcBorders>
          </w:tcPr>
          <w:p>
            <w:pPr>
              <w:spacing w:after="0"/>
              <w:rPr>
                <w:sz w:val="6"/>
                <w:szCs w:val="6"/>
                <w:color w:val="auto"/>
              </w:rPr>
            </w:pPr>
          </w:p>
        </w:tc>
        <w:tc>
          <w:tcPr>
            <w:tcW w:w="180" w:type="dxa"/>
            <w:vAlign w:val="bottom"/>
            <w:tcBorders>
              <w:bottom w:val="single" w:sz="8" w:color="CF0A2C"/>
            </w:tcBorders>
          </w:tcPr>
          <w:p>
            <w:pPr>
              <w:spacing w:after="0"/>
              <w:rPr>
                <w:sz w:val="6"/>
                <w:szCs w:val="6"/>
                <w:color w:val="auto"/>
              </w:rPr>
            </w:pPr>
          </w:p>
        </w:tc>
        <w:tc>
          <w:tcPr>
            <w:tcW w:w="200" w:type="dxa"/>
            <w:vAlign w:val="bottom"/>
            <w:tcBorders>
              <w:bottom w:val="single" w:sz="8" w:color="CF0A2C"/>
            </w:tcBorders>
          </w:tcPr>
          <w:p>
            <w:pPr>
              <w:spacing w:after="0"/>
              <w:rPr>
                <w:sz w:val="6"/>
                <w:szCs w:val="6"/>
                <w:color w:val="auto"/>
              </w:rPr>
            </w:pPr>
          </w:p>
        </w:tc>
      </w:tr>
      <w:tr>
        <w:trPr>
          <w:trHeight w:val="235"/>
        </w:trPr>
        <w:tc>
          <w:tcPr>
            <w:tcW w:w="220" w:type="dxa"/>
            <w:vAlign w:val="bottom"/>
          </w:tcPr>
          <w:p>
            <w:pPr>
              <w:spacing w:after="0"/>
              <w:rPr>
                <w:sz w:val="20"/>
                <w:szCs w:val="20"/>
                <w:color w:val="auto"/>
              </w:rPr>
            </w:pPr>
            <w:r>
              <w:rPr>
                <w:rFonts w:ascii="Arial" w:cs="Arial" w:eastAsia="Arial" w:hAnsi="Arial"/>
                <w:sz w:val="16"/>
                <w:szCs w:val="16"/>
                <w:color w:val="262626"/>
              </w:rPr>
              <w:t>1.</w:t>
            </w:r>
          </w:p>
        </w:tc>
        <w:tc>
          <w:tcPr>
            <w:tcW w:w="5760" w:type="dxa"/>
            <w:vAlign w:val="bottom"/>
          </w:tcPr>
          <w:p>
            <w:pPr>
              <w:ind w:left="100"/>
              <w:spacing w:after="0"/>
              <w:rPr>
                <w:sz w:val="20"/>
                <w:szCs w:val="20"/>
                <w:color w:val="auto"/>
              </w:rPr>
            </w:pPr>
            <w:r>
              <w:rPr>
                <w:rFonts w:ascii="Arial" w:cs="Arial" w:eastAsia="Arial" w:hAnsi="Arial"/>
                <w:sz w:val="16"/>
                <w:szCs w:val="16"/>
                <w:color w:val="262626"/>
              </w:rPr>
              <w:t>To elect each of the eight director nominees until the next annual meeting of</w:t>
            </w:r>
          </w:p>
        </w:tc>
        <w:tc>
          <w:tcPr>
            <w:tcW w:w="2100" w:type="dxa"/>
            <w:vAlign w:val="bottom"/>
          </w:tcPr>
          <w:p>
            <w:pPr>
              <w:jc w:val="center"/>
              <w:ind w:left="79"/>
              <w:spacing w:after="0"/>
              <w:rPr>
                <w:sz w:val="20"/>
                <w:szCs w:val="20"/>
                <w:color w:val="auto"/>
              </w:rPr>
            </w:pPr>
            <w:r>
              <w:rPr>
                <w:rFonts w:ascii="Arial" w:cs="Arial" w:eastAsia="Arial" w:hAnsi="Arial"/>
                <w:sz w:val="16"/>
                <w:szCs w:val="16"/>
                <w:b w:val="1"/>
                <w:bCs w:val="1"/>
                <w:color w:val="CF0A2C"/>
              </w:rPr>
              <w:t>FOR</w:t>
            </w:r>
          </w:p>
        </w:tc>
        <w:tc>
          <w:tcPr>
            <w:tcW w:w="620" w:type="dxa"/>
            <w:vAlign w:val="bottom"/>
            <w:gridSpan w:val="3"/>
          </w:tcPr>
          <w:p>
            <w:pPr>
              <w:jc w:val="right"/>
              <w:ind w:right="200"/>
              <w:spacing w:after="0"/>
              <w:rPr>
                <w:sz w:val="20"/>
                <w:szCs w:val="20"/>
                <w:color w:val="auto"/>
              </w:rPr>
            </w:pPr>
            <w:r>
              <w:rPr>
                <w:rFonts w:ascii="Arial" w:cs="Arial" w:eastAsia="Arial" w:hAnsi="Arial"/>
                <w:sz w:val="16"/>
                <w:szCs w:val="16"/>
                <w:color w:val="0000EE"/>
              </w:rPr>
              <w:t>18</w:t>
            </w:r>
          </w:p>
        </w:tc>
      </w:tr>
      <w:tr>
        <w:trPr>
          <w:trHeight w:val="268"/>
        </w:trPr>
        <w:tc>
          <w:tcPr>
            <w:tcW w:w="220" w:type="dxa"/>
            <w:vAlign w:val="bottom"/>
          </w:tcPr>
          <w:p>
            <w:pPr>
              <w:spacing w:after="0"/>
              <w:rPr>
                <w:sz w:val="23"/>
                <w:szCs w:val="23"/>
                <w:color w:val="auto"/>
              </w:rPr>
            </w:pPr>
          </w:p>
        </w:tc>
        <w:tc>
          <w:tcPr>
            <w:tcW w:w="5760" w:type="dxa"/>
            <w:vAlign w:val="bottom"/>
          </w:tcPr>
          <w:p>
            <w:pPr>
              <w:ind w:left="100"/>
              <w:spacing w:after="0"/>
              <w:rPr>
                <w:sz w:val="20"/>
                <w:szCs w:val="20"/>
                <w:color w:val="auto"/>
              </w:rPr>
            </w:pPr>
            <w:r>
              <w:rPr>
                <w:rFonts w:ascii="Arial" w:cs="Arial" w:eastAsia="Arial" w:hAnsi="Arial"/>
                <w:sz w:val="16"/>
                <w:szCs w:val="16"/>
                <w:color w:val="262626"/>
              </w:rPr>
              <w:t>stockholders or until their successors have been elected</w:t>
            </w:r>
          </w:p>
        </w:tc>
        <w:tc>
          <w:tcPr>
            <w:tcW w:w="2100" w:type="dxa"/>
            <w:vAlign w:val="bottom"/>
          </w:tcPr>
          <w:p>
            <w:pPr>
              <w:jc w:val="center"/>
              <w:ind w:left="59"/>
              <w:spacing w:after="0"/>
              <w:rPr>
                <w:sz w:val="20"/>
                <w:szCs w:val="20"/>
                <w:color w:val="auto"/>
              </w:rPr>
            </w:pPr>
            <w:r>
              <w:rPr>
                <w:rFonts w:ascii="Arial" w:cs="Arial" w:eastAsia="Arial" w:hAnsi="Arial"/>
                <w:sz w:val="16"/>
                <w:szCs w:val="16"/>
                <w:b w:val="1"/>
                <w:bCs w:val="1"/>
                <w:color w:val="CF0A2C"/>
              </w:rPr>
              <w:t>each director nominee</w:t>
            </w:r>
          </w:p>
        </w:tc>
        <w:tc>
          <w:tcPr>
            <w:tcW w:w="240" w:type="dxa"/>
            <w:vAlign w:val="bottom"/>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0" w:type="dxa"/>
            <w:vAlign w:val="bottom"/>
          </w:tcPr>
          <w:p>
            <w:pPr>
              <w:spacing w:after="0"/>
              <w:rPr>
                <w:sz w:val="23"/>
                <w:szCs w:val="23"/>
                <w:color w:val="auto"/>
              </w:rPr>
            </w:pPr>
          </w:p>
        </w:tc>
      </w:tr>
      <w:tr>
        <w:trPr>
          <w:trHeight w:val="276"/>
        </w:trPr>
        <w:tc>
          <w:tcPr>
            <w:tcW w:w="220" w:type="dxa"/>
            <w:vAlign w:val="bottom"/>
            <w:tcBorders>
              <w:bottom w:val="single" w:sz="8" w:color="CF0A2C"/>
            </w:tcBorders>
          </w:tcPr>
          <w:p>
            <w:pPr>
              <w:spacing w:after="0"/>
              <w:rPr>
                <w:sz w:val="23"/>
                <w:szCs w:val="23"/>
                <w:color w:val="auto"/>
              </w:rPr>
            </w:pPr>
          </w:p>
        </w:tc>
        <w:tc>
          <w:tcPr>
            <w:tcW w:w="5760" w:type="dxa"/>
            <w:vAlign w:val="bottom"/>
            <w:tcBorders>
              <w:bottom w:val="single" w:sz="8" w:color="CF0A2C"/>
            </w:tcBorders>
          </w:tcPr>
          <w:p>
            <w:pPr>
              <w:spacing w:after="0"/>
              <w:rPr>
                <w:sz w:val="23"/>
                <w:szCs w:val="23"/>
                <w:color w:val="auto"/>
              </w:rPr>
            </w:pPr>
          </w:p>
        </w:tc>
        <w:tc>
          <w:tcPr>
            <w:tcW w:w="2100" w:type="dxa"/>
            <w:vAlign w:val="bottom"/>
            <w:tcBorders>
              <w:bottom w:val="single" w:sz="8" w:color="CF0A2C"/>
            </w:tcBorders>
          </w:tcPr>
          <w:p>
            <w:pPr>
              <w:spacing w:after="0"/>
              <w:rPr>
                <w:sz w:val="23"/>
                <w:szCs w:val="23"/>
                <w:color w:val="auto"/>
              </w:rPr>
            </w:pPr>
          </w:p>
        </w:tc>
        <w:tc>
          <w:tcPr>
            <w:tcW w:w="240" w:type="dxa"/>
            <w:vAlign w:val="bottom"/>
            <w:tcBorders>
              <w:bottom w:val="single" w:sz="8" w:color="CF0A2C"/>
            </w:tcBorders>
          </w:tcPr>
          <w:p>
            <w:pPr>
              <w:spacing w:after="0"/>
              <w:rPr>
                <w:sz w:val="23"/>
                <w:szCs w:val="23"/>
                <w:color w:val="auto"/>
              </w:rPr>
            </w:pPr>
          </w:p>
        </w:tc>
        <w:tc>
          <w:tcPr>
            <w:tcW w:w="180" w:type="dxa"/>
            <w:vAlign w:val="bottom"/>
            <w:tcBorders>
              <w:bottom w:val="single" w:sz="8" w:color="CF0A2C"/>
            </w:tcBorders>
          </w:tcPr>
          <w:p>
            <w:pPr>
              <w:spacing w:after="0"/>
              <w:rPr>
                <w:sz w:val="23"/>
                <w:szCs w:val="23"/>
                <w:color w:val="auto"/>
              </w:rPr>
            </w:pPr>
          </w:p>
        </w:tc>
        <w:tc>
          <w:tcPr>
            <w:tcW w:w="200" w:type="dxa"/>
            <w:vAlign w:val="bottom"/>
            <w:tcBorders>
              <w:bottom w:val="single" w:sz="8" w:color="CF0A2C"/>
            </w:tcBorders>
          </w:tcPr>
          <w:p>
            <w:pPr>
              <w:spacing w:after="0"/>
              <w:rPr>
                <w:sz w:val="23"/>
                <w:szCs w:val="23"/>
                <w:color w:val="auto"/>
              </w:rPr>
            </w:pPr>
          </w:p>
        </w:tc>
      </w:tr>
      <w:tr>
        <w:trPr>
          <w:trHeight w:val="235"/>
        </w:trPr>
        <w:tc>
          <w:tcPr>
            <w:tcW w:w="220" w:type="dxa"/>
            <w:vAlign w:val="bottom"/>
          </w:tcPr>
          <w:p>
            <w:pPr>
              <w:spacing w:after="0"/>
              <w:rPr>
                <w:sz w:val="20"/>
                <w:szCs w:val="20"/>
                <w:color w:val="auto"/>
              </w:rPr>
            </w:pPr>
            <w:r>
              <w:rPr>
                <w:rFonts w:ascii="Arial" w:cs="Arial" w:eastAsia="Arial" w:hAnsi="Arial"/>
                <w:sz w:val="16"/>
                <w:szCs w:val="16"/>
                <w:color w:val="262626"/>
              </w:rPr>
              <w:t>2.</w:t>
            </w:r>
          </w:p>
        </w:tc>
        <w:tc>
          <w:tcPr>
            <w:tcW w:w="5760" w:type="dxa"/>
            <w:vAlign w:val="bottom"/>
          </w:tcPr>
          <w:p>
            <w:pPr>
              <w:ind w:left="100"/>
              <w:spacing w:after="0"/>
              <w:rPr>
                <w:sz w:val="20"/>
                <w:szCs w:val="20"/>
                <w:color w:val="auto"/>
              </w:rPr>
            </w:pPr>
            <w:r>
              <w:rPr>
                <w:rFonts w:ascii="Arial" w:cs="Arial" w:eastAsia="Arial" w:hAnsi="Arial"/>
                <w:sz w:val="16"/>
                <w:szCs w:val="16"/>
                <w:color w:val="262626"/>
              </w:rPr>
              <w:t>To ratify the appointment of PricewaterhouseCoopers LLP as the</w:t>
            </w:r>
          </w:p>
        </w:tc>
        <w:tc>
          <w:tcPr>
            <w:tcW w:w="2100" w:type="dxa"/>
            <w:vAlign w:val="bottom"/>
          </w:tcPr>
          <w:p>
            <w:pPr>
              <w:jc w:val="center"/>
              <w:ind w:left="79"/>
              <w:spacing w:after="0"/>
              <w:rPr>
                <w:sz w:val="20"/>
                <w:szCs w:val="20"/>
                <w:color w:val="auto"/>
              </w:rPr>
            </w:pPr>
            <w:r>
              <w:rPr>
                <w:rFonts w:ascii="Arial" w:cs="Arial" w:eastAsia="Arial" w:hAnsi="Arial"/>
                <w:sz w:val="16"/>
                <w:szCs w:val="16"/>
                <w:b w:val="1"/>
                <w:bCs w:val="1"/>
                <w:color w:val="CF0A2C"/>
              </w:rPr>
              <w:t>FOR</w:t>
            </w:r>
          </w:p>
        </w:tc>
        <w:tc>
          <w:tcPr>
            <w:tcW w:w="620" w:type="dxa"/>
            <w:vAlign w:val="bottom"/>
            <w:gridSpan w:val="3"/>
          </w:tcPr>
          <w:p>
            <w:pPr>
              <w:jc w:val="right"/>
              <w:ind w:right="200"/>
              <w:spacing w:after="0"/>
              <w:rPr>
                <w:sz w:val="20"/>
                <w:szCs w:val="20"/>
                <w:color w:val="auto"/>
              </w:rPr>
            </w:pPr>
            <w:r>
              <w:rPr>
                <w:rFonts w:ascii="Arial" w:cs="Arial" w:eastAsia="Arial" w:hAnsi="Arial"/>
                <w:sz w:val="16"/>
                <w:szCs w:val="16"/>
                <w:color w:val="0000EE"/>
              </w:rPr>
              <w:t>23</w:t>
            </w:r>
          </w:p>
        </w:tc>
      </w:tr>
      <w:tr>
        <w:trPr>
          <w:trHeight w:val="260"/>
        </w:trPr>
        <w:tc>
          <w:tcPr>
            <w:tcW w:w="220" w:type="dxa"/>
            <w:vAlign w:val="bottom"/>
          </w:tcPr>
          <w:p>
            <w:pPr>
              <w:spacing w:after="0"/>
              <w:rPr>
                <w:sz w:val="22"/>
                <w:szCs w:val="22"/>
                <w:color w:val="auto"/>
              </w:rPr>
            </w:pPr>
          </w:p>
        </w:tc>
        <w:tc>
          <w:tcPr>
            <w:tcW w:w="5760" w:type="dxa"/>
            <w:vAlign w:val="bottom"/>
          </w:tcPr>
          <w:p>
            <w:pPr>
              <w:ind w:left="100"/>
              <w:spacing w:after="0"/>
              <w:rPr>
                <w:sz w:val="20"/>
                <w:szCs w:val="20"/>
                <w:color w:val="auto"/>
              </w:rPr>
            </w:pPr>
            <w:r>
              <w:rPr>
                <w:rFonts w:ascii="Arial" w:cs="Arial" w:eastAsia="Arial" w:hAnsi="Arial"/>
                <w:sz w:val="16"/>
                <w:szCs w:val="16"/>
                <w:color w:val="262626"/>
              </w:rPr>
              <w:t>independent registered public accounting firm of Broadcom for the fiscal year</w:t>
            </w:r>
          </w:p>
        </w:tc>
        <w:tc>
          <w:tcPr>
            <w:tcW w:w="2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0" w:type="dxa"/>
            <w:vAlign w:val="bottom"/>
          </w:tcPr>
          <w:p>
            <w:pPr>
              <w:spacing w:after="0"/>
              <w:rPr>
                <w:sz w:val="22"/>
                <w:szCs w:val="22"/>
                <w:color w:val="auto"/>
              </w:rPr>
            </w:pPr>
          </w:p>
        </w:tc>
      </w:tr>
      <w:tr>
        <w:trPr>
          <w:trHeight w:val="242"/>
        </w:trPr>
        <w:tc>
          <w:tcPr>
            <w:tcW w:w="220" w:type="dxa"/>
            <w:vAlign w:val="bottom"/>
          </w:tcPr>
          <w:p>
            <w:pPr>
              <w:spacing w:after="0"/>
              <w:rPr>
                <w:sz w:val="21"/>
                <w:szCs w:val="21"/>
                <w:color w:val="auto"/>
              </w:rPr>
            </w:pPr>
          </w:p>
        </w:tc>
        <w:tc>
          <w:tcPr>
            <w:tcW w:w="5760" w:type="dxa"/>
            <w:vAlign w:val="bottom"/>
          </w:tcPr>
          <w:p>
            <w:pPr>
              <w:ind w:left="100"/>
              <w:spacing w:after="0"/>
              <w:rPr>
                <w:sz w:val="20"/>
                <w:szCs w:val="20"/>
                <w:color w:val="auto"/>
              </w:rPr>
            </w:pPr>
            <w:r>
              <w:rPr>
                <w:rFonts w:ascii="Arial" w:cs="Arial" w:eastAsia="Arial" w:hAnsi="Arial"/>
                <w:sz w:val="16"/>
                <w:szCs w:val="16"/>
                <w:color w:val="262626"/>
              </w:rPr>
              <w:t>ending November 1, 2026</w:t>
            </w:r>
          </w:p>
        </w:tc>
        <w:tc>
          <w:tcPr>
            <w:tcW w:w="2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84"/>
        </w:trPr>
        <w:tc>
          <w:tcPr>
            <w:tcW w:w="220" w:type="dxa"/>
            <w:vAlign w:val="bottom"/>
            <w:tcBorders>
              <w:bottom w:val="single" w:sz="8" w:color="CF0A2C"/>
            </w:tcBorders>
          </w:tcPr>
          <w:p>
            <w:pPr>
              <w:spacing w:after="0"/>
              <w:rPr>
                <w:sz w:val="24"/>
                <w:szCs w:val="24"/>
                <w:color w:val="auto"/>
              </w:rPr>
            </w:pPr>
          </w:p>
        </w:tc>
        <w:tc>
          <w:tcPr>
            <w:tcW w:w="5760" w:type="dxa"/>
            <w:vAlign w:val="bottom"/>
            <w:tcBorders>
              <w:bottom w:val="single" w:sz="8" w:color="CF0A2C"/>
            </w:tcBorders>
          </w:tcPr>
          <w:p>
            <w:pPr>
              <w:spacing w:after="0"/>
              <w:rPr>
                <w:sz w:val="24"/>
                <w:szCs w:val="24"/>
                <w:color w:val="auto"/>
              </w:rPr>
            </w:pPr>
          </w:p>
        </w:tc>
        <w:tc>
          <w:tcPr>
            <w:tcW w:w="2100" w:type="dxa"/>
            <w:vAlign w:val="bottom"/>
            <w:tcBorders>
              <w:bottom w:val="single" w:sz="8" w:color="CF0A2C"/>
            </w:tcBorders>
          </w:tcPr>
          <w:p>
            <w:pPr>
              <w:spacing w:after="0"/>
              <w:rPr>
                <w:sz w:val="24"/>
                <w:szCs w:val="24"/>
                <w:color w:val="auto"/>
              </w:rPr>
            </w:pPr>
          </w:p>
        </w:tc>
        <w:tc>
          <w:tcPr>
            <w:tcW w:w="240" w:type="dxa"/>
            <w:vAlign w:val="bottom"/>
            <w:tcBorders>
              <w:bottom w:val="single" w:sz="8" w:color="CF0A2C"/>
            </w:tcBorders>
          </w:tcPr>
          <w:p>
            <w:pPr>
              <w:spacing w:after="0"/>
              <w:rPr>
                <w:sz w:val="24"/>
                <w:szCs w:val="24"/>
                <w:color w:val="auto"/>
              </w:rPr>
            </w:pPr>
          </w:p>
        </w:tc>
        <w:tc>
          <w:tcPr>
            <w:tcW w:w="180" w:type="dxa"/>
            <w:vAlign w:val="bottom"/>
            <w:tcBorders>
              <w:bottom w:val="single" w:sz="8" w:color="CF0A2C"/>
            </w:tcBorders>
          </w:tcPr>
          <w:p>
            <w:pPr>
              <w:spacing w:after="0"/>
              <w:rPr>
                <w:sz w:val="24"/>
                <w:szCs w:val="24"/>
                <w:color w:val="auto"/>
              </w:rPr>
            </w:pPr>
          </w:p>
        </w:tc>
        <w:tc>
          <w:tcPr>
            <w:tcW w:w="200" w:type="dxa"/>
            <w:vAlign w:val="bottom"/>
            <w:tcBorders>
              <w:bottom w:val="single" w:sz="8" w:color="CF0A2C"/>
            </w:tcBorders>
          </w:tcPr>
          <w:p>
            <w:pPr>
              <w:spacing w:after="0"/>
              <w:rPr>
                <w:sz w:val="24"/>
                <w:szCs w:val="24"/>
                <w:color w:val="auto"/>
              </w:rPr>
            </w:pPr>
          </w:p>
        </w:tc>
      </w:tr>
      <w:tr>
        <w:trPr>
          <w:trHeight w:val="235"/>
        </w:trPr>
        <w:tc>
          <w:tcPr>
            <w:tcW w:w="220" w:type="dxa"/>
            <w:vAlign w:val="bottom"/>
          </w:tcPr>
          <w:p>
            <w:pPr>
              <w:spacing w:after="0"/>
              <w:rPr>
                <w:sz w:val="20"/>
                <w:szCs w:val="20"/>
                <w:color w:val="auto"/>
              </w:rPr>
            </w:pPr>
            <w:r>
              <w:rPr>
                <w:rFonts w:ascii="Arial" w:cs="Arial" w:eastAsia="Arial" w:hAnsi="Arial"/>
                <w:sz w:val="16"/>
                <w:szCs w:val="16"/>
                <w:color w:val="262626"/>
              </w:rPr>
              <w:t>3.</w:t>
            </w:r>
          </w:p>
        </w:tc>
        <w:tc>
          <w:tcPr>
            <w:tcW w:w="5760" w:type="dxa"/>
            <w:vAlign w:val="bottom"/>
          </w:tcPr>
          <w:p>
            <w:pPr>
              <w:ind w:left="100"/>
              <w:spacing w:after="0"/>
              <w:rPr>
                <w:sz w:val="20"/>
                <w:szCs w:val="20"/>
                <w:color w:val="auto"/>
              </w:rPr>
            </w:pPr>
            <w:r>
              <w:rPr>
                <w:rFonts w:ascii="Arial" w:cs="Arial" w:eastAsia="Arial" w:hAnsi="Arial"/>
                <w:sz w:val="16"/>
                <w:szCs w:val="16"/>
                <w:color w:val="262626"/>
              </w:rPr>
              <w:t>To hold an advisory vote to approve the named executive officer</w:t>
            </w:r>
          </w:p>
        </w:tc>
        <w:tc>
          <w:tcPr>
            <w:tcW w:w="2100" w:type="dxa"/>
            <w:vAlign w:val="bottom"/>
          </w:tcPr>
          <w:p>
            <w:pPr>
              <w:jc w:val="center"/>
              <w:ind w:left="79"/>
              <w:spacing w:after="0"/>
              <w:rPr>
                <w:sz w:val="20"/>
                <w:szCs w:val="20"/>
                <w:color w:val="auto"/>
              </w:rPr>
            </w:pPr>
            <w:r>
              <w:rPr>
                <w:rFonts w:ascii="Arial" w:cs="Arial" w:eastAsia="Arial" w:hAnsi="Arial"/>
                <w:sz w:val="16"/>
                <w:szCs w:val="16"/>
                <w:b w:val="1"/>
                <w:bCs w:val="1"/>
                <w:color w:val="CF0A2C"/>
              </w:rPr>
              <w:t>FOR</w:t>
            </w:r>
          </w:p>
        </w:tc>
        <w:tc>
          <w:tcPr>
            <w:tcW w:w="620" w:type="dxa"/>
            <w:vAlign w:val="bottom"/>
            <w:gridSpan w:val="3"/>
          </w:tcPr>
          <w:p>
            <w:pPr>
              <w:jc w:val="right"/>
              <w:ind w:right="200"/>
              <w:spacing w:after="0"/>
              <w:rPr>
                <w:sz w:val="20"/>
                <w:szCs w:val="20"/>
                <w:color w:val="auto"/>
              </w:rPr>
            </w:pPr>
            <w:r>
              <w:rPr>
                <w:rFonts w:ascii="Arial" w:cs="Arial" w:eastAsia="Arial" w:hAnsi="Arial"/>
                <w:sz w:val="16"/>
                <w:szCs w:val="16"/>
                <w:color w:val="0000EE"/>
              </w:rPr>
              <w:t>26</w:t>
            </w:r>
          </w:p>
        </w:tc>
      </w:tr>
      <w:tr>
        <w:trPr>
          <w:trHeight w:val="260"/>
        </w:trPr>
        <w:tc>
          <w:tcPr>
            <w:tcW w:w="220" w:type="dxa"/>
            <w:vAlign w:val="bottom"/>
          </w:tcPr>
          <w:p>
            <w:pPr>
              <w:spacing w:after="0"/>
              <w:rPr>
                <w:sz w:val="22"/>
                <w:szCs w:val="22"/>
                <w:color w:val="auto"/>
              </w:rPr>
            </w:pPr>
          </w:p>
        </w:tc>
        <w:tc>
          <w:tcPr>
            <w:tcW w:w="5760" w:type="dxa"/>
            <w:vAlign w:val="bottom"/>
          </w:tcPr>
          <w:p>
            <w:pPr>
              <w:ind w:left="100"/>
              <w:spacing w:after="0"/>
              <w:rPr>
                <w:sz w:val="20"/>
                <w:szCs w:val="20"/>
                <w:color w:val="auto"/>
              </w:rPr>
            </w:pPr>
            <w:r>
              <w:rPr>
                <w:rFonts w:ascii="Arial" w:cs="Arial" w:eastAsia="Arial" w:hAnsi="Arial"/>
                <w:sz w:val="16"/>
                <w:szCs w:val="16"/>
                <w:color w:val="262626"/>
              </w:rPr>
              <w:t>compensation</w:t>
            </w:r>
          </w:p>
        </w:tc>
        <w:tc>
          <w:tcPr>
            <w:tcW w:w="2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0" w:type="dxa"/>
            <w:vAlign w:val="bottom"/>
          </w:tcPr>
          <w:p>
            <w:pPr>
              <w:spacing w:after="0"/>
              <w:rPr>
                <w:sz w:val="22"/>
                <w:szCs w:val="22"/>
                <w:color w:val="auto"/>
              </w:rPr>
            </w:pPr>
          </w:p>
        </w:tc>
      </w:tr>
    </w:tbl>
    <w:p>
      <w:pPr>
        <w:spacing w:after="0" w:line="200" w:lineRule="exact"/>
        <w:rPr>
          <w:sz w:val="20"/>
          <w:szCs w:val="20"/>
          <w:color w:val="auto"/>
        </w:rPr>
      </w:pPr>
    </w:p>
    <w:p>
      <w:pPr>
        <w:spacing w:after="0" w:line="2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161925</wp:posOffset>
            </wp:positionV>
            <wp:extent cx="5096510" cy="2437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96510" cy="2437130"/>
                    </a:xfrm>
                    <a:prstGeom prst="rect">
                      <a:avLst/>
                    </a:prstGeom>
                    <a:noFill/>
                  </pic:spPr>
                </pic:pic>
              </a:graphicData>
            </a:graphic>
          </wp:anchor>
        </w:drawing>
      </w:r>
    </w:p>
    <w:p>
      <w:pPr>
        <w:spacing w:after="0" w:line="341"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6"/>
                <w:szCs w:val="16"/>
                <w:b w:val="1"/>
                <w:bCs w:val="1"/>
                <w:color w:val="262626"/>
              </w:rPr>
              <w:t>Name</w:t>
            </w:r>
          </w:p>
        </w:tc>
        <w:tc>
          <w:tcPr>
            <w:tcW w:w="1320" w:type="dxa"/>
            <w:vAlign w:val="bottom"/>
          </w:tcPr>
          <w:p>
            <w:pPr>
              <w:ind w:left="240"/>
              <w:spacing w:after="0"/>
              <w:rPr>
                <w:sz w:val="20"/>
                <w:szCs w:val="20"/>
                <w:color w:val="auto"/>
              </w:rPr>
            </w:pPr>
            <w:r>
              <w:rPr>
                <w:rFonts w:ascii="Arial" w:cs="Arial" w:eastAsia="Arial" w:hAnsi="Arial"/>
                <w:sz w:val="16"/>
                <w:szCs w:val="16"/>
                <w:b w:val="1"/>
                <w:bCs w:val="1"/>
                <w:color w:val="262626"/>
              </w:rPr>
              <w:t> Independent</w:t>
            </w:r>
          </w:p>
        </w:tc>
        <w:tc>
          <w:tcPr>
            <w:tcW w:w="1220" w:type="dxa"/>
            <w:vAlign w:val="bottom"/>
          </w:tcPr>
          <w:p>
            <w:pPr>
              <w:spacing w:after="0"/>
              <w:rPr>
                <w:sz w:val="19"/>
                <w:szCs w:val="19"/>
                <w:color w:val="auto"/>
              </w:rPr>
            </w:pPr>
          </w:p>
        </w:tc>
      </w:tr>
      <w:tr>
        <w:trPr>
          <w:trHeight w:val="88"/>
        </w:trPr>
        <w:tc>
          <w:tcPr>
            <w:tcW w:w="3560" w:type="dxa"/>
            <w:vAlign w:val="bottom"/>
            <w:tcBorders>
              <w:bottom w:val="single" w:sz="8" w:color="CF0A2C"/>
            </w:tcBorders>
          </w:tcPr>
          <w:p>
            <w:pPr>
              <w:spacing w:after="0"/>
              <w:rPr>
                <w:sz w:val="7"/>
                <w:szCs w:val="7"/>
                <w:color w:val="auto"/>
              </w:rPr>
            </w:pPr>
          </w:p>
        </w:tc>
        <w:tc>
          <w:tcPr>
            <w:tcW w:w="1320" w:type="dxa"/>
            <w:vAlign w:val="bottom"/>
            <w:tcBorders>
              <w:bottom w:val="single" w:sz="8" w:color="CF0A2C"/>
            </w:tcBorders>
          </w:tcPr>
          <w:p>
            <w:pPr>
              <w:spacing w:after="0"/>
              <w:rPr>
                <w:sz w:val="7"/>
                <w:szCs w:val="7"/>
                <w:color w:val="auto"/>
              </w:rPr>
            </w:pPr>
          </w:p>
        </w:tc>
        <w:tc>
          <w:tcPr>
            <w:tcW w:w="1220" w:type="dxa"/>
            <w:vAlign w:val="bottom"/>
          </w:tcPr>
          <w:p>
            <w:pPr>
              <w:spacing w:after="0"/>
              <w:rPr>
                <w:sz w:val="7"/>
                <w:szCs w:val="7"/>
                <w:color w:val="auto"/>
              </w:rPr>
            </w:pPr>
          </w:p>
        </w:tc>
      </w:tr>
      <w:tr>
        <w:trPr>
          <w:trHeight w:val="265"/>
        </w:trPr>
        <w:tc>
          <w:tcPr>
            <w:tcW w:w="3560" w:type="dxa"/>
            <w:vAlign w:val="bottom"/>
          </w:tcPr>
          <w:p>
            <w:pPr>
              <w:spacing w:after="0"/>
              <w:rPr>
                <w:sz w:val="20"/>
                <w:szCs w:val="20"/>
                <w:color w:val="auto"/>
              </w:rPr>
            </w:pPr>
            <w:r>
              <w:rPr>
                <w:rFonts w:ascii="Arial" w:cs="Arial" w:eastAsia="Arial" w:hAnsi="Arial"/>
                <w:sz w:val="16"/>
                <w:szCs w:val="16"/>
                <w:color w:val="262626"/>
              </w:rPr>
              <w:t>Diane M. Bryant</w:t>
            </w:r>
          </w:p>
        </w:tc>
        <w:tc>
          <w:tcPr>
            <w:tcW w:w="1320" w:type="dxa"/>
            <w:vAlign w:val="bottom"/>
          </w:tcPr>
          <w:p>
            <w:pPr>
              <w:ind w:left="700"/>
              <w:spacing w:after="0" w:line="161" w:lineRule="exact"/>
              <w:rPr>
                <w:sz w:val="20"/>
                <w:szCs w:val="20"/>
                <w:color w:val="auto"/>
              </w:rPr>
            </w:pPr>
            <w:r>
              <w:rPr>
                <w:rFonts w:ascii="MS PGothic" w:cs="MS PGothic" w:eastAsia="MS PGothic" w:hAnsi="MS PGothic"/>
                <w:sz w:val="16"/>
                <w:szCs w:val="16"/>
                <w:color w:val="262626"/>
              </w:rPr>
              <w:t>✔</w:t>
            </w:r>
          </w:p>
        </w:tc>
        <w:tc>
          <w:tcPr>
            <w:tcW w:w="1220" w:type="dxa"/>
            <w:vAlign w:val="bottom"/>
          </w:tcPr>
          <w:p>
            <w:pPr>
              <w:spacing w:after="0"/>
              <w:rPr>
                <w:sz w:val="23"/>
                <w:szCs w:val="23"/>
                <w:color w:val="auto"/>
              </w:rPr>
            </w:pPr>
          </w:p>
        </w:tc>
      </w:tr>
      <w:tr>
        <w:trPr>
          <w:trHeight w:val="460"/>
        </w:trPr>
        <w:tc>
          <w:tcPr>
            <w:tcW w:w="3560" w:type="dxa"/>
            <w:vAlign w:val="bottom"/>
          </w:tcPr>
          <w:p>
            <w:pPr>
              <w:spacing w:after="0"/>
              <w:rPr>
                <w:sz w:val="20"/>
                <w:szCs w:val="20"/>
                <w:color w:val="auto"/>
              </w:rPr>
            </w:pPr>
            <w:r>
              <w:rPr>
                <w:rFonts w:ascii="Arial" w:cs="Arial" w:eastAsia="Arial" w:hAnsi="Arial"/>
                <w:sz w:val="16"/>
                <w:szCs w:val="16"/>
                <w:color w:val="262626"/>
              </w:rPr>
              <w:t>Gayla J. Delly</w:t>
            </w:r>
          </w:p>
        </w:tc>
        <w:tc>
          <w:tcPr>
            <w:tcW w:w="1320" w:type="dxa"/>
            <w:vAlign w:val="bottom"/>
          </w:tcPr>
          <w:p>
            <w:pPr>
              <w:ind w:left="700"/>
              <w:spacing w:after="0" w:line="161" w:lineRule="exact"/>
              <w:rPr>
                <w:sz w:val="20"/>
                <w:szCs w:val="20"/>
                <w:color w:val="auto"/>
              </w:rPr>
            </w:pPr>
            <w:r>
              <w:rPr>
                <w:rFonts w:ascii="MS PGothic" w:cs="MS PGothic" w:eastAsia="MS PGothic" w:hAnsi="MS PGothic"/>
                <w:sz w:val="16"/>
                <w:szCs w:val="16"/>
                <w:color w:val="262626"/>
              </w:rPr>
              <w:t>✔</w:t>
            </w:r>
          </w:p>
        </w:tc>
        <w:tc>
          <w:tcPr>
            <w:tcW w:w="1220" w:type="dxa"/>
            <w:vAlign w:val="bottom"/>
          </w:tcPr>
          <w:p>
            <w:pPr>
              <w:spacing w:after="0"/>
              <w:rPr>
                <w:sz w:val="24"/>
                <w:szCs w:val="24"/>
                <w:color w:val="auto"/>
              </w:rPr>
            </w:pPr>
          </w:p>
        </w:tc>
      </w:tr>
      <w:tr>
        <w:trPr>
          <w:trHeight w:val="456"/>
        </w:trPr>
        <w:tc>
          <w:tcPr>
            <w:tcW w:w="3560" w:type="dxa"/>
            <w:vAlign w:val="bottom"/>
          </w:tcPr>
          <w:p>
            <w:pPr>
              <w:spacing w:after="0"/>
              <w:rPr>
                <w:sz w:val="20"/>
                <w:szCs w:val="20"/>
                <w:color w:val="auto"/>
              </w:rPr>
            </w:pPr>
            <w:r>
              <w:rPr>
                <w:rFonts w:ascii="Arial" w:cs="Arial" w:eastAsia="Arial" w:hAnsi="Arial"/>
                <w:sz w:val="16"/>
                <w:szCs w:val="16"/>
                <w:color w:val="262626"/>
              </w:rPr>
              <w:t>Kenneth Y. Hao</w:t>
            </w:r>
          </w:p>
        </w:tc>
        <w:tc>
          <w:tcPr>
            <w:tcW w:w="1320" w:type="dxa"/>
            <w:vAlign w:val="bottom"/>
          </w:tcPr>
          <w:p>
            <w:pPr>
              <w:ind w:left="700"/>
              <w:spacing w:after="0" w:line="161" w:lineRule="exact"/>
              <w:rPr>
                <w:sz w:val="20"/>
                <w:szCs w:val="20"/>
                <w:color w:val="auto"/>
              </w:rPr>
            </w:pPr>
            <w:r>
              <w:rPr>
                <w:rFonts w:ascii="MS PGothic" w:cs="MS PGothic" w:eastAsia="MS PGothic" w:hAnsi="MS PGothic"/>
                <w:sz w:val="16"/>
                <w:szCs w:val="16"/>
                <w:color w:val="262626"/>
              </w:rPr>
              <w:t>✔</w:t>
            </w:r>
          </w:p>
        </w:tc>
        <w:tc>
          <w:tcPr>
            <w:tcW w:w="1220" w:type="dxa"/>
            <w:vAlign w:val="bottom"/>
          </w:tcPr>
          <w:p>
            <w:pPr>
              <w:spacing w:after="0"/>
              <w:rPr>
                <w:sz w:val="24"/>
                <w:szCs w:val="24"/>
                <w:color w:val="auto"/>
              </w:rPr>
            </w:pPr>
          </w:p>
        </w:tc>
      </w:tr>
      <w:tr>
        <w:trPr>
          <w:trHeight w:val="456"/>
        </w:trPr>
        <w:tc>
          <w:tcPr>
            <w:tcW w:w="3560" w:type="dxa"/>
            <w:vAlign w:val="bottom"/>
          </w:tcPr>
          <w:p>
            <w:pPr>
              <w:spacing w:after="0"/>
              <w:rPr>
                <w:sz w:val="20"/>
                <w:szCs w:val="20"/>
                <w:color w:val="auto"/>
              </w:rPr>
            </w:pPr>
            <w:r>
              <w:rPr>
                <w:rFonts w:ascii="Arial" w:cs="Arial" w:eastAsia="Arial" w:hAnsi="Arial"/>
                <w:sz w:val="16"/>
                <w:szCs w:val="16"/>
                <w:color w:val="262626"/>
              </w:rPr>
              <w:t>Check Kian Low</w:t>
            </w:r>
          </w:p>
        </w:tc>
        <w:tc>
          <w:tcPr>
            <w:tcW w:w="1320" w:type="dxa"/>
            <w:vAlign w:val="bottom"/>
          </w:tcPr>
          <w:p>
            <w:pPr>
              <w:ind w:left="700"/>
              <w:spacing w:after="0" w:line="161" w:lineRule="exact"/>
              <w:rPr>
                <w:sz w:val="20"/>
                <w:szCs w:val="20"/>
                <w:color w:val="auto"/>
              </w:rPr>
            </w:pPr>
            <w:r>
              <w:rPr>
                <w:rFonts w:ascii="MS PGothic" w:cs="MS PGothic" w:eastAsia="MS PGothic" w:hAnsi="MS PGothic"/>
                <w:sz w:val="16"/>
                <w:szCs w:val="16"/>
                <w:color w:val="262626"/>
              </w:rPr>
              <w:t>✔</w:t>
            </w:r>
          </w:p>
        </w:tc>
        <w:tc>
          <w:tcPr>
            <w:tcW w:w="1220" w:type="dxa"/>
            <w:vAlign w:val="bottom"/>
          </w:tcPr>
          <w:p>
            <w:pPr>
              <w:spacing w:after="0"/>
              <w:rPr>
                <w:sz w:val="24"/>
                <w:szCs w:val="24"/>
                <w:color w:val="auto"/>
              </w:rPr>
            </w:pPr>
          </w:p>
        </w:tc>
      </w:tr>
      <w:tr>
        <w:trPr>
          <w:trHeight w:val="470"/>
        </w:trPr>
        <w:tc>
          <w:tcPr>
            <w:tcW w:w="3560" w:type="dxa"/>
            <w:vAlign w:val="bottom"/>
          </w:tcPr>
          <w:p>
            <w:pPr>
              <w:spacing w:after="0"/>
              <w:rPr>
                <w:sz w:val="20"/>
                <w:szCs w:val="20"/>
                <w:color w:val="auto"/>
              </w:rPr>
            </w:pPr>
            <w:r>
              <w:rPr>
                <w:rFonts w:ascii="Arial" w:cs="Arial" w:eastAsia="Arial" w:hAnsi="Arial"/>
                <w:sz w:val="16"/>
                <w:szCs w:val="16"/>
                <w:color w:val="262626"/>
              </w:rPr>
              <w:t>Justine F. Page</w:t>
            </w:r>
          </w:p>
        </w:tc>
        <w:tc>
          <w:tcPr>
            <w:tcW w:w="1320" w:type="dxa"/>
            <w:vAlign w:val="bottom"/>
          </w:tcPr>
          <w:p>
            <w:pPr>
              <w:ind w:left="700"/>
              <w:spacing w:after="0" w:line="161" w:lineRule="exact"/>
              <w:rPr>
                <w:sz w:val="20"/>
                <w:szCs w:val="20"/>
                <w:color w:val="auto"/>
              </w:rPr>
            </w:pPr>
            <w:r>
              <w:rPr>
                <w:rFonts w:ascii="MS PGothic" w:cs="MS PGothic" w:eastAsia="MS PGothic" w:hAnsi="MS PGothic"/>
                <w:sz w:val="16"/>
                <w:szCs w:val="16"/>
                <w:color w:val="262626"/>
              </w:rPr>
              <w:t>✔</w:t>
            </w:r>
          </w:p>
        </w:tc>
        <w:tc>
          <w:tcPr>
            <w:tcW w:w="1220" w:type="dxa"/>
            <w:vAlign w:val="bottom"/>
          </w:tcPr>
          <w:p>
            <w:pPr>
              <w:spacing w:after="0"/>
              <w:rPr>
                <w:sz w:val="24"/>
                <w:szCs w:val="24"/>
                <w:color w:val="auto"/>
              </w:rPr>
            </w:pPr>
          </w:p>
        </w:tc>
      </w:tr>
      <w:tr>
        <w:trPr>
          <w:trHeight w:val="456"/>
        </w:trPr>
        <w:tc>
          <w:tcPr>
            <w:tcW w:w="3560" w:type="dxa"/>
            <w:vAlign w:val="bottom"/>
          </w:tcPr>
          <w:p>
            <w:pPr>
              <w:spacing w:after="0"/>
              <w:rPr>
                <w:sz w:val="20"/>
                <w:szCs w:val="20"/>
                <w:color w:val="auto"/>
              </w:rPr>
            </w:pPr>
            <w:r>
              <w:rPr>
                <w:rFonts w:ascii="Arial" w:cs="Arial" w:eastAsia="Arial" w:hAnsi="Arial"/>
                <w:sz w:val="16"/>
                <w:szCs w:val="16"/>
                <w:color w:val="262626"/>
              </w:rPr>
              <w:t>Henry Samueli, Ph.D. (Chairman of the Board)</w:t>
            </w:r>
          </w:p>
        </w:tc>
        <w:tc>
          <w:tcPr>
            <w:tcW w:w="1320" w:type="dxa"/>
            <w:vAlign w:val="bottom"/>
          </w:tcPr>
          <w:p>
            <w:pPr>
              <w:ind w:left="700"/>
              <w:spacing w:after="0" w:line="161" w:lineRule="exact"/>
              <w:rPr>
                <w:sz w:val="20"/>
                <w:szCs w:val="20"/>
                <w:color w:val="auto"/>
              </w:rPr>
            </w:pPr>
            <w:r>
              <w:rPr>
                <w:rFonts w:ascii="MS PGothic" w:cs="MS PGothic" w:eastAsia="MS PGothic" w:hAnsi="MS PGothic"/>
                <w:sz w:val="16"/>
                <w:szCs w:val="16"/>
                <w:color w:val="262626"/>
              </w:rPr>
              <w:t>✔</w:t>
            </w:r>
          </w:p>
        </w:tc>
        <w:tc>
          <w:tcPr>
            <w:tcW w:w="1220" w:type="dxa"/>
            <w:vAlign w:val="bottom"/>
          </w:tcPr>
          <w:p>
            <w:pPr>
              <w:spacing w:after="0"/>
              <w:rPr>
                <w:sz w:val="24"/>
                <w:szCs w:val="24"/>
                <w:color w:val="auto"/>
              </w:rPr>
            </w:pPr>
          </w:p>
        </w:tc>
      </w:tr>
      <w:tr>
        <w:trPr>
          <w:trHeight w:val="434"/>
        </w:trPr>
        <w:tc>
          <w:tcPr>
            <w:tcW w:w="3560" w:type="dxa"/>
            <w:vAlign w:val="bottom"/>
          </w:tcPr>
          <w:p>
            <w:pPr>
              <w:spacing w:after="0"/>
              <w:rPr>
                <w:sz w:val="20"/>
                <w:szCs w:val="20"/>
                <w:color w:val="auto"/>
              </w:rPr>
            </w:pPr>
            <w:r>
              <w:rPr>
                <w:rFonts w:ascii="Arial" w:cs="Arial" w:eastAsia="Arial" w:hAnsi="Arial"/>
                <w:sz w:val="16"/>
                <w:szCs w:val="16"/>
                <w:color w:val="262626"/>
              </w:rPr>
              <w:t>Hock E. Tan (President &amp; CEO)</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78"/>
        </w:trPr>
        <w:tc>
          <w:tcPr>
            <w:tcW w:w="3560" w:type="dxa"/>
            <w:vAlign w:val="bottom"/>
          </w:tcPr>
          <w:p>
            <w:pPr>
              <w:spacing w:after="0"/>
              <w:rPr>
                <w:sz w:val="20"/>
                <w:szCs w:val="20"/>
                <w:color w:val="auto"/>
              </w:rPr>
            </w:pPr>
            <w:r>
              <w:rPr>
                <w:rFonts w:ascii="Arial" w:cs="Arial" w:eastAsia="Arial" w:hAnsi="Arial"/>
                <w:sz w:val="16"/>
                <w:szCs w:val="16"/>
                <w:color w:val="262626"/>
              </w:rPr>
              <w:t>Harry L. You</w:t>
            </w:r>
          </w:p>
        </w:tc>
        <w:tc>
          <w:tcPr>
            <w:tcW w:w="1320" w:type="dxa"/>
            <w:vAlign w:val="bottom"/>
          </w:tcPr>
          <w:p>
            <w:pPr>
              <w:ind w:left="700"/>
              <w:spacing w:after="0" w:line="161" w:lineRule="exact"/>
              <w:rPr>
                <w:sz w:val="20"/>
                <w:szCs w:val="20"/>
                <w:color w:val="auto"/>
              </w:rPr>
            </w:pPr>
            <w:r>
              <w:rPr>
                <w:rFonts w:ascii="MS PGothic" w:cs="MS PGothic" w:eastAsia="MS PGothic" w:hAnsi="MS PGothic"/>
                <w:sz w:val="16"/>
                <w:szCs w:val="16"/>
                <w:color w:val="262626"/>
              </w:rPr>
              <w:t>✔</w:t>
            </w:r>
          </w:p>
        </w:tc>
        <w:tc>
          <w:tcPr>
            <w:tcW w:w="1220" w:type="dxa"/>
            <w:vAlign w:val="bottom"/>
          </w:tcPr>
          <w:p>
            <w:pPr>
              <w:ind w:left="1160"/>
              <w:spacing w:after="0"/>
              <w:rPr>
                <w:sz w:val="20"/>
                <w:szCs w:val="20"/>
                <w:color w:val="auto"/>
              </w:rPr>
            </w:pPr>
            <w:r>
              <w:rPr>
                <w:rFonts w:ascii="Arial" w:cs="Arial" w:eastAsia="Arial" w:hAnsi="Arial"/>
                <w:sz w:val="4"/>
                <w:szCs w:val="4"/>
                <w:color w:val="auto"/>
                <w:w w:val="98"/>
              </w:rPr>
              <w:t> </w:t>
            </w:r>
          </w:p>
        </w:tc>
      </w:tr>
      <w:tr>
        <w:trPr>
          <w:trHeight w:val="336"/>
        </w:trPr>
        <w:tc>
          <w:tcPr>
            <w:tcW w:w="3560" w:type="dxa"/>
            <w:vAlign w:val="bottom"/>
          </w:tcPr>
          <w:p>
            <w:pPr>
              <w:spacing w:after="0"/>
              <w:rPr>
                <w:sz w:val="20"/>
                <w:szCs w:val="20"/>
                <w:color w:val="auto"/>
              </w:rPr>
            </w:pPr>
            <w:r>
              <w:rPr>
                <w:rFonts w:ascii="Arial" w:cs="Arial" w:eastAsia="Arial" w:hAnsi="Arial"/>
                <w:sz w:val="15"/>
                <w:szCs w:val="15"/>
                <w:color w:val="262626"/>
              </w:rPr>
              <w:t>2</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-114935</wp:posOffset>
            </wp:positionV>
            <wp:extent cx="605155" cy="85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FISCAL 2025 HIGHLIGHTS</w:t>
      </w:r>
    </w:p>
    <w:p>
      <w:pPr>
        <w:spacing w:after="0" w:line="233"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Total Stockholder Return and Return of Capital</w:t>
      </w:r>
    </w:p>
    <w:p>
      <w:pPr>
        <w:spacing w:after="0" w:line="135" w:lineRule="exact"/>
        <w:rPr>
          <w:sz w:val="20"/>
          <w:szCs w:val="20"/>
          <w:color w:val="auto"/>
        </w:rPr>
      </w:pPr>
    </w:p>
    <w:p>
      <w:pPr>
        <w:jc w:val="both"/>
        <w:ind w:left="1280" w:right="159"/>
        <w:spacing w:after="0" w:line="352" w:lineRule="auto"/>
        <w:rPr>
          <w:sz w:val="20"/>
          <w:szCs w:val="20"/>
          <w:color w:val="auto"/>
        </w:rPr>
      </w:pPr>
      <w:r>
        <w:rPr>
          <w:rFonts w:ascii="Arial" w:cs="Arial" w:eastAsia="Arial" w:hAnsi="Arial"/>
          <w:sz w:val="16"/>
          <w:szCs w:val="16"/>
          <w:color w:val="262626"/>
        </w:rPr>
        <w:t>Our total stockholder return (“TSR”) continues to significantly outperform the S&amp;P 500 and our compensation peer group. Over the five-year period through fiscal 2025, we delivered a TSR of 1,082%, and our market capitalization increased from $141.4 billion to $1.7 trillion.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108585</wp:posOffset>
            </wp:positionV>
            <wp:extent cx="4030980" cy="1772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30980" cy="177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60" w:right="1739"/>
        <w:spacing w:after="0" w:line="282" w:lineRule="auto"/>
        <w:rPr>
          <w:sz w:val="20"/>
          <w:szCs w:val="20"/>
          <w:color w:val="auto"/>
        </w:rPr>
      </w:pPr>
      <w:r>
        <w:rPr>
          <w:rFonts w:ascii="Arial" w:cs="Arial" w:eastAsia="Arial" w:hAnsi="Arial"/>
          <w:sz w:val="14"/>
          <w:szCs w:val="14"/>
          <w:color w:val="262626"/>
        </w:rPr>
        <w:t>*TSR assumes $100 investment in Broadcom common stock on the last trading day of fiscal 2020 and reinvestment of dividends.</w:t>
      </w:r>
    </w:p>
    <w:p>
      <w:pPr>
        <w:spacing w:after="0" w:line="113" w:lineRule="exact"/>
        <w:rPr>
          <w:sz w:val="20"/>
          <w:szCs w:val="20"/>
          <w:color w:val="auto"/>
        </w:rPr>
      </w:pPr>
    </w:p>
    <w:p>
      <w:pPr>
        <w:jc w:val="both"/>
        <w:ind w:left="1280" w:right="159"/>
        <w:spacing w:after="0" w:line="353" w:lineRule="auto"/>
        <w:rPr>
          <w:sz w:val="20"/>
          <w:szCs w:val="20"/>
          <w:color w:val="auto"/>
        </w:rPr>
      </w:pPr>
      <w:r>
        <w:rPr>
          <w:rFonts w:ascii="Arial" w:cs="Arial" w:eastAsia="Arial" w:hAnsi="Arial"/>
          <w:sz w:val="16"/>
          <w:szCs w:val="16"/>
          <w:color w:val="262626"/>
        </w:rPr>
        <w:t>In addition, we returned an aggregate of $13.6 billion to our stockholders during fiscal 2025, consisting of $11.1 billion in cash dividends and $2.5 billion in stock repurchases.</w:t>
      </w:r>
    </w:p>
    <w:p>
      <w:pPr>
        <w:spacing w:after="0" w:line="103"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Furthermore, our strong free cash flow in fiscal 2025 enabled us to increase our quarterly common stock dividend to $0.65 per share in our first quarter of fiscal 2026, an increase of 10% over the quarterly dividends paid in fiscal 2025.</w:t>
      </w:r>
    </w:p>
    <w:p>
      <w:pPr>
        <w:spacing w:after="0" w:line="135"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Financial Performance</w:t>
      </w:r>
    </w:p>
    <w:p>
      <w:pPr>
        <w:spacing w:after="0" w:line="175"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Our record revenue, cash from operations and free cash flow in fiscal 2025 were driven by our AI semiconductor solutions and infrastructure software solutions from our acquisition of VMware, Inc. (“VMware”).</w:t>
      </w:r>
    </w:p>
    <w:p>
      <w:pPr>
        <w:spacing w:after="0" w:line="103"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Due to the increase in our custom accelerator business, our AI semiconductor revenue increased 65% from $12.2 billion in fiscal 2024 to $20.2 billion in fiscal 2025 and represented 55% of our fiscal 2025 semiconductor revenue of $36.9 billion. With the strong adoption of our VMware Cloud Foundation, our infrastructure software revenue increased 26% from $21.5 billion in fiscal 2024 to $27.0 billion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192405</wp:posOffset>
            </wp:positionV>
            <wp:extent cx="45250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2501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2060" w:type="dxa"/>
        <w:tblCellMar>
          <w:top w:w="0" w:type="dxa"/>
          <w:left w:w="0" w:type="dxa"/>
          <w:bottom w:w="0" w:type="dxa"/>
          <w:right w:w="0" w:type="dxa"/>
        </w:tblCellMar>
      </w:tblPr>
      <w:tr>
        <w:trPr>
          <w:trHeight w:val="196"/>
        </w:trPr>
        <w:tc>
          <w:tcPr>
            <w:tcW w:w="2140" w:type="dxa"/>
            <w:vAlign w:val="bottom"/>
          </w:tcPr>
          <w:p>
            <w:pPr>
              <w:ind w:left="540"/>
              <w:spacing w:after="0"/>
              <w:rPr>
                <w:sz w:val="20"/>
                <w:szCs w:val="20"/>
                <w:color w:val="auto"/>
              </w:rPr>
            </w:pPr>
            <w:r>
              <w:rPr>
                <w:rFonts w:ascii="Arial" w:cs="Arial" w:eastAsia="Arial" w:hAnsi="Arial"/>
                <w:sz w:val="16"/>
                <w:szCs w:val="16"/>
                <w:b w:val="1"/>
                <w:bCs w:val="1"/>
                <w:color w:val="CF0A2C"/>
              </w:rPr>
              <w:t> Record Revenue</w:t>
            </w:r>
          </w:p>
        </w:tc>
        <w:tc>
          <w:tcPr>
            <w:tcW w:w="2780" w:type="dxa"/>
            <w:vAlign w:val="bottom"/>
          </w:tcPr>
          <w:p>
            <w:pPr>
              <w:ind w:left="300"/>
              <w:spacing w:after="0"/>
              <w:rPr>
                <w:sz w:val="20"/>
                <w:szCs w:val="20"/>
                <w:color w:val="auto"/>
              </w:rPr>
            </w:pPr>
            <w:r>
              <w:rPr>
                <w:rFonts w:ascii="Arial" w:cs="Arial" w:eastAsia="Arial" w:hAnsi="Arial"/>
                <w:sz w:val="16"/>
                <w:szCs w:val="16"/>
                <w:b w:val="1"/>
                <w:bCs w:val="1"/>
                <w:color w:val="CF0A2C"/>
              </w:rPr>
              <w:t>Record Cash From Operations</w:t>
            </w:r>
          </w:p>
        </w:tc>
        <w:tc>
          <w:tcPr>
            <w:tcW w:w="2200" w:type="dxa"/>
            <w:vAlign w:val="bottom"/>
          </w:tcPr>
          <w:p>
            <w:pPr>
              <w:ind w:left="140"/>
              <w:spacing w:after="0"/>
              <w:rPr>
                <w:sz w:val="20"/>
                <w:szCs w:val="20"/>
                <w:color w:val="auto"/>
              </w:rPr>
            </w:pPr>
            <w:r>
              <w:rPr>
                <w:rFonts w:ascii="Arial" w:cs="Arial" w:eastAsia="Arial" w:hAnsi="Arial"/>
                <w:sz w:val="16"/>
                <w:szCs w:val="16"/>
                <w:b w:val="1"/>
                <w:bCs w:val="1"/>
                <w:color w:val="CF0A2C"/>
              </w:rPr>
              <w:t>Record Free Cash Flow*</w:t>
            </w:r>
          </w:p>
        </w:tc>
      </w:tr>
      <w:tr>
        <w:trPr>
          <w:trHeight w:val="283"/>
        </w:trPr>
        <w:tc>
          <w:tcPr>
            <w:tcW w:w="2140" w:type="dxa"/>
            <w:vAlign w:val="bottom"/>
          </w:tcPr>
          <w:p>
            <w:pPr>
              <w:jc w:val="center"/>
              <w:ind w:left="125"/>
              <w:spacing w:after="0"/>
              <w:rPr>
                <w:sz w:val="20"/>
                <w:szCs w:val="20"/>
                <w:color w:val="auto"/>
              </w:rPr>
            </w:pPr>
            <w:r>
              <w:rPr>
                <w:rFonts w:ascii="Arial" w:cs="Arial" w:eastAsia="Arial" w:hAnsi="Arial"/>
                <w:sz w:val="23"/>
                <w:szCs w:val="23"/>
                <w:b w:val="1"/>
                <w:bCs w:val="1"/>
                <w:color w:val="262626"/>
              </w:rPr>
              <w:t>$63.9B</w:t>
            </w:r>
          </w:p>
        </w:tc>
        <w:tc>
          <w:tcPr>
            <w:tcW w:w="2780" w:type="dxa"/>
            <w:vAlign w:val="bottom"/>
          </w:tcPr>
          <w:p>
            <w:pPr>
              <w:jc w:val="center"/>
              <w:ind w:left="85"/>
              <w:spacing w:after="0"/>
              <w:rPr>
                <w:sz w:val="20"/>
                <w:szCs w:val="20"/>
                <w:color w:val="auto"/>
              </w:rPr>
            </w:pPr>
            <w:r>
              <w:rPr>
                <w:rFonts w:ascii="Arial" w:cs="Arial" w:eastAsia="Arial" w:hAnsi="Arial"/>
                <w:sz w:val="23"/>
                <w:szCs w:val="23"/>
                <w:b w:val="1"/>
                <w:bCs w:val="1"/>
                <w:color w:val="262626"/>
              </w:rPr>
              <w:t>$27.5B</w:t>
            </w:r>
          </w:p>
        </w:tc>
        <w:tc>
          <w:tcPr>
            <w:tcW w:w="2200" w:type="dxa"/>
            <w:vAlign w:val="bottom"/>
          </w:tcPr>
          <w:p>
            <w:pPr>
              <w:jc w:val="center"/>
              <w:spacing w:after="0"/>
              <w:rPr>
                <w:sz w:val="20"/>
                <w:szCs w:val="20"/>
                <w:color w:val="auto"/>
              </w:rPr>
            </w:pPr>
            <w:r>
              <w:rPr>
                <w:rFonts w:ascii="Arial" w:cs="Arial" w:eastAsia="Arial" w:hAnsi="Arial"/>
                <w:sz w:val="23"/>
                <w:szCs w:val="23"/>
                <w:b w:val="1"/>
                <w:bCs w:val="1"/>
                <w:color w:val="262626"/>
                <w:w w:val="99"/>
              </w:rPr>
              <w:t>$26.9B</w:t>
            </w:r>
          </w:p>
        </w:tc>
      </w:tr>
      <w:tr>
        <w:trPr>
          <w:trHeight w:val="246"/>
        </w:trPr>
        <w:tc>
          <w:tcPr>
            <w:tcW w:w="2140" w:type="dxa"/>
            <w:vAlign w:val="bottom"/>
          </w:tcPr>
          <w:p>
            <w:pPr>
              <w:jc w:val="center"/>
              <w:ind w:left="125"/>
              <w:spacing w:after="0"/>
              <w:rPr>
                <w:sz w:val="20"/>
                <w:szCs w:val="20"/>
                <w:color w:val="auto"/>
              </w:rPr>
            </w:pPr>
            <w:r>
              <w:rPr>
                <w:rFonts w:ascii="Arial" w:cs="Arial" w:eastAsia="Arial" w:hAnsi="Arial"/>
                <w:sz w:val="18"/>
                <w:szCs w:val="18"/>
                <w:b w:val="1"/>
                <w:bCs w:val="1"/>
                <w:color w:val="262626"/>
                <w:w w:val="98"/>
              </w:rPr>
              <w:t>+24%YoY</w:t>
            </w:r>
          </w:p>
        </w:tc>
        <w:tc>
          <w:tcPr>
            <w:tcW w:w="2780" w:type="dxa"/>
            <w:vAlign w:val="bottom"/>
          </w:tcPr>
          <w:p>
            <w:pPr>
              <w:jc w:val="center"/>
              <w:ind w:left="85"/>
              <w:spacing w:after="0"/>
              <w:rPr>
                <w:sz w:val="20"/>
                <w:szCs w:val="20"/>
                <w:color w:val="auto"/>
              </w:rPr>
            </w:pPr>
            <w:r>
              <w:rPr>
                <w:rFonts w:ascii="Arial" w:cs="Arial" w:eastAsia="Arial" w:hAnsi="Arial"/>
                <w:sz w:val="18"/>
                <w:szCs w:val="18"/>
                <w:b w:val="1"/>
                <w:bCs w:val="1"/>
                <w:color w:val="262626"/>
                <w:w w:val="98"/>
              </w:rPr>
              <w:t>+38%YoY</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262626"/>
                <w:w w:val="98"/>
              </w:rPr>
              <w:t>+39%YoY</w:t>
            </w:r>
          </w:p>
        </w:tc>
      </w:tr>
      <w:tr>
        <w:trPr>
          <w:trHeight w:val="149"/>
        </w:trPr>
        <w:tc>
          <w:tcPr>
            <w:tcW w:w="2140" w:type="dxa"/>
            <w:vAlign w:val="bottom"/>
            <w:tcBorders>
              <w:bottom w:val="single" w:sz="8" w:color="CF0A2C"/>
            </w:tcBorders>
          </w:tcPr>
          <w:p>
            <w:pPr>
              <w:spacing w:after="0"/>
              <w:rPr>
                <w:sz w:val="12"/>
                <w:szCs w:val="12"/>
                <w:color w:val="auto"/>
              </w:rPr>
            </w:pPr>
          </w:p>
        </w:tc>
        <w:tc>
          <w:tcPr>
            <w:tcW w:w="2780" w:type="dxa"/>
            <w:vAlign w:val="bottom"/>
            <w:tcBorders>
              <w:bottom w:val="single" w:sz="8" w:color="CF0A2C"/>
            </w:tcBorders>
          </w:tcPr>
          <w:p>
            <w:pPr>
              <w:spacing w:after="0"/>
              <w:rPr>
                <w:sz w:val="12"/>
                <w:szCs w:val="12"/>
                <w:color w:val="auto"/>
              </w:rPr>
            </w:pPr>
          </w:p>
        </w:tc>
        <w:tc>
          <w:tcPr>
            <w:tcW w:w="2200" w:type="dxa"/>
            <w:vAlign w:val="bottom"/>
            <w:tcBorders>
              <w:bottom w:val="single" w:sz="8" w:color="CF0A2C"/>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1504315</wp:posOffset>
            </wp:positionH>
            <wp:positionV relativeFrom="paragraph">
              <wp:posOffset>76835</wp:posOffset>
            </wp:positionV>
            <wp:extent cx="4158615" cy="1499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58615"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980"/>
        <w:spacing w:after="0"/>
        <w:rPr>
          <w:sz w:val="20"/>
          <w:szCs w:val="20"/>
          <w:color w:val="auto"/>
        </w:rPr>
      </w:pPr>
      <w:r>
        <w:rPr>
          <w:rFonts w:ascii="Arial" w:cs="Arial" w:eastAsia="Arial" w:hAnsi="Arial"/>
          <w:sz w:val="14"/>
          <w:szCs w:val="14"/>
          <w:color w:val="262626"/>
        </w:rPr>
        <w:t>        *See Appendix A for a reconciliation of non-GAAP financial measures to the most directly comparable GAAP measures.</w:t>
      </w:r>
    </w:p>
    <w:p>
      <w:pPr>
        <w:sectPr>
          <w:pgSz w:w="11900" w:h="16838" w:orient="portrait"/>
          <w:cols w:equalWidth="0" w:num="1">
            <w:col w:w="10139"/>
          </w:cols>
          <w:pgMar w:left="320" w:top="480" w:right="1440" w:bottom="1440" w:gutter="0" w:footer="0" w:header="0"/>
        </w:sectPr>
      </w:pPr>
    </w:p>
    <w:p>
      <w:pPr>
        <w:spacing w:after="0" w:line="140" w:lineRule="exact"/>
        <w:rPr>
          <w:sz w:val="20"/>
          <w:szCs w:val="20"/>
          <w:color w:val="auto"/>
        </w:rPr>
      </w:pPr>
    </w:p>
    <w:p>
      <w:pPr>
        <w:ind w:left="9880"/>
        <w:spacing w:after="0"/>
        <w:rPr>
          <w:sz w:val="20"/>
          <w:szCs w:val="20"/>
          <w:color w:val="auto"/>
        </w:rPr>
      </w:pPr>
      <w:r>
        <w:rPr>
          <w:rFonts w:ascii="Arial" w:cs="Arial" w:eastAsia="Arial" w:hAnsi="Arial"/>
          <w:sz w:val="15"/>
          <w:szCs w:val="15"/>
          <w:color w:val="26262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FISCAL 2025 NAMED EXECUTIVE OFFICER COMPENSATION</w:t>
      </w:r>
    </w:p>
    <w:p>
      <w:pPr>
        <w:spacing w:after="0" w:line="200"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Our executive compensation program is designed to (i) reward our executive officers for growing and sustaining stockholder value consistent with our long-term strategic plan, (ii) align the interests of our executive officers with the interests of our stockholders and (iii) attract, motivate and retain critical talent in a highly competitive talent market.</w:t>
      </w:r>
    </w:p>
    <w:p>
      <w:pPr>
        <w:spacing w:after="0" w:line="97" w:lineRule="exact"/>
        <w:rPr>
          <w:sz w:val="20"/>
          <w:szCs w:val="20"/>
          <w:color w:val="auto"/>
        </w:rPr>
      </w:pPr>
    </w:p>
    <w:p>
      <w:pPr>
        <w:jc w:val="both"/>
        <w:ind w:left="1280" w:right="179"/>
        <w:spacing w:after="0" w:line="336" w:lineRule="auto"/>
        <w:rPr>
          <w:sz w:val="20"/>
          <w:szCs w:val="20"/>
          <w:color w:val="auto"/>
        </w:rPr>
      </w:pPr>
      <w:r>
        <w:rPr>
          <w:rFonts w:ascii="Arial" w:cs="Arial" w:eastAsia="Arial" w:hAnsi="Arial"/>
          <w:sz w:val="16"/>
          <w:szCs w:val="16"/>
          <w:color w:val="262626"/>
        </w:rPr>
        <w:t>In line with our executive compensation program philosophy, design and objectives, 96% of our Chief Executive Officer’s (“CEO”) and 95% of our other named executive officers’ (“NEOs”) average annualized target total compensation in fiscal 2025 is comprised of variable compensation, with a majority tied to long-term stock price performance (based on the annualized value of their equity awards and assuming target performance level attainment) as shown in the charts below. For Mr. Tan, as the PSU award granted to him in fiscal 2023 covers five years of annual equity awards, including fiscal 2025, the long-term incentive component of the CEO chart reflects the annualized value of that PSU award.</w:t>
      </w:r>
    </w:p>
    <w:p>
      <w:pPr>
        <w:spacing w:after="0" w:line="105"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See “</w:t>
      </w:r>
      <w:r>
        <w:rPr>
          <w:rFonts w:ascii="Arial" w:cs="Arial" w:eastAsia="Arial" w:hAnsi="Arial"/>
          <w:sz w:val="16"/>
          <w:szCs w:val="16"/>
          <w:i w:val="1"/>
          <w:iCs w:val="1"/>
          <w:color w:val="262626"/>
        </w:rPr>
        <w:t>Compensation Discussion and Analysis</w:t>
      </w:r>
      <w:r>
        <w:rPr>
          <w:rFonts w:ascii="Arial" w:cs="Arial" w:eastAsia="Arial" w:hAnsi="Arial"/>
          <w:sz w:val="16"/>
          <w:szCs w:val="16"/>
          <w:color w:val="262626"/>
        </w:rPr>
        <w:t xml:space="preserve"> — </w:t>
      </w:r>
      <w:r>
        <w:rPr>
          <w:rFonts w:ascii="Arial" w:cs="Arial" w:eastAsia="Arial" w:hAnsi="Arial"/>
          <w:sz w:val="16"/>
          <w:szCs w:val="16"/>
          <w:i w:val="1"/>
          <w:iCs w:val="1"/>
          <w:color w:val="262626"/>
        </w:rPr>
        <w:t>Executive Compensation Program</w:t>
      </w:r>
      <w:r>
        <w:rPr>
          <w:rFonts w:ascii="Arial" w:cs="Arial" w:eastAsia="Arial" w:hAnsi="Arial"/>
          <w:sz w:val="16"/>
          <w:szCs w:val="16"/>
          <w:color w:val="262626"/>
        </w:rPr>
        <w:t>” below for more information.</w:t>
      </w:r>
    </w:p>
    <w:p>
      <w:pPr>
        <w:spacing w:after="0" w:line="200" w:lineRule="exact"/>
        <w:rPr>
          <w:sz w:val="20"/>
          <w:szCs w:val="20"/>
          <w:color w:val="auto"/>
        </w:rPr>
      </w:pPr>
    </w:p>
    <w:p>
      <w:pPr>
        <w:spacing w:after="0" w:line="221" w:lineRule="exact"/>
        <w:rPr>
          <w:sz w:val="20"/>
          <w:szCs w:val="20"/>
          <w:color w:val="auto"/>
        </w:rPr>
      </w:pPr>
    </w:p>
    <w:p>
      <w:pPr>
        <w:ind w:left="1660"/>
        <w:spacing w:after="0"/>
        <w:rPr>
          <w:sz w:val="20"/>
          <w:szCs w:val="20"/>
          <w:color w:val="auto"/>
        </w:rPr>
      </w:pPr>
      <w:r>
        <w:rPr>
          <w:sz w:val="1"/>
          <w:szCs w:val="1"/>
          <w:color w:val="auto"/>
        </w:rPr>
        <w:drawing>
          <wp:inline distT="0" distB="0" distL="0" distR="0">
            <wp:extent cx="4840605" cy="141478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40605" cy="141478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85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3920"/>
        <w:spacing w:after="0"/>
        <w:rPr>
          <w:sz w:val="20"/>
          <w:szCs w:val="20"/>
          <w:color w:val="auto"/>
        </w:rPr>
      </w:pPr>
      <w:r>
        <w:rPr>
          <w:rFonts w:ascii="Arial" w:cs="Arial" w:eastAsia="Arial" w:hAnsi="Arial"/>
          <w:sz w:val="25"/>
          <w:szCs w:val="25"/>
          <w:color w:val="CF0A2C"/>
        </w:rPr>
        <w:t>CORPORATE GOVERNANCE</w:t>
      </w:r>
    </w:p>
    <w:p>
      <w:pPr>
        <w:spacing w:after="0" w:line="258"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We are committed to strong corporate governance and have designed our corporate governance framework to support the long-term interests of our stockholders, as well as our workforce, customers and communities. Some of our key governance practices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62230</wp:posOffset>
            </wp:positionV>
            <wp:extent cx="55225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32" w:lineRule="exact"/>
        <w:rPr>
          <w:sz w:val="20"/>
          <w:szCs w:val="20"/>
          <w:color w:val="auto"/>
        </w:rPr>
      </w:pPr>
    </w:p>
    <w:tbl>
      <w:tblPr>
        <w:tblLayout w:type="fixed"/>
        <w:tblInd w:w="1280" w:type="dxa"/>
        <w:tblCellMar>
          <w:top w:w="0" w:type="dxa"/>
          <w:left w:w="0" w:type="dxa"/>
          <w:bottom w:w="0" w:type="dxa"/>
          <w:right w:w="0" w:type="dxa"/>
        </w:tblCellMar>
      </w:tblPr>
      <w:tr>
        <w:trPr>
          <w:trHeight w:val="331"/>
        </w:trPr>
        <w:tc>
          <w:tcPr>
            <w:tcW w:w="4480" w:type="dxa"/>
            <w:vAlign w:val="bottom"/>
          </w:tcPr>
          <w:p>
            <w:pPr>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Proxy access</w:t>
            </w:r>
          </w:p>
        </w:tc>
        <w:tc>
          <w:tcPr>
            <w:tcW w:w="4220" w:type="dxa"/>
            <w:vAlign w:val="bottom"/>
          </w:tcPr>
          <w:p>
            <w:pPr>
              <w:ind w:left="180"/>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Annual election of all directors</w:t>
            </w:r>
          </w:p>
        </w:tc>
      </w:tr>
      <w:tr>
        <w:trPr>
          <w:trHeight w:val="325"/>
        </w:trPr>
        <w:tc>
          <w:tcPr>
            <w:tcW w:w="4480" w:type="dxa"/>
            <w:vAlign w:val="bottom"/>
          </w:tcPr>
          <w:p>
            <w:pPr>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Ability to call special meetings by two or more</w:t>
            </w:r>
          </w:p>
        </w:tc>
        <w:tc>
          <w:tcPr>
            <w:tcW w:w="4220" w:type="dxa"/>
            <w:vAlign w:val="bottom"/>
          </w:tcPr>
          <w:p>
            <w:pPr>
              <w:ind w:left="180"/>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Annual review of Board refreshment and</w:t>
            </w:r>
          </w:p>
        </w:tc>
      </w:tr>
      <w:tr>
        <w:trPr>
          <w:trHeight w:val="214"/>
        </w:trPr>
        <w:tc>
          <w:tcPr>
            <w:tcW w:w="4480" w:type="dxa"/>
            <w:vAlign w:val="bottom"/>
          </w:tcPr>
          <w:p>
            <w:pPr>
              <w:ind w:left="320"/>
              <w:spacing w:after="0"/>
              <w:rPr>
                <w:sz w:val="20"/>
                <w:szCs w:val="20"/>
                <w:color w:val="auto"/>
              </w:rPr>
            </w:pPr>
            <w:r>
              <w:rPr>
                <w:rFonts w:ascii="Arial" w:cs="Arial" w:eastAsia="Arial" w:hAnsi="Arial"/>
                <w:sz w:val="16"/>
                <w:szCs w:val="16"/>
                <w:color w:val="262626"/>
              </w:rPr>
              <w:t>stockholders holding at least 10% of outstanding shares</w:t>
            </w:r>
          </w:p>
        </w:tc>
        <w:tc>
          <w:tcPr>
            <w:tcW w:w="4220" w:type="dxa"/>
            <w:vAlign w:val="bottom"/>
          </w:tcPr>
          <w:p>
            <w:pPr>
              <w:ind w:left="440"/>
              <w:spacing w:after="0"/>
              <w:rPr>
                <w:sz w:val="20"/>
                <w:szCs w:val="20"/>
                <w:color w:val="auto"/>
              </w:rPr>
            </w:pPr>
            <w:r>
              <w:rPr>
                <w:rFonts w:ascii="Arial" w:cs="Arial" w:eastAsia="Arial" w:hAnsi="Arial"/>
                <w:sz w:val="16"/>
                <w:szCs w:val="16"/>
                <w:color w:val="262626"/>
              </w:rPr>
              <w:t>composition</w:t>
            </w:r>
          </w:p>
        </w:tc>
      </w:tr>
      <w:tr>
        <w:trPr>
          <w:trHeight w:val="390"/>
        </w:trPr>
        <w:tc>
          <w:tcPr>
            <w:tcW w:w="4480" w:type="dxa"/>
            <w:vAlign w:val="bottom"/>
          </w:tcPr>
          <w:p>
            <w:pPr>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No supermajority voting requirements for bylaw</w:t>
            </w:r>
          </w:p>
        </w:tc>
        <w:tc>
          <w:tcPr>
            <w:tcW w:w="4220" w:type="dxa"/>
            <w:vAlign w:val="bottom"/>
          </w:tcPr>
          <w:p>
            <w:pPr>
              <w:ind w:left="180"/>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Strong independent Board — 7 of 8 nominees are</w:t>
            </w:r>
          </w:p>
        </w:tc>
      </w:tr>
      <w:tr>
        <w:trPr>
          <w:trHeight w:val="214"/>
        </w:trPr>
        <w:tc>
          <w:tcPr>
            <w:tcW w:w="4480" w:type="dxa"/>
            <w:vAlign w:val="bottom"/>
          </w:tcPr>
          <w:p>
            <w:pPr>
              <w:ind w:left="320"/>
              <w:spacing w:after="0"/>
              <w:rPr>
                <w:sz w:val="20"/>
                <w:szCs w:val="20"/>
                <w:color w:val="auto"/>
              </w:rPr>
            </w:pPr>
            <w:r>
              <w:rPr>
                <w:rFonts w:ascii="Arial" w:cs="Arial" w:eastAsia="Arial" w:hAnsi="Arial"/>
                <w:sz w:val="16"/>
                <w:szCs w:val="16"/>
                <w:color w:val="262626"/>
              </w:rPr>
              <w:t>amendments</w:t>
            </w:r>
          </w:p>
        </w:tc>
        <w:tc>
          <w:tcPr>
            <w:tcW w:w="4220" w:type="dxa"/>
            <w:vAlign w:val="bottom"/>
          </w:tcPr>
          <w:p>
            <w:pPr>
              <w:ind w:left="440"/>
              <w:spacing w:after="0"/>
              <w:rPr>
                <w:sz w:val="20"/>
                <w:szCs w:val="20"/>
                <w:color w:val="auto"/>
              </w:rPr>
            </w:pPr>
            <w:r>
              <w:rPr>
                <w:rFonts w:ascii="Arial" w:cs="Arial" w:eastAsia="Arial" w:hAnsi="Arial"/>
                <w:sz w:val="16"/>
                <w:szCs w:val="16"/>
                <w:color w:val="262626"/>
              </w:rPr>
              <w:t>independent</w:t>
            </w:r>
          </w:p>
        </w:tc>
      </w:tr>
      <w:tr>
        <w:trPr>
          <w:trHeight w:val="414"/>
        </w:trPr>
        <w:tc>
          <w:tcPr>
            <w:tcW w:w="4480" w:type="dxa"/>
            <w:vAlign w:val="bottom"/>
          </w:tcPr>
          <w:p>
            <w:pPr>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No “poison pill”</w:t>
            </w:r>
          </w:p>
        </w:tc>
        <w:tc>
          <w:tcPr>
            <w:tcW w:w="4220" w:type="dxa"/>
            <w:vAlign w:val="bottom"/>
          </w:tcPr>
          <w:p>
            <w:pPr>
              <w:ind w:left="180"/>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Separate Chairman and CEO roles</w:t>
            </w:r>
          </w:p>
        </w:tc>
      </w:tr>
      <w:tr>
        <w:trPr>
          <w:trHeight w:val="403"/>
        </w:trPr>
        <w:tc>
          <w:tcPr>
            <w:tcW w:w="4480" w:type="dxa"/>
            <w:vAlign w:val="bottom"/>
          </w:tcPr>
          <w:p>
            <w:pPr>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Annual say-on-pay vote</w:t>
            </w:r>
          </w:p>
        </w:tc>
        <w:tc>
          <w:tcPr>
            <w:tcW w:w="4220" w:type="dxa"/>
            <w:vAlign w:val="bottom"/>
          </w:tcPr>
          <w:p>
            <w:pPr>
              <w:ind w:left="180"/>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Majority vote for directors in uncontested election</w:t>
            </w:r>
          </w:p>
        </w:tc>
      </w:tr>
      <w:tr>
        <w:trPr>
          <w:trHeight w:val="325"/>
        </w:trPr>
        <w:tc>
          <w:tcPr>
            <w:tcW w:w="4480" w:type="dxa"/>
            <w:vAlign w:val="bottom"/>
          </w:tcPr>
          <w:p>
            <w:pPr>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Robust stock ownership guidelines for all executive</w:t>
            </w:r>
          </w:p>
        </w:tc>
        <w:tc>
          <w:tcPr>
            <w:tcW w:w="4220" w:type="dxa"/>
            <w:vAlign w:val="bottom"/>
          </w:tcPr>
          <w:p>
            <w:pPr>
              <w:ind w:left="180"/>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Independent directors regularly meet in executive</w:t>
            </w:r>
          </w:p>
        </w:tc>
      </w:tr>
      <w:tr>
        <w:trPr>
          <w:trHeight w:val="214"/>
        </w:trPr>
        <w:tc>
          <w:tcPr>
            <w:tcW w:w="4480" w:type="dxa"/>
            <w:vAlign w:val="bottom"/>
          </w:tcPr>
          <w:p>
            <w:pPr>
              <w:ind w:left="320"/>
              <w:spacing w:after="0"/>
              <w:rPr>
                <w:sz w:val="20"/>
                <w:szCs w:val="20"/>
                <w:color w:val="auto"/>
              </w:rPr>
            </w:pPr>
            <w:r>
              <w:rPr>
                <w:rFonts w:ascii="Arial" w:cs="Arial" w:eastAsia="Arial" w:hAnsi="Arial"/>
                <w:sz w:val="16"/>
                <w:szCs w:val="16"/>
                <w:color w:val="262626"/>
              </w:rPr>
              <w:t>officers and directors</w:t>
            </w:r>
          </w:p>
        </w:tc>
        <w:tc>
          <w:tcPr>
            <w:tcW w:w="4220" w:type="dxa"/>
            <w:vAlign w:val="bottom"/>
          </w:tcPr>
          <w:p>
            <w:pPr>
              <w:ind w:left="440"/>
              <w:spacing w:after="0"/>
              <w:rPr>
                <w:sz w:val="20"/>
                <w:szCs w:val="20"/>
                <w:color w:val="auto"/>
              </w:rPr>
            </w:pPr>
            <w:r>
              <w:rPr>
                <w:rFonts w:ascii="Arial" w:cs="Arial" w:eastAsia="Arial" w:hAnsi="Arial"/>
                <w:sz w:val="16"/>
                <w:szCs w:val="16"/>
                <w:color w:val="262626"/>
              </w:rPr>
              <w:t>session</w:t>
            </w:r>
          </w:p>
        </w:tc>
      </w:tr>
      <w:tr>
        <w:trPr>
          <w:trHeight w:val="414"/>
        </w:trPr>
        <w:tc>
          <w:tcPr>
            <w:tcW w:w="4480" w:type="dxa"/>
            <w:vAlign w:val="bottom"/>
          </w:tcPr>
          <w:p>
            <w:pPr>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No hedging of stock by employees and directors</w:t>
            </w:r>
          </w:p>
        </w:tc>
        <w:tc>
          <w:tcPr>
            <w:tcW w:w="4220" w:type="dxa"/>
            <w:vAlign w:val="bottom"/>
          </w:tcPr>
          <w:p>
            <w:pPr>
              <w:ind w:left="180"/>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Annual Board and committee evaluations</w:t>
            </w:r>
          </w:p>
        </w:tc>
      </w:tr>
      <w:tr>
        <w:trPr>
          <w:trHeight w:val="325"/>
        </w:trPr>
        <w:tc>
          <w:tcPr>
            <w:tcW w:w="4480" w:type="dxa"/>
            <w:vAlign w:val="bottom"/>
          </w:tcPr>
          <w:p>
            <w:pPr>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No pledging of stock by employees or, unless a limited</w:t>
            </w:r>
          </w:p>
        </w:tc>
        <w:tc>
          <w:tcPr>
            <w:tcW w:w="4220" w:type="dxa"/>
            <w:vAlign w:val="bottom"/>
          </w:tcPr>
          <w:p>
            <w:pPr>
              <w:ind w:left="180"/>
              <w:spacing w:after="0" w:line="219" w:lineRule="exact"/>
              <w:rPr>
                <w:sz w:val="20"/>
                <w:szCs w:val="20"/>
                <w:color w:val="auto"/>
              </w:rPr>
            </w:pPr>
            <w:r>
              <w:rPr>
                <w:rFonts w:ascii="MS PGothic" w:cs="MS PGothic" w:eastAsia="MS PGothic" w:hAnsi="MS PGothic"/>
                <w:sz w:val="19"/>
                <w:szCs w:val="19"/>
                <w:color w:val="CF0A2C"/>
              </w:rPr>
              <w:t>✔</w:t>
            </w:r>
            <w:r>
              <w:rPr>
                <w:rFonts w:ascii="Arial" w:cs="Arial" w:eastAsia="Arial" w:hAnsi="Arial"/>
                <w:sz w:val="16"/>
                <w:szCs w:val="16"/>
                <w:color w:val="262626"/>
              </w:rPr>
              <w:t xml:space="preserve"> Active CEO and senior management succession</w:t>
            </w:r>
          </w:p>
        </w:tc>
      </w:tr>
      <w:tr>
        <w:trPr>
          <w:trHeight w:val="214"/>
        </w:trPr>
        <w:tc>
          <w:tcPr>
            <w:tcW w:w="4480" w:type="dxa"/>
            <w:vAlign w:val="bottom"/>
          </w:tcPr>
          <w:p>
            <w:pPr>
              <w:ind w:left="320"/>
              <w:spacing w:after="0"/>
              <w:rPr>
                <w:sz w:val="20"/>
                <w:szCs w:val="20"/>
                <w:color w:val="auto"/>
              </w:rPr>
            </w:pPr>
            <w:r>
              <w:rPr>
                <w:rFonts w:ascii="Arial" w:cs="Arial" w:eastAsia="Arial" w:hAnsi="Arial"/>
                <w:sz w:val="16"/>
                <w:szCs w:val="16"/>
                <w:color w:val="262626"/>
              </w:rPr>
              <w:t>exception is approved, by executive officers or directors</w:t>
            </w:r>
          </w:p>
        </w:tc>
        <w:tc>
          <w:tcPr>
            <w:tcW w:w="4220" w:type="dxa"/>
            <w:vAlign w:val="bottom"/>
          </w:tcPr>
          <w:p>
            <w:pPr>
              <w:ind w:left="440"/>
              <w:spacing w:after="0"/>
              <w:rPr>
                <w:sz w:val="20"/>
                <w:szCs w:val="20"/>
                <w:color w:val="auto"/>
              </w:rPr>
            </w:pPr>
            <w:r>
              <w:rPr>
                <w:rFonts w:ascii="Arial" w:cs="Arial" w:eastAsia="Arial" w:hAnsi="Arial"/>
                <w:sz w:val="16"/>
                <w:szCs w:val="16"/>
                <w:color w:val="262626"/>
              </w:rPr>
              <w:t>review</w:t>
            </w:r>
          </w:p>
        </w:tc>
      </w:tr>
      <w:tr>
        <w:trPr>
          <w:trHeight w:val="163"/>
        </w:trPr>
        <w:tc>
          <w:tcPr>
            <w:tcW w:w="4480" w:type="dxa"/>
            <w:vAlign w:val="bottom"/>
            <w:tcBorders>
              <w:bottom w:val="single" w:sz="8" w:color="CF0A2C"/>
            </w:tcBorders>
          </w:tcPr>
          <w:p>
            <w:pPr>
              <w:spacing w:after="0"/>
              <w:rPr>
                <w:sz w:val="14"/>
                <w:szCs w:val="14"/>
                <w:color w:val="auto"/>
              </w:rPr>
            </w:pPr>
          </w:p>
        </w:tc>
        <w:tc>
          <w:tcPr>
            <w:tcW w:w="4220" w:type="dxa"/>
            <w:vAlign w:val="bottom"/>
            <w:tcBorders>
              <w:bottom w:val="single" w:sz="8" w:color="CF0A2C"/>
            </w:tcBorders>
          </w:tcPr>
          <w:p>
            <w:pPr>
              <w:spacing w:after="0"/>
              <w:rPr>
                <w:sz w:val="14"/>
                <w:szCs w:val="14"/>
                <w:color w:val="auto"/>
              </w:rPr>
            </w:pPr>
          </w:p>
        </w:tc>
      </w:tr>
    </w:tbl>
    <w:p>
      <w:pPr>
        <w:spacing w:after="0" w:line="20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CODE OF ETHICS AND BUSINESS CONDUCT</w:t>
      </w:r>
    </w:p>
    <w:p>
      <w:pPr>
        <w:spacing w:after="0" w:line="227" w:lineRule="exact"/>
        <w:rPr>
          <w:sz w:val="20"/>
          <w:szCs w:val="20"/>
          <w:color w:val="auto"/>
        </w:rPr>
      </w:pPr>
    </w:p>
    <w:p>
      <w:pPr>
        <w:jc w:val="both"/>
        <w:ind w:left="1280" w:right="159"/>
        <w:spacing w:after="0" w:line="336" w:lineRule="auto"/>
        <w:rPr>
          <w:sz w:val="20"/>
          <w:szCs w:val="20"/>
          <w:color w:val="auto"/>
        </w:rPr>
      </w:pPr>
      <w:r>
        <w:rPr>
          <w:rFonts w:ascii="Arial" w:cs="Arial" w:eastAsia="Arial" w:hAnsi="Arial"/>
          <w:sz w:val="16"/>
          <w:szCs w:val="16"/>
          <w:color w:val="262626"/>
        </w:rPr>
        <w:t>Our Board has adopted a Code of Ethics and Business Conduct (the “Code of Ethics”) that is applicable to all members of our Board, employees, including executive officers, and certain contractors and consultants of Broadcom and its subsidiaries. The Code of Ethics guides us in how we conduct our business and work with each other, and reflects our values, standards and expectations. Any amendments to or waivers given to our executive officers or directors under the Code of Ethics will be disclosed on our website to the extent required under the applicable Securities and Exchange Commission (“SEC”) rules or Nasdaq Stock Market (“Nasdaq”) listing standards.</w:t>
      </w:r>
    </w:p>
    <w:p>
      <w:pPr>
        <w:spacing w:after="0" w:line="105"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A copy of the Code of Ethics is available in the “Investor Center — Corporate Governance” section of our website or upon request to: Investor Relations, Broadcom Inc., 3421 Hillview Avenue, Palo Alto, California 94304.</w:t>
      </w:r>
    </w:p>
    <w:p>
      <w:pPr>
        <w:spacing w:after="0" w:line="12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CORPORATE GOVERNANCE GUIDELINES</w:t>
      </w:r>
    </w:p>
    <w:p>
      <w:pPr>
        <w:spacing w:after="0" w:line="214"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Our Board has adopted the Corporate Governance Guidelines that cover various topics relating to our Board and its activities. A copy of the Corporate Governance Guidelines is available in the “Investor Center — Corporate Governance” section of our website or upon request to: Investor Relations, Broadcom Inc., 3421 Hillview Avenue, Palo Alto, California 94304. A summary of our key governance practices in the Corporate Governance Guidelines is set forth below.</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Protections Against Overboarding</w:t>
      </w:r>
    </w:p>
    <w:p>
      <w:pPr>
        <w:spacing w:after="0" w:line="215"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To ensure that our directors are not over-committed and have sufficient time to fulfill their duties and responsibilities on our Board effectively, directors may not serve on more than four other public company boards without prior approval, except that a director who also serves as the chief executive officer of a public company should not serve on more than a total of three public company boards (including our Board). The Nominating and Corporate Governance Committee (the “NCG Committee”) regularly reviews the commitments of our directors, including the number of other public company directorships and the profile of the public companies.</w:t>
      </w:r>
    </w:p>
    <w:p>
      <w:pPr>
        <w:spacing w:after="0" w:line="106" w:lineRule="exact"/>
        <w:rPr>
          <w:sz w:val="20"/>
          <w:szCs w:val="20"/>
          <w:color w:val="auto"/>
        </w:rPr>
      </w:pPr>
    </w:p>
    <w:p>
      <w:pPr>
        <w:jc w:val="both"/>
        <w:ind w:left="1280" w:right="159"/>
        <w:spacing w:after="0" w:line="336" w:lineRule="auto"/>
        <w:rPr>
          <w:sz w:val="20"/>
          <w:szCs w:val="20"/>
          <w:color w:val="auto"/>
        </w:rPr>
      </w:pPr>
      <w:r>
        <w:rPr>
          <w:rFonts w:ascii="Arial" w:cs="Arial" w:eastAsia="Arial" w:hAnsi="Arial"/>
          <w:sz w:val="16"/>
          <w:szCs w:val="16"/>
          <w:color w:val="262626"/>
        </w:rPr>
        <w:t>When considering any requests to serve on additional public company boards, our Board, with the NCG Committee, carefully reviews such director’s prior time and attention to our Board and ability to continue to dedicate sufficient time to fulfill the responsibilities required as a member of our Board. Our Board also considers such director’s contributions to our Board and whether such director’s service with the other public company boards will impact service on our Board and the committees on which the director is a member, including if the other public company is a special purpose acquisition company.</w:t>
      </w:r>
    </w:p>
    <w:p>
      <w:pPr>
        <w:sectPr>
          <w:pgSz w:w="11900" w:h="16838" w:orient="portrait"/>
          <w:cols w:equalWidth="0" w:num="1">
            <w:col w:w="10139"/>
          </w:cols>
          <w:pgMar w:left="320" w:top="480" w:right="1440" w:bottom="1440" w:gutter="0" w:footer="0" w:header="0"/>
        </w:sectPr>
      </w:pPr>
    </w:p>
    <w:p>
      <w:pPr>
        <w:spacing w:after="0" w:line="75" w:lineRule="exact"/>
        <w:rPr>
          <w:sz w:val="20"/>
          <w:szCs w:val="20"/>
          <w:color w:val="auto"/>
        </w:rPr>
      </w:pPr>
    </w:p>
    <w:p>
      <w:pPr>
        <w:ind w:left="9880"/>
        <w:spacing w:after="0"/>
        <w:rPr>
          <w:sz w:val="20"/>
          <w:szCs w:val="20"/>
          <w:color w:val="auto"/>
        </w:rPr>
      </w:pPr>
      <w:r>
        <w:rPr>
          <w:rFonts w:ascii="Arial" w:cs="Arial" w:eastAsia="Arial" w:hAnsi="Arial"/>
          <w:sz w:val="15"/>
          <w:szCs w:val="15"/>
          <w:color w:val="26262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43"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Resignation Offered with Significant Job Change</w:t>
      </w:r>
    </w:p>
    <w:p>
      <w:pPr>
        <w:spacing w:after="0" w:line="202"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Any director who retires from or terminates his or her present employment or who materially changes his or her position is required to submit an offer of resignation as a director of our Board. Our Board will then evaluate whether such director should continue as a director of our Board in light of the new occupational status. Our Board, following review by the NCG Committee, may invite any such director to remain a director if our Board determines that the director’s continued service is in the best interests of Broadcom and our stockholders.</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Resignation Offered at Age 75</w:t>
      </w:r>
    </w:p>
    <w:p>
      <w:pPr>
        <w:spacing w:after="0" w:line="202" w:lineRule="exact"/>
        <w:rPr>
          <w:sz w:val="20"/>
          <w:szCs w:val="20"/>
          <w:color w:val="auto"/>
        </w:rPr>
      </w:pPr>
    </w:p>
    <w:p>
      <w:pPr>
        <w:jc w:val="both"/>
        <w:ind w:left="1280" w:right="159"/>
        <w:spacing w:after="0" w:line="336" w:lineRule="auto"/>
        <w:rPr>
          <w:sz w:val="20"/>
          <w:szCs w:val="20"/>
          <w:color w:val="auto"/>
        </w:rPr>
      </w:pPr>
      <w:r>
        <w:rPr>
          <w:rFonts w:ascii="Arial" w:cs="Arial" w:eastAsia="Arial" w:hAnsi="Arial"/>
          <w:sz w:val="16"/>
          <w:szCs w:val="16"/>
          <w:color w:val="262626"/>
        </w:rPr>
        <w:t>Our Board does not currently believe that a mandatory retirement age for non-employee directors is necessary and believes that continued service by a particular director may be in the best interests of Broadcom and our stockholders. However, when a non-employee director reaches 75 years of age, the director is required to offer his or her resignation to our Board, to be effective as of the next annual meeting of stockholders. Our Board will then determine whether or not to accept such offer of resignation based on the needs of our Board, including the composition of our Board, and the interests of Broadcom and our stockholders.</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STOCK OWNERSHIP GUIDELINES</w:t>
      </w:r>
    </w:p>
    <w:p>
      <w:pPr>
        <w:spacing w:after="0" w:line="214"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The Compensation Committee has put in place robust stock ownership guidelines for our non-employee directors and executive officers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57150</wp:posOffset>
            </wp:positionV>
            <wp:extent cx="55225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77"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6"/>
                <w:szCs w:val="16"/>
                <w:b w:val="1"/>
                <w:bCs w:val="1"/>
                <w:color w:val="262626"/>
              </w:rPr>
              <w:t>Position</w:t>
            </w:r>
          </w:p>
        </w:tc>
        <w:tc>
          <w:tcPr>
            <w:tcW w:w="4980" w:type="dxa"/>
            <w:vAlign w:val="bottom"/>
          </w:tcPr>
          <w:p>
            <w:pPr>
              <w:jc w:val="center"/>
              <w:ind w:left="699"/>
              <w:spacing w:after="0"/>
              <w:rPr>
                <w:sz w:val="20"/>
                <w:szCs w:val="20"/>
                <w:color w:val="auto"/>
              </w:rPr>
            </w:pPr>
            <w:r>
              <w:rPr>
                <w:rFonts w:ascii="Arial" w:cs="Arial" w:eastAsia="Arial" w:hAnsi="Arial"/>
                <w:sz w:val="16"/>
                <w:szCs w:val="16"/>
                <w:b w:val="1"/>
                <w:bCs w:val="1"/>
                <w:color w:val="262626"/>
              </w:rPr>
              <w:t>Stock Ownership</w:t>
            </w:r>
          </w:p>
        </w:tc>
      </w:tr>
      <w:tr>
        <w:trPr>
          <w:trHeight w:val="128"/>
        </w:trPr>
        <w:tc>
          <w:tcPr>
            <w:tcW w:w="3720" w:type="dxa"/>
            <w:vAlign w:val="bottom"/>
            <w:tcBorders>
              <w:bottom w:val="single" w:sz="8" w:color="CF0A2C"/>
            </w:tcBorders>
          </w:tcPr>
          <w:p>
            <w:pPr>
              <w:spacing w:after="0"/>
              <w:rPr>
                <w:sz w:val="11"/>
                <w:szCs w:val="11"/>
                <w:color w:val="auto"/>
              </w:rPr>
            </w:pPr>
          </w:p>
        </w:tc>
        <w:tc>
          <w:tcPr>
            <w:tcW w:w="4980" w:type="dxa"/>
            <w:vAlign w:val="bottom"/>
            <w:tcBorders>
              <w:bottom w:val="single" w:sz="8" w:color="CF0A2C"/>
            </w:tcBorders>
          </w:tcPr>
          <w:p>
            <w:pPr>
              <w:spacing w:after="0"/>
              <w:rPr>
                <w:sz w:val="11"/>
                <w:szCs w:val="11"/>
                <w:color w:val="auto"/>
              </w:rPr>
            </w:pPr>
          </w:p>
        </w:tc>
      </w:tr>
      <w:tr>
        <w:trPr>
          <w:trHeight w:val="274"/>
        </w:trPr>
        <w:tc>
          <w:tcPr>
            <w:tcW w:w="3720" w:type="dxa"/>
            <w:vAlign w:val="bottom"/>
          </w:tcPr>
          <w:p>
            <w:pPr>
              <w:spacing w:after="0"/>
              <w:rPr>
                <w:sz w:val="20"/>
                <w:szCs w:val="20"/>
                <w:color w:val="auto"/>
              </w:rPr>
            </w:pPr>
            <w:r>
              <w:rPr>
                <w:rFonts w:ascii="Arial" w:cs="Arial" w:eastAsia="Arial" w:hAnsi="Arial"/>
                <w:sz w:val="16"/>
                <w:szCs w:val="16"/>
                <w:color w:val="262626"/>
              </w:rPr>
              <w:t>Non-Employee Director</w:t>
            </w:r>
          </w:p>
        </w:tc>
        <w:tc>
          <w:tcPr>
            <w:tcW w:w="4980" w:type="dxa"/>
            <w:vAlign w:val="bottom"/>
          </w:tcPr>
          <w:p>
            <w:pPr>
              <w:jc w:val="center"/>
              <w:ind w:left="719"/>
              <w:spacing w:after="0"/>
              <w:rPr>
                <w:sz w:val="20"/>
                <w:szCs w:val="20"/>
                <w:color w:val="auto"/>
              </w:rPr>
            </w:pPr>
            <w:r>
              <w:rPr>
                <w:rFonts w:ascii="Arial" w:cs="Arial" w:eastAsia="Arial" w:hAnsi="Arial"/>
                <w:sz w:val="16"/>
                <w:szCs w:val="16"/>
                <w:color w:val="262626"/>
              </w:rPr>
              <w:t>5x Annual Cash Retainer</w:t>
            </w:r>
          </w:p>
        </w:tc>
      </w:tr>
      <w:tr>
        <w:trPr>
          <w:trHeight w:val="389"/>
        </w:trPr>
        <w:tc>
          <w:tcPr>
            <w:tcW w:w="3720" w:type="dxa"/>
            <w:vAlign w:val="bottom"/>
          </w:tcPr>
          <w:p>
            <w:pPr>
              <w:spacing w:after="0"/>
              <w:rPr>
                <w:sz w:val="20"/>
                <w:szCs w:val="20"/>
                <w:color w:val="auto"/>
              </w:rPr>
            </w:pPr>
            <w:r>
              <w:rPr>
                <w:rFonts w:ascii="Arial" w:cs="Arial" w:eastAsia="Arial" w:hAnsi="Arial"/>
                <w:sz w:val="16"/>
                <w:szCs w:val="16"/>
                <w:color w:val="262626"/>
              </w:rPr>
              <w:t>CEO</w:t>
            </w:r>
          </w:p>
        </w:tc>
        <w:tc>
          <w:tcPr>
            <w:tcW w:w="4980" w:type="dxa"/>
            <w:vAlign w:val="bottom"/>
          </w:tcPr>
          <w:p>
            <w:pPr>
              <w:jc w:val="center"/>
              <w:ind w:left="699"/>
              <w:spacing w:after="0"/>
              <w:rPr>
                <w:sz w:val="20"/>
                <w:szCs w:val="20"/>
                <w:color w:val="auto"/>
              </w:rPr>
            </w:pPr>
            <w:r>
              <w:rPr>
                <w:rFonts w:ascii="Arial" w:cs="Arial" w:eastAsia="Arial" w:hAnsi="Arial"/>
                <w:sz w:val="16"/>
                <w:szCs w:val="16"/>
                <w:color w:val="262626"/>
              </w:rPr>
              <w:t>6x Base Salary</w:t>
            </w:r>
          </w:p>
        </w:tc>
      </w:tr>
      <w:tr>
        <w:trPr>
          <w:trHeight w:val="389"/>
        </w:trPr>
        <w:tc>
          <w:tcPr>
            <w:tcW w:w="3720" w:type="dxa"/>
            <w:vAlign w:val="bottom"/>
          </w:tcPr>
          <w:p>
            <w:pPr>
              <w:spacing w:after="0"/>
              <w:rPr>
                <w:sz w:val="20"/>
                <w:szCs w:val="20"/>
                <w:color w:val="auto"/>
              </w:rPr>
            </w:pPr>
            <w:r>
              <w:rPr>
                <w:rFonts w:ascii="Arial" w:cs="Arial" w:eastAsia="Arial" w:hAnsi="Arial"/>
                <w:sz w:val="16"/>
                <w:szCs w:val="16"/>
                <w:color w:val="262626"/>
              </w:rPr>
              <w:t>Other Executive Officers</w:t>
            </w:r>
          </w:p>
        </w:tc>
        <w:tc>
          <w:tcPr>
            <w:tcW w:w="4980" w:type="dxa"/>
            <w:vAlign w:val="bottom"/>
          </w:tcPr>
          <w:p>
            <w:pPr>
              <w:jc w:val="center"/>
              <w:ind w:left="699"/>
              <w:spacing w:after="0"/>
              <w:rPr>
                <w:sz w:val="20"/>
                <w:szCs w:val="20"/>
                <w:color w:val="auto"/>
              </w:rPr>
            </w:pPr>
            <w:r>
              <w:rPr>
                <w:rFonts w:ascii="Arial" w:cs="Arial" w:eastAsia="Arial" w:hAnsi="Arial"/>
                <w:sz w:val="16"/>
                <w:szCs w:val="16"/>
                <w:color w:val="262626"/>
              </w:rPr>
              <w:t>3x Base Salary</w:t>
            </w:r>
          </w:p>
        </w:tc>
      </w:tr>
    </w:tbl>
    <w:p>
      <w:pPr>
        <w:spacing w:after="0" w:line="256"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Shares owned outright or indirectly beneficially owned, as well as unvested restricted stock unit (“RSU”) awards and earned-but-unvested performance stock unit (“PSU”) awards, count towards achieving the stock ownership guidelines. If stock options are granted, shares subject to unexercised stock options would not count towards achieving the stock ownership guidelines.</w:t>
      </w:r>
    </w:p>
    <w:p>
      <w:pPr>
        <w:spacing w:after="0" w:line="101" w:lineRule="exact"/>
        <w:rPr>
          <w:sz w:val="20"/>
          <w:szCs w:val="20"/>
          <w:color w:val="auto"/>
        </w:rPr>
      </w:pPr>
    </w:p>
    <w:p>
      <w:pPr>
        <w:jc w:val="both"/>
        <w:ind w:left="1280" w:right="179"/>
        <w:spacing w:after="0" w:line="352" w:lineRule="auto"/>
        <w:rPr>
          <w:sz w:val="20"/>
          <w:szCs w:val="20"/>
          <w:color w:val="auto"/>
        </w:rPr>
      </w:pPr>
      <w:r>
        <w:rPr>
          <w:rFonts w:ascii="Arial" w:cs="Arial" w:eastAsia="Arial" w:hAnsi="Arial"/>
          <w:sz w:val="16"/>
          <w:szCs w:val="16"/>
          <w:color w:val="262626"/>
        </w:rPr>
        <w:t>Our non-employee directors and executive officers are expected to satisfy the applicable stock ownership guidelines within five years after the date on which they become a director or an executive officer and hold at least such minimum value in shares of common stock while they remain a director or an executive officer.</w:t>
      </w:r>
    </w:p>
    <w:p>
      <w:pPr>
        <w:spacing w:after="0" w:line="90" w:lineRule="exact"/>
        <w:rPr>
          <w:sz w:val="20"/>
          <w:szCs w:val="20"/>
          <w:color w:val="auto"/>
        </w:rPr>
      </w:pPr>
    </w:p>
    <w:p>
      <w:pPr>
        <w:jc w:val="both"/>
        <w:ind w:left="1280" w:right="159"/>
        <w:spacing w:after="0" w:line="371" w:lineRule="auto"/>
        <w:rPr>
          <w:sz w:val="20"/>
          <w:szCs w:val="20"/>
          <w:color w:val="auto"/>
        </w:rPr>
      </w:pPr>
      <w:r>
        <w:rPr>
          <w:rFonts w:ascii="Arial" w:cs="Arial" w:eastAsia="Arial" w:hAnsi="Arial"/>
          <w:sz w:val="16"/>
          <w:szCs w:val="16"/>
          <w:color w:val="262626"/>
        </w:rPr>
        <w:t>Based on the closing price of Broadcom common stock on the Record Date, all of our non-employee directors and executive officers have met the level of ownership in our stock ownership guidelines.</w:t>
      </w:r>
    </w:p>
    <w:p>
      <w:pPr>
        <w:spacing w:after="0" w:line="12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RESTRICTIONS ON TRANSACTIONS INVOLVING OUR SECURITIES</w:t>
      </w: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Insider Trading Compliance Policy</w:t>
      </w:r>
    </w:p>
    <w:p>
      <w:pPr>
        <w:spacing w:after="0" w:line="202" w:lineRule="exact"/>
        <w:rPr>
          <w:sz w:val="20"/>
          <w:szCs w:val="20"/>
          <w:color w:val="auto"/>
        </w:rPr>
      </w:pPr>
    </w:p>
    <w:p>
      <w:pPr>
        <w:jc w:val="both"/>
        <w:ind w:left="1280" w:right="159"/>
        <w:spacing w:after="0" w:line="352" w:lineRule="auto"/>
        <w:rPr>
          <w:sz w:val="20"/>
          <w:szCs w:val="20"/>
          <w:color w:val="auto"/>
        </w:rPr>
      </w:pPr>
      <w:r>
        <w:rPr>
          <w:rFonts w:ascii="Arial" w:cs="Arial" w:eastAsia="Arial" w:hAnsi="Arial"/>
          <w:sz w:val="16"/>
          <w:szCs w:val="16"/>
          <w:color w:val="262626"/>
        </w:rPr>
        <w:t>Broadcom has adopted an Insider Trading Compliance Policy that governs the purchase, sale, and/or other transactions of our securities by our directors, officers and employees, and Broadcom itself. A copy of our Insider Trading Compliance Policy was filed as an exhibit to our 2025 Annual Report.</w:t>
      </w:r>
    </w:p>
    <w:p>
      <w:pPr>
        <w:spacing w:after="0" w:line="14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Anti-Hedging and Anti-Pledging Restrictions</w:t>
      </w:r>
    </w:p>
    <w:p>
      <w:pPr>
        <w:spacing w:after="0" w:line="202"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Our Insider Trading Compliance Policy prohibits all members of our Board and employees, including executive officers, from hedging Broadcom securities, including using calls, options, puts, collars or other instruments to hedge or offset decreases in the market value of Broadcom securities, short selling Broadcom securities, trading in derivative securities related to Broadcom securities or pledging Broadcom securities as collateral for loans. Only upon approval by the NCG Committee and our Board and the establishment of conditional parameters by our Board may a director or an executive officer receive a limited exception to pledge Broadcom securities as collateral for a loan. In evaluating any request for a limited exception, the NCG Committee and our Board assess, among other factors they deem relevant, the proposed amount of Broadcom securities to be pledged, the risks associated with the proposed transaction, the key terms of the</w:t>
      </w:r>
    </w:p>
    <w:p>
      <w:pPr>
        <w:sectPr>
          <w:pgSz w:w="11900" w:h="16838" w:orient="portrait"/>
          <w:cols w:equalWidth="0" w:num="1">
            <w:col w:w="10139"/>
          </w:cols>
          <w:pgMar w:left="320" w:top="480" w:right="1440" w:bottom="1440" w:gutter="0" w:footer="0" w:header="0"/>
        </w:sectPr>
      </w:pPr>
    </w:p>
    <w:p>
      <w:pPr>
        <w:spacing w:after="0" w:line="88"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76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5155"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proposed transaction and the purpose of the proposed transaction. Except for Dr. Samueli as provided below, no other executive officer or director, or any of their immediate family members, has pledged shares of Broadcom common stock.</w:t>
      </w:r>
    </w:p>
    <w:p>
      <w:pPr>
        <w:spacing w:after="0" w:line="103" w:lineRule="exact"/>
        <w:rPr>
          <w:sz w:val="20"/>
          <w:szCs w:val="20"/>
          <w:color w:val="auto"/>
        </w:rPr>
      </w:pPr>
    </w:p>
    <w:p>
      <w:pPr>
        <w:jc w:val="both"/>
        <w:ind w:left="1280" w:right="159"/>
        <w:spacing w:after="0" w:line="330" w:lineRule="auto"/>
        <w:rPr>
          <w:sz w:val="20"/>
          <w:szCs w:val="20"/>
          <w:color w:val="auto"/>
        </w:rPr>
      </w:pPr>
      <w:r>
        <w:rPr>
          <w:rFonts w:ascii="Arial" w:cs="Arial" w:eastAsia="Arial" w:hAnsi="Arial"/>
          <w:sz w:val="16"/>
          <w:szCs w:val="16"/>
          <w:color w:val="262626"/>
        </w:rPr>
        <w:t>Upon a request by Dr. Samueli in fiscal 2024 to pledge shares of Broadcom common stock as collateral for loans, the NCG Committee and our Board carefully reviewed and, following approval by the NCG Committee, our Board approved a framework for Dr. Samueli to enter into a pledging arrangement that enables Dr. Samueli to access the funds necessary to pursue a development project called OCVIBE in Orange County, California (as further described below), while also allowing Dr. Samueli to continue to own the pledged shares. The pledging arrangement allows Dr. Samueli to retain his Broadcom common stock, or, if he chooses, to engage in an orderly disposition of his Broadcom common stock over time to extinguish the pledge.</w:t>
      </w:r>
    </w:p>
    <w:p>
      <w:pPr>
        <w:spacing w:after="0" w:line="121"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Under the approved framework, (i) the total number of shares of Broadcom common stock pledged must not exceed 25% of the total number of shares of Broadcom common stock beneficially owned by Dr. Samueli at the time of entering into the pledging arrangement and (ii) the aggregate loan amount collateralized by such pledged shares must not exceed 12.5% of the fair market value of the total number of shares of Broadcom common stock beneficially owned by Dr. Samueli at the time of entering into the pledging arrangement. Any proposed modification to these parameters or entry into a new pledging arrangement would require a new approval by the NCG Committee and our Board.</w:t>
      </w:r>
    </w:p>
    <w:p>
      <w:pPr>
        <w:spacing w:after="0" w:line="106" w:lineRule="exact"/>
        <w:rPr>
          <w:sz w:val="20"/>
          <w:szCs w:val="20"/>
          <w:color w:val="auto"/>
        </w:rPr>
      </w:pPr>
    </w:p>
    <w:p>
      <w:pPr>
        <w:jc w:val="both"/>
        <w:ind w:left="1280" w:right="179"/>
        <w:spacing w:after="0" w:line="336" w:lineRule="auto"/>
        <w:rPr>
          <w:sz w:val="20"/>
          <w:szCs w:val="20"/>
          <w:color w:val="auto"/>
        </w:rPr>
      </w:pPr>
      <w:r>
        <w:rPr>
          <w:rFonts w:ascii="Arial" w:cs="Arial" w:eastAsia="Arial" w:hAnsi="Arial"/>
          <w:sz w:val="16"/>
          <w:szCs w:val="16"/>
          <w:color w:val="262626"/>
        </w:rPr>
        <w:t>Pursuant to our Board’s approval of this limited exception, Dr. Samueli has pledged shares of Broadcom common stock to secure loans for a development project called OCVIBE in Orange County, California, that aims to create jobs, affordable housing and a central community hub for Orange County and its surrounding communities. On November 15, 2024, Dr. Samueli pledged 16,175,000 shares of Broadcom common stock (the “Pledged Shares”), which, at that time, represented approximately 18% of the total shares beneficially owned by Dr. Samueli and 0.3% of the total outstanding shares of Broadcom common stock.</w:t>
      </w:r>
    </w:p>
    <w:p>
      <w:pPr>
        <w:spacing w:after="0" w:line="105"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Our Board was advised by outside counsel of the Board’s responsibilities in connection with its determination whether to grant a limited exception to the policy prohibiting pledging of Broadcom securities, the potential risks associated with Dr. Samueli’s pledging arrangement, including the possibility the pledge could result in a forced sale of the Pledged Shares, and the developments in other issuers’ practices and policies with respect to pledging. The NCG Committee and our Board considered the following factors, among others, at that time and continue to believe that Dr. Samueli’s pledging arrangement does not pose a material risk to Broadcom or our stockholders, in part because:</w:t>
      </w:r>
    </w:p>
    <w:p>
      <w:pPr>
        <w:spacing w:after="0" w:line="92" w:lineRule="exact"/>
        <w:rPr>
          <w:sz w:val="20"/>
          <w:szCs w:val="20"/>
          <w:color w:val="auto"/>
        </w:rPr>
      </w:pPr>
    </w:p>
    <w:p>
      <w:pPr>
        <w:jc w:val="both"/>
        <w:ind w:left="1860" w:right="159" w:hanging="249"/>
        <w:spacing w:after="0" w:line="339" w:lineRule="auto"/>
        <w:tabs>
          <w:tab w:leader="none" w:pos="1860" w:val="left"/>
        </w:tabs>
        <w:numPr>
          <w:ilvl w:val="0"/>
          <w:numId w:val="3"/>
        </w:numPr>
        <w:rPr>
          <w:rFonts w:ascii="Arial" w:cs="Arial" w:eastAsia="Arial" w:hAnsi="Arial"/>
          <w:sz w:val="16"/>
          <w:szCs w:val="16"/>
          <w:color w:val="262626"/>
        </w:rPr>
      </w:pPr>
      <w:r>
        <w:rPr>
          <w:rFonts w:ascii="Arial" w:cs="Arial" w:eastAsia="Arial" w:hAnsi="Arial"/>
          <w:sz w:val="16"/>
          <w:szCs w:val="16"/>
          <w:color w:val="262626"/>
        </w:rPr>
        <w:t>The Pledged Shares are not being used for the purpose of shifting or hedging Dr. Samueli’s economic risk in owning Broadcom common stock. The approval of a limited exception allows Dr. Samueli to retain a substantial equity interest in Broadcom while supporting the development of the Orange County community and its surrounding communities.</w:t>
      </w:r>
    </w:p>
    <w:p>
      <w:pPr>
        <w:spacing w:after="0" w:line="87" w:lineRule="exact"/>
        <w:rPr>
          <w:rFonts w:ascii="Arial" w:cs="Arial" w:eastAsia="Arial" w:hAnsi="Arial"/>
          <w:sz w:val="16"/>
          <w:szCs w:val="16"/>
          <w:color w:val="262626"/>
        </w:rPr>
      </w:pPr>
    </w:p>
    <w:p>
      <w:pPr>
        <w:jc w:val="both"/>
        <w:ind w:left="1860" w:right="159" w:hanging="249"/>
        <w:spacing w:after="0" w:line="343" w:lineRule="auto"/>
        <w:tabs>
          <w:tab w:leader="none" w:pos="1860" w:val="left"/>
        </w:tabs>
        <w:numPr>
          <w:ilvl w:val="0"/>
          <w:numId w:val="3"/>
        </w:numPr>
        <w:rPr>
          <w:rFonts w:ascii="Arial" w:cs="Arial" w:eastAsia="Arial" w:hAnsi="Arial"/>
          <w:sz w:val="16"/>
          <w:szCs w:val="16"/>
          <w:color w:val="262626"/>
        </w:rPr>
      </w:pPr>
      <w:r>
        <w:rPr>
          <w:rFonts w:ascii="Arial" w:cs="Arial" w:eastAsia="Arial" w:hAnsi="Arial"/>
          <w:sz w:val="16"/>
          <w:szCs w:val="16"/>
          <w:color w:val="262626"/>
        </w:rPr>
        <w:t>If our Board had not permitted Dr. Samueli to pledge a portion of his shares of Broadcom common stock, he likely would have chosen, at the time of the pledge, to instead dispose of his shares of Broadcom common stock to fund the development project.</w:t>
      </w:r>
    </w:p>
    <w:p>
      <w:pPr>
        <w:spacing w:after="0" w:line="83" w:lineRule="exact"/>
        <w:rPr>
          <w:rFonts w:ascii="Arial" w:cs="Arial" w:eastAsia="Arial" w:hAnsi="Arial"/>
          <w:sz w:val="16"/>
          <w:szCs w:val="16"/>
          <w:color w:val="262626"/>
        </w:rPr>
      </w:pPr>
    </w:p>
    <w:p>
      <w:pPr>
        <w:jc w:val="both"/>
        <w:ind w:left="1860" w:right="159" w:hanging="249"/>
        <w:spacing w:after="0" w:line="343" w:lineRule="auto"/>
        <w:tabs>
          <w:tab w:leader="none" w:pos="1860" w:val="left"/>
        </w:tabs>
        <w:numPr>
          <w:ilvl w:val="0"/>
          <w:numId w:val="3"/>
        </w:numPr>
        <w:rPr>
          <w:rFonts w:ascii="Arial" w:cs="Arial" w:eastAsia="Arial" w:hAnsi="Arial"/>
          <w:sz w:val="16"/>
          <w:szCs w:val="16"/>
          <w:color w:val="262626"/>
        </w:rPr>
      </w:pPr>
      <w:r>
        <w:rPr>
          <w:rFonts w:ascii="Arial" w:cs="Arial" w:eastAsia="Arial" w:hAnsi="Arial"/>
          <w:sz w:val="16"/>
          <w:szCs w:val="16"/>
          <w:color w:val="262626"/>
        </w:rPr>
        <w:t>The aggregate number of shares of Broadcom common stock pledged by Dr. Samueli in relation to the total number of shares of Broadcom common stock outstanding continues to be small, representing only 0.3% of Broadcom’s outstanding shares as of February 24, 2026.</w:t>
      </w:r>
    </w:p>
    <w:p>
      <w:pPr>
        <w:spacing w:after="0" w:line="83" w:lineRule="exact"/>
        <w:rPr>
          <w:rFonts w:ascii="Arial" w:cs="Arial" w:eastAsia="Arial" w:hAnsi="Arial"/>
          <w:sz w:val="16"/>
          <w:szCs w:val="16"/>
          <w:color w:val="262626"/>
        </w:rPr>
      </w:pPr>
    </w:p>
    <w:p>
      <w:pPr>
        <w:jc w:val="both"/>
        <w:ind w:left="1860" w:right="179" w:hanging="249"/>
        <w:spacing w:after="0" w:line="339" w:lineRule="auto"/>
        <w:tabs>
          <w:tab w:leader="none" w:pos="1860" w:val="left"/>
        </w:tabs>
        <w:numPr>
          <w:ilvl w:val="0"/>
          <w:numId w:val="3"/>
        </w:numPr>
        <w:rPr>
          <w:rFonts w:ascii="Arial" w:cs="Arial" w:eastAsia="Arial" w:hAnsi="Arial"/>
          <w:sz w:val="16"/>
          <w:szCs w:val="16"/>
          <w:color w:val="262626"/>
        </w:rPr>
      </w:pPr>
      <w:r>
        <w:rPr>
          <w:rFonts w:ascii="Arial" w:cs="Arial" w:eastAsia="Arial" w:hAnsi="Arial"/>
          <w:sz w:val="16"/>
          <w:szCs w:val="16"/>
          <w:color w:val="262626"/>
        </w:rPr>
        <w:t>Even if the Pledged Shares were to be sold, Dr. Samueli would still easily be in compliance with Broadcom’s stock ownership requirements. Excluding the Pledged Shares, Dr. Samueli’s ownership of Broadcom common stock as of February 24, 2026 is approximately 43,017 times the amount he is required to hold under Broadcom’s stock ownership guidelines.</w:t>
      </w:r>
    </w:p>
    <w:p>
      <w:pPr>
        <w:spacing w:after="0" w:line="87" w:lineRule="exact"/>
        <w:rPr>
          <w:rFonts w:ascii="Arial" w:cs="Arial" w:eastAsia="Arial" w:hAnsi="Arial"/>
          <w:sz w:val="16"/>
          <w:szCs w:val="16"/>
          <w:color w:val="262626"/>
        </w:rPr>
      </w:pPr>
    </w:p>
    <w:p>
      <w:pPr>
        <w:jc w:val="both"/>
        <w:ind w:left="1860" w:right="159" w:hanging="249"/>
        <w:spacing w:after="0" w:line="339" w:lineRule="auto"/>
        <w:tabs>
          <w:tab w:leader="none" w:pos="1860" w:val="left"/>
        </w:tabs>
        <w:numPr>
          <w:ilvl w:val="0"/>
          <w:numId w:val="3"/>
        </w:numPr>
        <w:rPr>
          <w:rFonts w:ascii="Arial" w:cs="Arial" w:eastAsia="Arial" w:hAnsi="Arial"/>
          <w:sz w:val="16"/>
          <w:szCs w:val="16"/>
          <w:color w:val="262626"/>
        </w:rPr>
      </w:pPr>
      <w:r>
        <w:rPr>
          <w:rFonts w:ascii="Arial" w:cs="Arial" w:eastAsia="Arial" w:hAnsi="Arial"/>
          <w:sz w:val="16"/>
          <w:szCs w:val="16"/>
          <w:color w:val="262626"/>
        </w:rPr>
        <w:t>Our Board continues to believe that Dr. Samueli has the financial capacity to repay the loans, which are less than the value of the Pledged Shares, without resorting to selling a significant majority of the Broadcom common stock owned by Dr. Samueli. Based on the closing price of Broadcom common stock on November 15, 2024, the value of the Pledged Shares was approximately $2.7 billion.</w:t>
      </w:r>
    </w:p>
    <w:p>
      <w:pPr>
        <w:spacing w:after="0" w:line="87" w:lineRule="exact"/>
        <w:rPr>
          <w:rFonts w:ascii="Arial" w:cs="Arial" w:eastAsia="Arial" w:hAnsi="Arial"/>
          <w:sz w:val="16"/>
          <w:szCs w:val="16"/>
          <w:color w:val="262626"/>
        </w:rPr>
      </w:pPr>
    </w:p>
    <w:p>
      <w:pPr>
        <w:jc w:val="both"/>
        <w:ind w:left="1860" w:right="159" w:hanging="249"/>
        <w:spacing w:after="0" w:line="337" w:lineRule="auto"/>
        <w:tabs>
          <w:tab w:leader="none" w:pos="1860" w:val="left"/>
        </w:tabs>
        <w:numPr>
          <w:ilvl w:val="0"/>
          <w:numId w:val="3"/>
        </w:numPr>
        <w:rPr>
          <w:rFonts w:ascii="Arial" w:cs="Arial" w:eastAsia="Arial" w:hAnsi="Arial"/>
          <w:sz w:val="16"/>
          <w:szCs w:val="16"/>
          <w:color w:val="262626"/>
        </w:rPr>
      </w:pPr>
      <w:r>
        <w:rPr>
          <w:rFonts w:ascii="Arial" w:cs="Arial" w:eastAsia="Arial" w:hAnsi="Arial"/>
          <w:sz w:val="16"/>
          <w:szCs w:val="16"/>
          <w:color w:val="262626"/>
        </w:rPr>
        <w:t>Dr. Samueli has been a long-term holder of Broadcom common stock and received almost all of his Broadcom common stock pursuant to Broadcom’s acquisition of Broadcom Corporation, which Dr. Samueli co-founded. None of the Pledged Shares were acquired through a Broadcom stock plan. Since the acquisition of Broadcom Corporation in February 2016, Dr. Samueli has demonstrated a history of alignment with the long-term best interests of Broadcom and our stockholders.</w:t>
      </w:r>
    </w:p>
    <w:p>
      <w:pPr>
        <w:sectPr>
          <w:pgSz w:w="11900" w:h="16838" w:orient="portrait"/>
          <w:cols w:equalWidth="0" w:num="1">
            <w:col w:w="10139"/>
          </w:cols>
          <w:pgMar w:left="320" w:top="480" w:right="1440" w:bottom="1122" w:gutter="0" w:footer="0" w:header="0"/>
        </w:sectPr>
      </w:pPr>
    </w:p>
    <w:p>
      <w:pPr>
        <w:spacing w:after="0" w:line="74" w:lineRule="exact"/>
        <w:rPr>
          <w:sz w:val="20"/>
          <w:szCs w:val="20"/>
          <w:color w:val="auto"/>
        </w:rPr>
      </w:pPr>
    </w:p>
    <w:p>
      <w:pPr>
        <w:ind w:left="9880"/>
        <w:spacing w:after="0"/>
        <w:rPr>
          <w:sz w:val="20"/>
          <w:szCs w:val="20"/>
          <w:color w:val="auto"/>
        </w:rPr>
      </w:pPr>
      <w:r>
        <w:rPr>
          <w:rFonts w:ascii="Arial" w:cs="Arial" w:eastAsia="Arial" w:hAnsi="Arial"/>
          <w:sz w:val="15"/>
          <w:szCs w:val="15"/>
          <w:color w:val="26262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122"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SUCCESSION PLANNING</w:t>
      </w:r>
    </w:p>
    <w:p>
      <w:pPr>
        <w:spacing w:after="0" w:line="200"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Pursuant to the Corporate Governance Guidelines, our Board is responsible for the development and regular review of a comprehensive succession plan for our CEO and senior management. Our Board believes that the full Board, including our CEO, should be actively engaged and involved in CEO and senior management succession planning, with the goal of business and operational continuity and sustaining long-term value for our stockholders.</w:t>
      </w:r>
    </w:p>
    <w:p>
      <w:pPr>
        <w:spacing w:after="0" w:line="101" w:lineRule="exact"/>
        <w:rPr>
          <w:sz w:val="20"/>
          <w:szCs w:val="20"/>
          <w:color w:val="auto"/>
        </w:rPr>
      </w:pPr>
    </w:p>
    <w:p>
      <w:pPr>
        <w:jc w:val="both"/>
        <w:ind w:left="1280" w:right="159"/>
        <w:spacing w:after="0" w:line="343" w:lineRule="auto"/>
        <w:rPr>
          <w:sz w:val="20"/>
          <w:szCs w:val="20"/>
          <w:color w:val="auto"/>
        </w:rPr>
      </w:pPr>
      <w:r>
        <w:rPr>
          <w:rFonts w:ascii="Arial" w:cs="Arial" w:eastAsia="Arial" w:hAnsi="Arial"/>
          <w:sz w:val="16"/>
          <w:szCs w:val="16"/>
          <w:color w:val="262626"/>
        </w:rPr>
        <w:t>CEO succession planning is a top priority for our Board. Our Board discusses CEO succession planning regularly during executive sessions and has developed both a longer-term CEO succession plan and an interim contingency CEO succession plan.</w:t>
      </w:r>
    </w:p>
    <w:p>
      <w:pPr>
        <w:spacing w:after="0" w:line="110"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Our Board reviews the longer-term CEO succession plan annually. The longer-term CEO succession plan includes the identification and assessment of internal candidates and, as appropriate, the identification of external candidates. The longer-term CEO succession plan is currently focused on the development of high-potential internal candidates identified thus far, maintaining business and operational continuity, and sustaining long-term value for our stockholders.</w:t>
      </w:r>
    </w:p>
    <w:p>
      <w:pPr>
        <w:spacing w:after="0" w:line="101"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Our Board, including our CEO, works with our Vice President of Human Resources and an external advisor to assess the skills, experience, achievements and competencies of the internal candidates. This robust assessment provides a thorough review of the internal candidates’ strengths and areas for development and improvement. The purpose of the assessment is to evaluate whether the internal candidates already possess or can develop the skills and attributes that our Board believes are necessary to lead a large global technology company whose market capitalization is greater than $1 trillion and increase stockholder value. The experience, skills and attributes our Board considers necessary to succeed in the CEO position include, among others, strategic vision and leadership, technical expertise, disciplined management of operating costs and expenses, and execution of M&amp;A and other strategic transactions.</w:t>
      </w:r>
    </w:p>
    <w:p>
      <w:pPr>
        <w:spacing w:after="0" w:line="105"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Based on the assessment, the external advisor creates a development plan for the internal candidates that is reviewed by our Board, including our CEO, and includes their input and feedback. Throughout the year, the internal candidates are given opportunities and exposure to develop and improve their competencies outside of their area of responsibility and expertise. The internal candidates and senior management also present to our Board at least annually and interact with our Board informally outside of the regularly scheduled Board meetings, which provide our Board with numerous opportunities to meet the internal candidates and senior management. Our Board, including our CEO, annually reviews the development plans and the progress of the internal candidates and provides input and feedback.</w:t>
      </w:r>
    </w:p>
    <w:p>
      <w:pPr>
        <w:spacing w:after="0" w:line="105" w:lineRule="exact"/>
        <w:rPr>
          <w:sz w:val="20"/>
          <w:szCs w:val="20"/>
          <w:color w:val="auto"/>
        </w:rPr>
      </w:pPr>
    </w:p>
    <w:p>
      <w:pPr>
        <w:jc w:val="both"/>
        <w:ind w:left="1280" w:right="179"/>
        <w:spacing w:after="0" w:line="337" w:lineRule="auto"/>
        <w:rPr>
          <w:sz w:val="20"/>
          <w:szCs w:val="20"/>
          <w:color w:val="auto"/>
        </w:rPr>
      </w:pPr>
      <w:r>
        <w:rPr>
          <w:rFonts w:ascii="Arial" w:cs="Arial" w:eastAsia="Arial" w:hAnsi="Arial"/>
          <w:sz w:val="16"/>
          <w:szCs w:val="16"/>
          <w:color w:val="262626"/>
        </w:rPr>
        <w:t>The interim contingency CEO succession plan that our Board developed would utilize internal candidates and become effective only in the event our CEO is unexpectedly unable to perform his duties. The interim contingency CEO succession plan is intended to minimize potential disruption to the business and preserve business and operational continuity. Our Board also reviews annually the internal candidates for the interim contingency CEO succession plan and identifies an internal candidate should our CEO unexpectedly become unable to perform his duties.</w:t>
      </w:r>
    </w:p>
    <w:p>
      <w:pPr>
        <w:spacing w:after="0" w:line="104"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Our Board, including our CEO, also regularly reviews senior management succession planning and the composition of senior management with our Vice President of Human Resources. If a succession plan is implemented for a member of senior management, our Board would participate in the discussion and consideration of any action with our CEO and Vice President of Human Resources.</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CORPORATE RESPONSIBILITY</w:t>
      </w:r>
    </w:p>
    <w:p>
      <w:pPr>
        <w:spacing w:after="0" w:line="200"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Our Board, through the NCG Committee, oversees our corporate responsibility program. The NCG Committee receives quarterly updates from management on these matters and regularly updates our Board. Our Board also reviews our annual corporate responsibility report (the “Report”), which includes information about our products that help our customers achieve better performance with less power, our human rights program within our supply chain, our environmental impact and our talented and dedicated workforce. We plan to publish our next Report in March 2026, which will be located in the Corporate Responsibility and the Investor Center sections of our website. The Report and our website are not part of or incorporated by reference into this Proxy Statement.</w:t>
      </w:r>
    </w:p>
    <w:p>
      <w:pPr>
        <w:sectPr>
          <w:pgSz w:w="11900" w:h="16838" w:orient="portrait"/>
          <w:cols w:equalWidth="0" w:num="1">
            <w:col w:w="10139"/>
          </w:cols>
          <w:pgMar w:left="320" w:top="480" w:right="1440" w:bottom="1440" w:gutter="0" w:footer="0" w:header="0"/>
        </w:sectPr>
      </w:pPr>
    </w:p>
    <w:p>
      <w:pPr>
        <w:spacing w:after="0" w:line="89"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76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5155"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STOCKHOLDER ENGAGEMENT</w:t>
      </w:r>
    </w:p>
    <w:p>
      <w:pPr>
        <w:spacing w:after="0" w:line="259" w:lineRule="exact"/>
        <w:rPr>
          <w:sz w:val="20"/>
          <w:szCs w:val="20"/>
          <w:color w:val="auto"/>
        </w:rPr>
      </w:pPr>
    </w:p>
    <w:p>
      <w:pPr>
        <w:jc w:val="right"/>
        <w:ind w:right="4119"/>
        <w:spacing w:after="0"/>
        <w:rPr>
          <w:sz w:val="20"/>
          <w:szCs w:val="20"/>
          <w:color w:val="auto"/>
        </w:rPr>
      </w:pPr>
      <w:r>
        <w:rPr>
          <w:rFonts w:ascii="Arial" w:cs="Arial" w:eastAsia="Arial" w:hAnsi="Arial"/>
          <w:sz w:val="17"/>
          <w:szCs w:val="17"/>
          <w:b w:val="1"/>
          <w:bCs w:val="1"/>
          <w:color w:val="CF0A2C"/>
        </w:rPr>
        <w:t>Stockholder Engagement Prior to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187960</wp:posOffset>
            </wp:positionV>
            <wp:extent cx="8255" cy="1014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01409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p>
      <w:pPr>
        <w:spacing w:after="0" w:line="296" w:lineRule="exact"/>
        <w:rPr>
          <w:sz w:val="20"/>
          <w:szCs w:val="20"/>
          <w:color w:val="auto"/>
        </w:rPr>
      </w:pPr>
    </w:p>
    <w:tbl>
      <w:tblPr>
        <w:tblLayout w:type="fixed"/>
        <w:tblInd w:w="1280" w:type="dxa"/>
        <w:tblCellMar>
          <w:top w:w="0" w:type="dxa"/>
          <w:left w:w="0" w:type="dxa"/>
          <w:bottom w:w="0" w:type="dxa"/>
          <w:right w:w="0" w:type="dxa"/>
        </w:tblCellMar>
      </w:tblPr>
      <w:tr>
        <w:trPr>
          <w:trHeight w:val="401"/>
        </w:trPr>
        <w:tc>
          <w:tcPr>
            <w:tcW w:w="2280" w:type="dxa"/>
            <w:vAlign w:val="bottom"/>
            <w:tcBorders>
              <w:right w:val="single" w:sz="8" w:color="CF0A2C"/>
            </w:tcBorders>
          </w:tcPr>
          <w:p>
            <w:pPr>
              <w:spacing w:after="0"/>
              <w:rPr>
                <w:sz w:val="20"/>
                <w:szCs w:val="20"/>
                <w:color w:val="auto"/>
              </w:rPr>
            </w:pPr>
            <w:r>
              <w:rPr>
                <w:rFonts w:ascii="Arial" w:cs="Arial" w:eastAsia="Arial" w:hAnsi="Arial"/>
                <w:sz w:val="25"/>
                <w:szCs w:val="25"/>
                <w:b w:val="1"/>
                <w:bCs w:val="1"/>
                <w:color w:val="262626"/>
              </w:rPr>
              <w:t>52%</w:t>
            </w:r>
          </w:p>
        </w:tc>
        <w:tc>
          <w:tcPr>
            <w:tcW w:w="2180" w:type="dxa"/>
            <w:vAlign w:val="bottom"/>
            <w:tcBorders>
              <w:right w:val="single" w:sz="8" w:color="CF0A2C"/>
            </w:tcBorders>
          </w:tcPr>
          <w:p>
            <w:pPr>
              <w:ind w:left="60"/>
              <w:spacing w:after="0"/>
              <w:rPr>
                <w:sz w:val="20"/>
                <w:szCs w:val="20"/>
                <w:color w:val="auto"/>
              </w:rPr>
            </w:pPr>
            <w:r>
              <w:rPr>
                <w:rFonts w:ascii="Arial" w:cs="Arial" w:eastAsia="Arial" w:hAnsi="Arial"/>
                <w:sz w:val="25"/>
                <w:szCs w:val="25"/>
                <w:b w:val="1"/>
                <w:bCs w:val="1"/>
                <w:color w:val="262626"/>
              </w:rPr>
              <w:t>35%</w:t>
            </w:r>
          </w:p>
        </w:tc>
        <w:tc>
          <w:tcPr>
            <w:tcW w:w="1980" w:type="dxa"/>
            <w:vAlign w:val="bottom"/>
          </w:tcPr>
          <w:p>
            <w:pPr>
              <w:ind w:left="60"/>
              <w:spacing w:after="0"/>
              <w:rPr>
                <w:sz w:val="20"/>
                <w:szCs w:val="20"/>
                <w:color w:val="auto"/>
              </w:rPr>
            </w:pPr>
            <w:r>
              <w:rPr>
                <w:rFonts w:ascii="Arial" w:cs="Arial" w:eastAsia="Arial" w:hAnsi="Arial"/>
                <w:sz w:val="25"/>
                <w:szCs w:val="25"/>
                <w:b w:val="1"/>
                <w:bCs w:val="1"/>
                <w:color w:val="262626"/>
              </w:rPr>
              <w:t>13</w:t>
            </w:r>
          </w:p>
        </w:tc>
      </w:tr>
      <w:tr>
        <w:trPr>
          <w:trHeight w:val="403"/>
        </w:trPr>
        <w:tc>
          <w:tcPr>
            <w:tcW w:w="2280" w:type="dxa"/>
            <w:vAlign w:val="bottom"/>
            <w:tcBorders>
              <w:right w:val="single" w:sz="8" w:color="CF0A2C"/>
            </w:tcBorders>
          </w:tcPr>
          <w:p>
            <w:pPr>
              <w:spacing w:after="0"/>
              <w:rPr>
                <w:sz w:val="20"/>
                <w:szCs w:val="20"/>
                <w:color w:val="auto"/>
              </w:rPr>
            </w:pPr>
            <w:r>
              <w:rPr>
                <w:rFonts w:ascii="Arial" w:cs="Arial" w:eastAsia="Arial" w:hAnsi="Arial"/>
                <w:sz w:val="16"/>
                <w:szCs w:val="16"/>
                <w:color w:val="262626"/>
              </w:rPr>
              <w:t>Stockholders representing</w:t>
            </w:r>
          </w:p>
        </w:tc>
        <w:tc>
          <w:tcPr>
            <w:tcW w:w="2180" w:type="dxa"/>
            <w:vAlign w:val="bottom"/>
            <w:tcBorders>
              <w:right w:val="single" w:sz="8" w:color="CF0A2C"/>
            </w:tcBorders>
          </w:tcPr>
          <w:p>
            <w:pPr>
              <w:ind w:left="60"/>
              <w:spacing w:after="0"/>
              <w:rPr>
                <w:sz w:val="20"/>
                <w:szCs w:val="20"/>
                <w:color w:val="auto"/>
              </w:rPr>
            </w:pPr>
            <w:r>
              <w:rPr>
                <w:rFonts w:ascii="Arial" w:cs="Arial" w:eastAsia="Arial" w:hAnsi="Arial"/>
                <w:sz w:val="16"/>
                <w:szCs w:val="16"/>
                <w:color w:val="262626"/>
              </w:rPr>
              <w:t>Stockholders representing</w:t>
            </w:r>
          </w:p>
        </w:tc>
        <w:tc>
          <w:tcPr>
            <w:tcW w:w="1980" w:type="dxa"/>
            <w:vAlign w:val="bottom"/>
          </w:tcPr>
          <w:p>
            <w:pPr>
              <w:ind w:left="60"/>
              <w:spacing w:after="0"/>
              <w:rPr>
                <w:sz w:val="20"/>
                <w:szCs w:val="20"/>
                <w:color w:val="auto"/>
              </w:rPr>
            </w:pPr>
            <w:r>
              <w:rPr>
                <w:rFonts w:ascii="Arial" w:cs="Arial" w:eastAsia="Arial" w:hAnsi="Arial"/>
                <w:sz w:val="16"/>
                <w:szCs w:val="16"/>
                <w:color w:val="262626"/>
              </w:rPr>
              <w:t>Our Compensation</w:t>
            </w:r>
          </w:p>
        </w:tc>
      </w:tr>
      <w:tr>
        <w:trPr>
          <w:trHeight w:val="255"/>
        </w:trPr>
        <w:tc>
          <w:tcPr>
            <w:tcW w:w="2280" w:type="dxa"/>
            <w:vAlign w:val="bottom"/>
            <w:tcBorders>
              <w:right w:val="single" w:sz="8" w:color="CF0A2C"/>
            </w:tcBorders>
          </w:tcPr>
          <w:p>
            <w:pPr>
              <w:spacing w:after="0"/>
              <w:rPr>
                <w:sz w:val="20"/>
                <w:szCs w:val="20"/>
                <w:color w:val="auto"/>
              </w:rPr>
            </w:pPr>
            <w:r>
              <w:rPr>
                <w:rFonts w:ascii="Arial" w:cs="Arial" w:eastAsia="Arial" w:hAnsi="Arial"/>
                <w:sz w:val="16"/>
                <w:szCs w:val="16"/>
                <w:color w:val="262626"/>
              </w:rPr>
              <w:t>52% of common stock were</w:t>
            </w:r>
          </w:p>
        </w:tc>
        <w:tc>
          <w:tcPr>
            <w:tcW w:w="2180" w:type="dxa"/>
            <w:vAlign w:val="bottom"/>
            <w:tcBorders>
              <w:right w:val="single" w:sz="8" w:color="CF0A2C"/>
            </w:tcBorders>
          </w:tcPr>
          <w:p>
            <w:pPr>
              <w:ind w:left="60"/>
              <w:spacing w:after="0"/>
              <w:rPr>
                <w:sz w:val="20"/>
                <w:szCs w:val="20"/>
                <w:color w:val="auto"/>
              </w:rPr>
            </w:pPr>
            <w:r>
              <w:rPr>
                <w:rFonts w:ascii="Arial" w:cs="Arial" w:eastAsia="Arial" w:hAnsi="Arial"/>
                <w:sz w:val="16"/>
                <w:szCs w:val="16"/>
                <w:color w:val="262626"/>
              </w:rPr>
              <w:t>35% of common stock</w:t>
            </w:r>
          </w:p>
        </w:tc>
        <w:tc>
          <w:tcPr>
            <w:tcW w:w="1980" w:type="dxa"/>
            <w:vAlign w:val="bottom"/>
          </w:tcPr>
          <w:p>
            <w:pPr>
              <w:ind w:left="60"/>
              <w:spacing w:after="0"/>
              <w:rPr>
                <w:sz w:val="20"/>
                <w:szCs w:val="20"/>
                <w:color w:val="auto"/>
              </w:rPr>
            </w:pPr>
            <w:r>
              <w:rPr>
                <w:rFonts w:ascii="Arial" w:cs="Arial" w:eastAsia="Arial" w:hAnsi="Arial"/>
                <w:sz w:val="16"/>
                <w:szCs w:val="16"/>
                <w:color w:val="262626"/>
              </w:rPr>
              <w:t>Committee Chair</w:t>
            </w:r>
          </w:p>
        </w:tc>
      </w:tr>
      <w:tr>
        <w:trPr>
          <w:trHeight w:val="242"/>
        </w:trPr>
        <w:tc>
          <w:tcPr>
            <w:tcW w:w="2280" w:type="dxa"/>
            <w:vAlign w:val="bottom"/>
            <w:tcBorders>
              <w:right w:val="single" w:sz="8" w:color="CF0A2C"/>
            </w:tcBorders>
          </w:tcPr>
          <w:p>
            <w:pPr>
              <w:spacing w:after="0"/>
              <w:rPr>
                <w:sz w:val="20"/>
                <w:szCs w:val="20"/>
                <w:color w:val="auto"/>
              </w:rPr>
            </w:pPr>
            <w:r>
              <w:rPr>
                <w:rFonts w:ascii="Arial" w:cs="Arial" w:eastAsia="Arial" w:hAnsi="Arial"/>
                <w:sz w:val="16"/>
                <w:szCs w:val="16"/>
                <w:color w:val="262626"/>
              </w:rPr>
              <w:t>contacted</w:t>
            </w:r>
          </w:p>
        </w:tc>
        <w:tc>
          <w:tcPr>
            <w:tcW w:w="2180" w:type="dxa"/>
            <w:vAlign w:val="bottom"/>
            <w:tcBorders>
              <w:right w:val="single" w:sz="8" w:color="CF0A2C"/>
            </w:tcBorders>
          </w:tcPr>
          <w:p>
            <w:pPr>
              <w:ind w:left="60"/>
              <w:spacing w:after="0"/>
              <w:rPr>
                <w:sz w:val="20"/>
                <w:szCs w:val="20"/>
                <w:color w:val="auto"/>
              </w:rPr>
            </w:pPr>
            <w:r>
              <w:rPr>
                <w:rFonts w:ascii="Arial" w:cs="Arial" w:eastAsia="Arial" w:hAnsi="Arial"/>
                <w:sz w:val="16"/>
                <w:szCs w:val="16"/>
                <w:color w:val="262626"/>
              </w:rPr>
              <w:t>provided feedback</w:t>
            </w:r>
          </w:p>
        </w:tc>
        <w:tc>
          <w:tcPr>
            <w:tcW w:w="1980" w:type="dxa"/>
            <w:vAlign w:val="bottom"/>
          </w:tcPr>
          <w:p>
            <w:pPr>
              <w:ind w:left="60"/>
              <w:spacing w:after="0"/>
              <w:rPr>
                <w:sz w:val="20"/>
                <w:szCs w:val="20"/>
                <w:color w:val="auto"/>
              </w:rPr>
            </w:pPr>
            <w:r>
              <w:rPr>
                <w:rFonts w:ascii="Arial" w:cs="Arial" w:eastAsia="Arial" w:hAnsi="Arial"/>
                <w:sz w:val="16"/>
                <w:szCs w:val="16"/>
                <w:color w:val="262626"/>
                <w:w w:val="99"/>
              </w:rPr>
              <w:t>participated in 13 meetings</w:t>
            </w:r>
          </w:p>
        </w:tc>
      </w:tr>
      <w:tr>
        <w:trPr>
          <w:trHeight w:val="255"/>
        </w:trPr>
        <w:tc>
          <w:tcPr>
            <w:tcW w:w="2280" w:type="dxa"/>
            <w:vAlign w:val="bottom"/>
            <w:tcBorders>
              <w:right w:val="single" w:sz="8" w:color="CF0A2C"/>
            </w:tcBorders>
          </w:tcPr>
          <w:p>
            <w:pPr>
              <w:spacing w:after="0"/>
              <w:rPr>
                <w:sz w:val="22"/>
                <w:szCs w:val="22"/>
                <w:color w:val="auto"/>
              </w:rPr>
            </w:pPr>
          </w:p>
        </w:tc>
        <w:tc>
          <w:tcPr>
            <w:tcW w:w="2180" w:type="dxa"/>
            <w:vAlign w:val="bottom"/>
            <w:tcBorders>
              <w:right w:val="single" w:sz="8" w:color="CF0A2C"/>
            </w:tcBorders>
          </w:tcPr>
          <w:p>
            <w:pPr>
              <w:spacing w:after="0"/>
              <w:rPr>
                <w:sz w:val="22"/>
                <w:szCs w:val="22"/>
                <w:color w:val="auto"/>
              </w:rPr>
            </w:pPr>
          </w:p>
        </w:tc>
        <w:tc>
          <w:tcPr>
            <w:tcW w:w="1980" w:type="dxa"/>
            <w:vAlign w:val="bottom"/>
          </w:tcPr>
          <w:p>
            <w:pPr>
              <w:ind w:left="60"/>
              <w:spacing w:after="0"/>
              <w:rPr>
                <w:sz w:val="20"/>
                <w:szCs w:val="20"/>
                <w:color w:val="auto"/>
              </w:rPr>
            </w:pPr>
            <w:r>
              <w:rPr>
                <w:rFonts w:ascii="Arial" w:cs="Arial" w:eastAsia="Arial" w:hAnsi="Arial"/>
                <w:sz w:val="16"/>
                <w:szCs w:val="16"/>
                <w:color w:val="262626"/>
              </w:rPr>
              <w:t>with stockholders</w:t>
            </w:r>
          </w:p>
        </w:tc>
      </w:tr>
      <w:tr>
        <w:trPr>
          <w:trHeight w:val="42"/>
        </w:trPr>
        <w:tc>
          <w:tcPr>
            <w:tcW w:w="2280" w:type="dxa"/>
            <w:vAlign w:val="bottom"/>
            <w:tcBorders>
              <w:right w:val="single" w:sz="8" w:color="CF0A2C"/>
            </w:tcBorders>
          </w:tcPr>
          <w:p>
            <w:pPr>
              <w:spacing w:after="0"/>
              <w:rPr>
                <w:sz w:val="3"/>
                <w:szCs w:val="3"/>
                <w:color w:val="auto"/>
              </w:rPr>
            </w:pPr>
          </w:p>
        </w:tc>
        <w:tc>
          <w:tcPr>
            <w:tcW w:w="2180" w:type="dxa"/>
            <w:vAlign w:val="bottom"/>
            <w:tcBorders>
              <w:right w:val="single" w:sz="8" w:color="CF0A2C"/>
            </w:tcBorders>
          </w:tcPr>
          <w:p>
            <w:pPr>
              <w:spacing w:after="0"/>
              <w:rPr>
                <w:sz w:val="3"/>
                <w:szCs w:val="3"/>
                <w:color w:val="auto"/>
              </w:rPr>
            </w:pPr>
          </w:p>
        </w:tc>
        <w:tc>
          <w:tcPr>
            <w:tcW w:w="19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right="259"/>
        <w:spacing w:after="0" w:line="339" w:lineRule="auto"/>
        <w:rPr>
          <w:sz w:val="20"/>
          <w:szCs w:val="20"/>
          <w:color w:val="auto"/>
        </w:rPr>
      </w:pPr>
      <w:r>
        <w:rPr>
          <w:rFonts w:ascii="Arial" w:cs="Arial" w:eastAsia="Arial" w:hAnsi="Arial"/>
          <w:sz w:val="16"/>
          <w:szCs w:val="16"/>
          <w:color w:val="262626"/>
        </w:rPr>
        <w:t>Our Compensation Committee Chair on behalf of our Board led our engagement</w:t>
      </w:r>
    </w:p>
    <w:p>
      <w:pPr>
        <w:spacing w:after="0" w:line="463" w:lineRule="exact"/>
        <w:rPr>
          <w:sz w:val="20"/>
          <w:szCs w:val="20"/>
          <w:color w:val="auto"/>
        </w:rPr>
      </w:pPr>
    </w:p>
    <w:p>
      <w:pPr>
        <w:sectPr>
          <w:pgSz w:w="11900" w:h="16838" w:orient="portrait"/>
          <w:cols w:equalWidth="0" w:num="2">
            <w:col w:w="7720" w:space="260"/>
            <w:col w:w="2159"/>
          </w:cols>
          <w:pgMar w:left="320" w:top="480" w:right="1440" w:bottom="1440" w:gutter="0" w:footer="0" w:header="0"/>
          <w:type w:val="continuous"/>
        </w:sectPr>
      </w:pPr>
    </w:p>
    <w:p>
      <w:pPr>
        <w:jc w:val="both"/>
        <w:ind w:left="1280" w:right="179"/>
        <w:spacing w:after="0" w:line="333" w:lineRule="auto"/>
        <w:rPr>
          <w:sz w:val="20"/>
          <w:szCs w:val="20"/>
          <w:color w:val="auto"/>
        </w:rPr>
      </w:pPr>
      <w:r>
        <w:rPr>
          <w:rFonts w:ascii="Arial" w:cs="Arial" w:eastAsia="Arial" w:hAnsi="Arial"/>
          <w:sz w:val="16"/>
          <w:szCs w:val="16"/>
          <w:color w:val="262626"/>
        </w:rPr>
        <w:t>Our Board values open and ongoing engagement with our stockholders to better understand our stockholders’ views on various matters, including executive compensation, succession planning, risk oversight and corporate responsibility. Our Board engages annually with our stockholders to obtain their feedback and for our Board to consider a range of perspectives.</w:t>
      </w:r>
    </w:p>
    <w:p>
      <w:pPr>
        <w:spacing w:after="0" w:line="120"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Prior to the 2025 annual meeting, we contacted our stockholders representing over 52% of our common stock outstanding. Our Compensation Committee Chair, on behalf of our Board, and representatives from the management engagement team met with 13 stockholders representing 35% of our common stock outstanding.</w:t>
      </w:r>
    </w:p>
    <w:p>
      <w:pPr>
        <w:spacing w:after="0" w:line="97" w:lineRule="exact"/>
        <w:rPr>
          <w:sz w:val="20"/>
          <w:szCs w:val="20"/>
          <w:color w:val="auto"/>
        </w:rPr>
      </w:pPr>
    </w:p>
    <w:p>
      <w:pPr>
        <w:jc w:val="both"/>
        <w:ind w:left="1280" w:right="159"/>
        <w:spacing w:after="0" w:line="337" w:lineRule="auto"/>
        <w:rPr>
          <w:sz w:val="20"/>
          <w:szCs w:val="20"/>
          <w:color w:val="auto"/>
        </w:rPr>
      </w:pPr>
      <w:r>
        <w:rPr>
          <w:rFonts w:ascii="Arial" w:cs="Arial" w:eastAsia="Arial" w:hAnsi="Arial"/>
          <w:sz w:val="16"/>
          <w:szCs w:val="16"/>
          <w:color w:val="262626"/>
        </w:rPr>
        <w:t>In these meetings, we continued to engage on our executive compensation program and CEO succession planning. All of the stockholders we met with acknowledged our responsiveness to our stockholders’ concerns in the proxy statement for the 2025 annual meeting, which was reflected in the 92% of votes cast in favor of the 2025 Say-on-Pay proposal. All of the stockholders also reiterated their acknowledgment of Mr. Tan’s history of strong leadership that has generated significant stockholder value during the most recent and longer-term performance periods.</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Stockholder Engagement After the 2025 Annual Meeting</w:t>
      </w:r>
    </w:p>
    <w:p>
      <w:pPr>
        <w:spacing w:after="0" w:line="202" w:lineRule="exact"/>
        <w:rPr>
          <w:sz w:val="20"/>
          <w:szCs w:val="20"/>
          <w:color w:val="auto"/>
        </w:rPr>
      </w:pPr>
    </w:p>
    <w:p>
      <w:pPr>
        <w:jc w:val="both"/>
        <w:ind w:left="1280" w:right="179"/>
        <w:spacing w:after="0" w:line="337" w:lineRule="auto"/>
        <w:rPr>
          <w:sz w:val="20"/>
          <w:szCs w:val="20"/>
          <w:color w:val="auto"/>
        </w:rPr>
      </w:pPr>
      <w:r>
        <w:rPr>
          <w:rFonts w:ascii="Arial" w:cs="Arial" w:eastAsia="Arial" w:hAnsi="Arial"/>
          <w:sz w:val="16"/>
          <w:szCs w:val="16"/>
          <w:color w:val="262626"/>
        </w:rPr>
        <w:t>We proactively contacted our stockholders after the 2025 annual meeting to discuss the PSU award that was granted to Mr. Tan in September 2025 due in part to the support expressed by our stockholders in securing the continued leadership of Mr. Tan. More information about our additional engagement with our stockholders is provided below in “</w:t>
      </w:r>
      <w:r>
        <w:rPr>
          <w:rFonts w:ascii="Arial" w:cs="Arial" w:eastAsia="Arial" w:hAnsi="Arial"/>
          <w:sz w:val="16"/>
          <w:szCs w:val="16"/>
          <w:i w:val="1"/>
          <w:iCs w:val="1"/>
          <w:color w:val="262626"/>
        </w:rPr>
        <w:t>Compensation</w:t>
      </w:r>
      <w:r>
        <w:rPr>
          <w:rFonts w:ascii="Arial" w:cs="Arial" w:eastAsia="Arial" w:hAnsi="Arial"/>
          <w:sz w:val="16"/>
          <w:szCs w:val="16"/>
          <w:color w:val="262626"/>
        </w:rPr>
        <w:t xml:space="preserve"> </w:t>
      </w:r>
      <w:r>
        <w:rPr>
          <w:rFonts w:ascii="Arial" w:cs="Arial" w:eastAsia="Arial" w:hAnsi="Arial"/>
          <w:sz w:val="16"/>
          <w:szCs w:val="16"/>
          <w:i w:val="1"/>
          <w:iCs w:val="1"/>
          <w:color w:val="262626"/>
        </w:rPr>
        <w:t>Discussion and Analysis — Elements of Fiscal 2025 Executive Compensation Program — Long-Term Incentive Compensation — Equity Award Granted to Mr. Tan in Fiscal 2025 — Stockholder Engagement</w:t>
      </w:r>
      <w:r>
        <w:rPr>
          <w:rFonts w:ascii="Arial" w:cs="Arial" w:eastAsia="Arial" w:hAnsi="Arial"/>
          <w:sz w:val="16"/>
          <w:szCs w:val="16"/>
          <w:color w:val="262626"/>
        </w:rPr>
        <w:t>.”</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STOCKHOLDER COMMUNICATIONS WITH OUR BOARD</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Our stockholders who may wish to communicate with our Board may do so at the following address:</w:t>
      </w:r>
    </w:p>
    <w:p>
      <w:pPr>
        <w:spacing w:after="0" w:line="205" w:lineRule="exact"/>
        <w:rPr>
          <w:sz w:val="20"/>
          <w:szCs w:val="20"/>
          <w:color w:val="auto"/>
        </w:rPr>
      </w:pPr>
    </w:p>
    <w:p>
      <w:pPr>
        <w:ind w:left="1800"/>
        <w:spacing w:after="0"/>
        <w:rPr>
          <w:sz w:val="20"/>
          <w:szCs w:val="20"/>
          <w:color w:val="auto"/>
        </w:rPr>
      </w:pPr>
      <w:r>
        <w:rPr>
          <w:rFonts w:ascii="Arial" w:cs="Arial" w:eastAsia="Arial" w:hAnsi="Arial"/>
          <w:sz w:val="16"/>
          <w:szCs w:val="16"/>
          <w:color w:val="262626"/>
        </w:rPr>
        <w:t>Board of Directors</w:t>
      </w:r>
    </w:p>
    <w:p>
      <w:pPr>
        <w:spacing w:after="0" w:line="71" w:lineRule="exact"/>
        <w:rPr>
          <w:sz w:val="20"/>
          <w:szCs w:val="20"/>
          <w:color w:val="auto"/>
        </w:rPr>
      </w:pPr>
    </w:p>
    <w:p>
      <w:pPr>
        <w:ind w:left="1800"/>
        <w:spacing w:after="0"/>
        <w:rPr>
          <w:sz w:val="20"/>
          <w:szCs w:val="20"/>
          <w:color w:val="auto"/>
        </w:rPr>
      </w:pPr>
      <w:r>
        <w:rPr>
          <w:rFonts w:ascii="Arial" w:cs="Arial" w:eastAsia="Arial" w:hAnsi="Arial"/>
          <w:sz w:val="16"/>
          <w:szCs w:val="16"/>
          <w:color w:val="262626"/>
        </w:rPr>
        <w:t>Broadcom Inc.</w:t>
      </w:r>
    </w:p>
    <w:p>
      <w:pPr>
        <w:spacing w:after="0" w:line="58" w:lineRule="exact"/>
        <w:rPr>
          <w:sz w:val="20"/>
          <w:szCs w:val="20"/>
          <w:color w:val="auto"/>
        </w:rPr>
      </w:pPr>
    </w:p>
    <w:p>
      <w:pPr>
        <w:ind w:left="1800"/>
        <w:spacing w:after="0"/>
        <w:rPr>
          <w:sz w:val="20"/>
          <w:szCs w:val="20"/>
          <w:color w:val="auto"/>
        </w:rPr>
      </w:pPr>
      <w:r>
        <w:rPr>
          <w:rFonts w:ascii="Arial" w:cs="Arial" w:eastAsia="Arial" w:hAnsi="Arial"/>
          <w:sz w:val="16"/>
          <w:szCs w:val="16"/>
          <w:color w:val="262626"/>
        </w:rPr>
        <w:t>c/o Chief Legal and Corporate Affairs Officer</w:t>
      </w:r>
    </w:p>
    <w:p>
      <w:pPr>
        <w:spacing w:after="0" w:line="71" w:lineRule="exact"/>
        <w:rPr>
          <w:sz w:val="20"/>
          <w:szCs w:val="20"/>
          <w:color w:val="auto"/>
        </w:rPr>
      </w:pPr>
    </w:p>
    <w:p>
      <w:pPr>
        <w:ind w:left="1800"/>
        <w:spacing w:after="0"/>
        <w:rPr>
          <w:sz w:val="20"/>
          <w:szCs w:val="20"/>
          <w:color w:val="auto"/>
        </w:rPr>
      </w:pPr>
      <w:r>
        <w:rPr>
          <w:rFonts w:ascii="Arial" w:cs="Arial" w:eastAsia="Arial" w:hAnsi="Arial"/>
          <w:sz w:val="16"/>
          <w:szCs w:val="16"/>
          <w:color w:val="262626"/>
        </w:rPr>
        <w:t>3421 Hillview Avenue</w:t>
      </w:r>
    </w:p>
    <w:p>
      <w:pPr>
        <w:spacing w:after="0" w:line="71" w:lineRule="exact"/>
        <w:rPr>
          <w:sz w:val="20"/>
          <w:szCs w:val="20"/>
          <w:color w:val="auto"/>
        </w:rPr>
      </w:pPr>
    </w:p>
    <w:p>
      <w:pPr>
        <w:ind w:left="1800"/>
        <w:spacing w:after="0"/>
        <w:rPr>
          <w:sz w:val="20"/>
          <w:szCs w:val="20"/>
          <w:color w:val="auto"/>
        </w:rPr>
      </w:pPr>
      <w:r>
        <w:rPr>
          <w:rFonts w:ascii="Arial" w:cs="Arial" w:eastAsia="Arial" w:hAnsi="Arial"/>
          <w:sz w:val="16"/>
          <w:szCs w:val="16"/>
          <w:color w:val="262626"/>
        </w:rPr>
        <w:t>Palo Alto, California 94304</w:t>
      </w:r>
    </w:p>
    <w:p>
      <w:pPr>
        <w:spacing w:after="0" w:line="205"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Communications are distributed to our Board or to any individual director, as appropriate, depending on the facts and circumstances outlined in the communication. Communications that are unduly hostile, threatening, illegal or similarly unsuitable will be excluded but will be made available to any director upon such director’s request.</w:t>
      </w:r>
    </w:p>
    <w:p>
      <w:pPr>
        <w:spacing w:after="0" w:line="80" w:lineRule="exact"/>
        <w:rPr>
          <w:sz w:val="20"/>
          <w:szCs w:val="20"/>
          <w:color w:val="auto"/>
        </w:rPr>
      </w:pPr>
    </w:p>
    <w:p>
      <w:pPr>
        <w:jc w:val="right"/>
        <w:ind w:right="159"/>
        <w:spacing w:after="0"/>
        <w:rPr>
          <w:sz w:val="20"/>
          <w:szCs w:val="20"/>
          <w:color w:val="auto"/>
        </w:rPr>
      </w:pPr>
      <w:r>
        <w:rPr>
          <w:rFonts w:ascii="Arial" w:cs="Arial" w:eastAsia="Arial" w:hAnsi="Arial"/>
          <w:sz w:val="15"/>
          <w:szCs w:val="15"/>
          <w:color w:val="26262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4200"/>
        <w:spacing w:after="0"/>
        <w:rPr>
          <w:sz w:val="20"/>
          <w:szCs w:val="20"/>
          <w:color w:val="auto"/>
        </w:rPr>
      </w:pPr>
      <w:r>
        <w:rPr>
          <w:rFonts w:ascii="Arial" w:cs="Arial" w:eastAsia="Arial" w:hAnsi="Arial"/>
          <w:sz w:val="25"/>
          <w:szCs w:val="25"/>
          <w:color w:val="CF0A2C"/>
        </w:rPr>
        <w:t>BOARD OF DIRECTORS</w:t>
      </w:r>
    </w:p>
    <w:p>
      <w:pPr>
        <w:spacing w:after="0" w:line="258"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Our Board oversees the conduct of our business by senior management and risk management, provides guidance on strategic and business planning, is responsible for succession planning for our CEO and senior management, and ensures that the long-term interests of stockholders are being served.</w:t>
      </w:r>
    </w:p>
    <w:p>
      <w:pPr>
        <w:spacing w:after="0" w:line="15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BOARD MEMBERSHIP</w:t>
      </w:r>
    </w:p>
    <w:p>
      <w:pPr>
        <w:spacing w:after="0" w:line="227" w:lineRule="exact"/>
        <w:rPr>
          <w:sz w:val="20"/>
          <w:szCs w:val="20"/>
          <w:color w:val="auto"/>
        </w:rPr>
      </w:pPr>
    </w:p>
    <w:p>
      <w:pPr>
        <w:jc w:val="both"/>
        <w:ind w:left="1280" w:right="159"/>
        <w:spacing w:after="0" w:line="371" w:lineRule="auto"/>
        <w:rPr>
          <w:sz w:val="20"/>
          <w:szCs w:val="20"/>
          <w:color w:val="auto"/>
        </w:rPr>
      </w:pPr>
      <w:r>
        <w:rPr>
          <w:rFonts w:ascii="Arial" w:cs="Arial" w:eastAsia="Arial" w:hAnsi="Arial"/>
          <w:sz w:val="16"/>
          <w:szCs w:val="16"/>
          <w:color w:val="262626"/>
        </w:rPr>
        <w:t>Our Board is currently comprised of nine directors: Diane M. Bryant, Gayla J. Delly, Kenneth Y. Hao, Eddy W. Hartenstein, Check Kian Low, Justine F. Page, Henry Samueli, Ph.D., Hock E. Tan and Harry L. You.</w:t>
      </w:r>
    </w:p>
    <w:p>
      <w:pPr>
        <w:spacing w:after="0" w:line="75" w:lineRule="exact"/>
        <w:rPr>
          <w:sz w:val="20"/>
          <w:szCs w:val="20"/>
          <w:color w:val="auto"/>
        </w:rPr>
      </w:pPr>
    </w:p>
    <w:p>
      <w:pPr>
        <w:jc w:val="both"/>
        <w:ind w:left="1280" w:right="159"/>
        <w:spacing w:after="0" w:line="352" w:lineRule="auto"/>
        <w:rPr>
          <w:sz w:val="20"/>
          <w:szCs w:val="20"/>
          <w:color w:val="auto"/>
        </w:rPr>
      </w:pPr>
      <w:r>
        <w:rPr>
          <w:rFonts w:ascii="Arial" w:cs="Arial" w:eastAsia="Arial" w:hAnsi="Arial"/>
          <w:sz w:val="16"/>
          <w:szCs w:val="16"/>
          <w:color w:val="262626"/>
        </w:rPr>
        <w:t>Mr. Hartenstein is not standing for re-election and will serve on our Board until the Annual Meeting. Mr. Hartenstein offered his resignation to our Board upon reaching the age of 75 years pursuant to the Corporate Governance Guidelines, to be effective as of the Annual Meeting. At the Annual Meeting, the size of our Board will be reduced to eight directors.</w:t>
      </w:r>
    </w:p>
    <w:p>
      <w:pPr>
        <w:spacing w:after="0" w:line="13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DIRECTOR INDEPENDENCE</w:t>
      </w:r>
    </w:p>
    <w:p>
      <w:pPr>
        <w:spacing w:after="0" w:line="214"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Our Board annually reviews the independence of each director and nominee and considers whether such individual has a material relationship with Broadcom, other members of our Board or our executive officers that could compromise their ability to exercise independent judgment in carrying out their responsibilities. For the purpose of assessing a director’s independence, our Board reviewed transactions and relationships between Broadcom and an entity where a director or nominee serves as a director, executive officer and/or is a beneficial owner, directly or indirectly, of such entity, or where a director or nominee for director serves on a non-employee advisory board of or in a non-employee advisory capacity to such an entity.</w:t>
      </w:r>
    </w:p>
    <w:p>
      <w:pPr>
        <w:spacing w:after="0" w:line="105"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Our Board has determined that Dr. Samueli, Mses. Bryant, Delly and Page, and Messrs. Hao, Low and You, representing seven of our eight director nominees, are “independent” directors under the Nasdaq listing standards. Mr. Tan, who serves as our President and CEO, is not deemed an “independent” director. Our Board has determined that Mr. Hartenstein, who will serve as a director until the Annual Meeting, is also an “independent” director.</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BOARD LEADERSHIP STRUCTURE</w:t>
      </w:r>
    </w:p>
    <w:p>
      <w:pPr>
        <w:spacing w:after="0" w:line="200" w:lineRule="exact"/>
        <w:rPr>
          <w:sz w:val="20"/>
          <w:szCs w:val="20"/>
          <w:color w:val="auto"/>
        </w:rPr>
      </w:pPr>
    </w:p>
    <w:p>
      <w:pPr>
        <w:jc w:val="both"/>
        <w:ind w:left="1280" w:right="179"/>
        <w:spacing w:after="0" w:line="331" w:lineRule="auto"/>
        <w:rPr>
          <w:sz w:val="20"/>
          <w:szCs w:val="20"/>
          <w:color w:val="auto"/>
        </w:rPr>
      </w:pPr>
      <w:r>
        <w:rPr>
          <w:rFonts w:ascii="Arial" w:cs="Arial" w:eastAsia="Arial" w:hAnsi="Arial"/>
          <w:sz w:val="16"/>
          <w:szCs w:val="16"/>
          <w:color w:val="262626"/>
        </w:rPr>
        <w:t>Our Board currently believes that Broadcom and our stockholders are best served by a board leadership structure in which the roles of the CEO and the Chairman of the Board are held by different individuals, and that there be a Lead Independent Director if the Chairman is not independent. Under this structure our CEO is generally responsible for setting Broadcom’s strategic direction and for the day-to-day management of our operations. The independent Chairman and/or the Lead Independent Director, as applicable, provides strong independent leadership to assist our Board in fulfilling its oversight role of management and our risk management practices, approves the agenda for board meetings, and presides over Board meetings and the executive sessions of our independent directors. Our Board annually reviews its leadership structure to determine whether it continues to best serve Broadcom and our stockholders. Currently, Mr. Tan serves as our President and CEO, Dr. Samueli serves as our independent Chairman of the Board and Mr. Hartenstein serves as our Lead Independent Director.</w:t>
      </w:r>
    </w:p>
    <w:p>
      <w:pPr>
        <w:spacing w:after="0" w:line="15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DIRECTOR NOMINATIONS</w:t>
      </w:r>
    </w:p>
    <w:p>
      <w:pPr>
        <w:spacing w:after="0" w:line="214"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In accordance with the Corporate Governance Guidelines, our Board seeks individuals to serve as directors who have the highest personal and professional integrity and strength of character, demonstrated exceptional ability and judgment, and have varied skills, experiences and backgrounds appropriate for the business and operations of Broadcom.</w:t>
      </w:r>
    </w:p>
    <w:p>
      <w:pPr>
        <w:spacing w:after="0" w:line="97"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When evaluating director candidates, the NCG Committee seeks to ensure that our Board holistically has the requisite skills, experience and expertise, and consist of persons with appropriately varied and independent backgrounds.</w:t>
      </w:r>
    </w:p>
    <w:p>
      <w:pPr>
        <w:spacing w:after="0" w:line="75"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The NCG Committee considers all aspects of a candidate’s qualifications in the context of Broadcom’s needs, including:</w:t>
      </w:r>
    </w:p>
    <w:p>
      <w:pPr>
        <w:spacing w:after="0" w:line="192" w:lineRule="exact"/>
        <w:rPr>
          <w:sz w:val="20"/>
          <w:szCs w:val="20"/>
          <w:color w:val="auto"/>
        </w:rPr>
      </w:pPr>
    </w:p>
    <w:p>
      <w:pPr>
        <w:ind w:left="1860" w:hanging="249"/>
        <w:spacing w:after="0"/>
        <w:tabs>
          <w:tab w:leader="none" w:pos="1860" w:val="left"/>
        </w:tabs>
        <w:numPr>
          <w:ilvl w:val="0"/>
          <w:numId w:val="4"/>
        </w:numPr>
        <w:rPr>
          <w:rFonts w:ascii="Arial" w:cs="Arial" w:eastAsia="Arial" w:hAnsi="Arial"/>
          <w:sz w:val="16"/>
          <w:szCs w:val="16"/>
          <w:color w:val="262626"/>
        </w:rPr>
      </w:pPr>
      <w:r>
        <w:rPr>
          <w:rFonts w:ascii="Arial" w:cs="Arial" w:eastAsia="Arial" w:hAnsi="Arial"/>
          <w:sz w:val="16"/>
          <w:szCs w:val="16"/>
          <w:color w:val="262626"/>
        </w:rPr>
        <w:t>personal and professional integrity, ethics and values</w:t>
      </w:r>
    </w:p>
    <w:p>
      <w:pPr>
        <w:spacing w:after="0" w:line="191" w:lineRule="exact"/>
        <w:rPr>
          <w:rFonts w:ascii="Arial" w:cs="Arial" w:eastAsia="Arial" w:hAnsi="Arial"/>
          <w:sz w:val="16"/>
          <w:szCs w:val="16"/>
          <w:color w:val="262626"/>
        </w:rPr>
      </w:pPr>
    </w:p>
    <w:p>
      <w:pPr>
        <w:ind w:left="1860" w:hanging="249"/>
        <w:spacing w:after="0"/>
        <w:tabs>
          <w:tab w:leader="none" w:pos="1860" w:val="left"/>
        </w:tabs>
        <w:numPr>
          <w:ilvl w:val="0"/>
          <w:numId w:val="4"/>
        </w:numPr>
        <w:rPr>
          <w:rFonts w:ascii="Arial" w:cs="Arial" w:eastAsia="Arial" w:hAnsi="Arial"/>
          <w:sz w:val="16"/>
          <w:szCs w:val="16"/>
          <w:color w:val="262626"/>
        </w:rPr>
      </w:pPr>
      <w:r>
        <w:rPr>
          <w:rFonts w:ascii="Arial" w:cs="Arial" w:eastAsia="Arial" w:hAnsi="Arial"/>
          <w:sz w:val="16"/>
          <w:szCs w:val="16"/>
          <w:color w:val="262626"/>
        </w:rPr>
        <w:t>experience as an officer in corporate management</w:t>
      </w:r>
    </w:p>
    <w:p>
      <w:pPr>
        <w:spacing w:after="0" w:line="191" w:lineRule="exact"/>
        <w:rPr>
          <w:rFonts w:ascii="Arial" w:cs="Arial" w:eastAsia="Arial" w:hAnsi="Arial"/>
          <w:sz w:val="16"/>
          <w:szCs w:val="16"/>
          <w:color w:val="262626"/>
        </w:rPr>
      </w:pPr>
    </w:p>
    <w:p>
      <w:pPr>
        <w:ind w:left="1860" w:hanging="249"/>
        <w:spacing w:after="0"/>
        <w:tabs>
          <w:tab w:leader="none" w:pos="1860" w:val="left"/>
        </w:tabs>
        <w:numPr>
          <w:ilvl w:val="0"/>
          <w:numId w:val="4"/>
        </w:numPr>
        <w:rPr>
          <w:rFonts w:ascii="Arial" w:cs="Arial" w:eastAsia="Arial" w:hAnsi="Arial"/>
          <w:sz w:val="16"/>
          <w:szCs w:val="16"/>
          <w:color w:val="262626"/>
        </w:rPr>
      </w:pPr>
      <w:r>
        <w:rPr>
          <w:rFonts w:ascii="Arial" w:cs="Arial" w:eastAsia="Arial" w:hAnsi="Arial"/>
          <w:sz w:val="16"/>
          <w:szCs w:val="16"/>
          <w:color w:val="262626"/>
        </w:rPr>
        <w:t>experience and expertise in our industries and international business, and familiarity with Broadcom</w:t>
      </w:r>
    </w:p>
    <w:p>
      <w:pPr>
        <w:sectPr>
          <w:pgSz w:w="11900" w:h="16838" w:orient="portrait"/>
          <w:cols w:equalWidth="0" w:num="1">
            <w:col w:w="10139"/>
          </w:cols>
          <w:pgMar w:left="320" w:top="480" w:right="1440" w:bottom="1440" w:gutter="0" w:footer="0" w:header="0"/>
        </w:sectPr>
      </w:pP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85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ind w:left="1860" w:hanging="249"/>
        <w:spacing w:after="0"/>
        <w:tabs>
          <w:tab w:leader="none" w:pos="186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experience as a board member of another public company</w:t>
      </w:r>
    </w:p>
    <w:p>
      <w:pPr>
        <w:spacing w:after="0" w:line="191" w:lineRule="exact"/>
        <w:rPr>
          <w:rFonts w:ascii="Arial" w:cs="Arial" w:eastAsia="Arial" w:hAnsi="Arial"/>
          <w:sz w:val="16"/>
          <w:szCs w:val="16"/>
          <w:color w:val="262626"/>
        </w:rPr>
      </w:pPr>
    </w:p>
    <w:p>
      <w:pPr>
        <w:ind w:left="1860" w:hanging="249"/>
        <w:spacing w:after="0"/>
        <w:tabs>
          <w:tab w:leader="none" w:pos="186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practical and mature business judgment</w:t>
      </w:r>
    </w:p>
    <w:p>
      <w:pPr>
        <w:spacing w:after="0" w:line="191" w:lineRule="exact"/>
        <w:rPr>
          <w:rFonts w:ascii="Arial" w:cs="Arial" w:eastAsia="Arial" w:hAnsi="Arial"/>
          <w:sz w:val="16"/>
          <w:szCs w:val="16"/>
          <w:color w:val="262626"/>
        </w:rPr>
      </w:pPr>
    </w:p>
    <w:p>
      <w:pPr>
        <w:ind w:left="1860" w:hanging="249"/>
        <w:spacing w:after="0"/>
        <w:tabs>
          <w:tab w:leader="none" w:pos="186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breadth of backgrounds and perspectives</w:t>
      </w:r>
    </w:p>
    <w:p>
      <w:pPr>
        <w:spacing w:after="0" w:line="191" w:lineRule="exact"/>
        <w:rPr>
          <w:rFonts w:ascii="Arial" w:cs="Arial" w:eastAsia="Arial" w:hAnsi="Arial"/>
          <w:sz w:val="16"/>
          <w:szCs w:val="16"/>
          <w:color w:val="262626"/>
        </w:rPr>
      </w:pPr>
    </w:p>
    <w:p>
      <w:pPr>
        <w:ind w:left="1860" w:hanging="249"/>
        <w:spacing w:after="0"/>
        <w:tabs>
          <w:tab w:leader="none" w:pos="186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Board size and composition and the extent to which a candidate would fill a present need on our Board</w:t>
      </w:r>
    </w:p>
    <w:p>
      <w:pPr>
        <w:spacing w:after="0" w:line="191" w:lineRule="exact"/>
        <w:rPr>
          <w:rFonts w:ascii="Arial" w:cs="Arial" w:eastAsia="Arial" w:hAnsi="Arial"/>
          <w:sz w:val="16"/>
          <w:szCs w:val="16"/>
          <w:color w:val="262626"/>
        </w:rPr>
      </w:pPr>
    </w:p>
    <w:p>
      <w:pPr>
        <w:ind w:left="1860" w:hanging="249"/>
        <w:spacing w:after="0"/>
        <w:tabs>
          <w:tab w:leader="none" w:pos="186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other ongoing commitments and obligations of the candidate</w:t>
      </w:r>
    </w:p>
    <w:p>
      <w:pPr>
        <w:spacing w:after="0" w:line="191" w:lineRule="exact"/>
        <w:rPr>
          <w:rFonts w:ascii="Arial" w:cs="Arial" w:eastAsia="Arial" w:hAnsi="Arial"/>
          <w:sz w:val="16"/>
          <w:szCs w:val="16"/>
          <w:color w:val="262626"/>
        </w:rPr>
      </w:pPr>
    </w:p>
    <w:p>
      <w:pPr>
        <w:ind w:left="1860" w:hanging="249"/>
        <w:spacing w:after="0"/>
        <w:tabs>
          <w:tab w:leader="none" w:pos="186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independence from management</w:t>
      </w:r>
    </w:p>
    <w:p>
      <w:pPr>
        <w:spacing w:after="0" w:line="205" w:lineRule="exact"/>
        <w:rPr>
          <w:sz w:val="20"/>
          <w:szCs w:val="20"/>
          <w:color w:val="auto"/>
        </w:rPr>
      </w:pPr>
    </w:p>
    <w:p>
      <w:pPr>
        <w:jc w:val="both"/>
        <w:ind w:left="1280" w:right="159"/>
        <w:spacing w:after="0" w:line="337" w:lineRule="auto"/>
        <w:rPr>
          <w:sz w:val="20"/>
          <w:szCs w:val="20"/>
          <w:color w:val="auto"/>
        </w:rPr>
      </w:pPr>
      <w:r>
        <w:rPr>
          <w:rFonts w:ascii="Arial" w:cs="Arial" w:eastAsia="Arial" w:hAnsi="Arial"/>
          <w:sz w:val="16"/>
          <w:szCs w:val="16"/>
          <w:color w:val="262626"/>
        </w:rPr>
        <w:t>The NCG Committee will consider nominee recommendations from its members, other Board members and members of our management, as well as nominees recommended by our stockholders. Nominees recommended by our stockholders will be evaluated in the same manner as any other candidate for election (other than the directors standing for re-election). The NCG Committee has from time to time also engaged third-party search firms to assist in identifying and evaluating possible candidates.</w:t>
      </w:r>
    </w:p>
    <w:p>
      <w:pPr>
        <w:spacing w:after="0" w:line="104" w:lineRule="exact"/>
        <w:rPr>
          <w:sz w:val="20"/>
          <w:szCs w:val="20"/>
          <w:color w:val="auto"/>
        </w:rPr>
      </w:pPr>
    </w:p>
    <w:p>
      <w:pPr>
        <w:jc w:val="both"/>
        <w:ind w:left="1280" w:right="159"/>
        <w:spacing w:after="0" w:line="371" w:lineRule="auto"/>
        <w:rPr>
          <w:sz w:val="20"/>
          <w:szCs w:val="20"/>
          <w:color w:val="auto"/>
        </w:rPr>
      </w:pPr>
      <w:r>
        <w:rPr>
          <w:rFonts w:ascii="Arial" w:cs="Arial" w:eastAsia="Arial" w:hAnsi="Arial"/>
          <w:sz w:val="16"/>
          <w:szCs w:val="16"/>
          <w:color w:val="262626"/>
        </w:rPr>
        <w:t>See “</w:t>
      </w:r>
      <w:r>
        <w:rPr>
          <w:rFonts w:ascii="Arial" w:cs="Arial" w:eastAsia="Arial" w:hAnsi="Arial"/>
          <w:sz w:val="16"/>
          <w:szCs w:val="16"/>
          <w:i w:val="1"/>
          <w:iCs w:val="1"/>
          <w:color w:val="262626"/>
        </w:rPr>
        <w:t>Additional Meeting Information</w:t>
      </w:r>
      <w:r>
        <w:rPr>
          <w:rFonts w:ascii="Arial" w:cs="Arial" w:eastAsia="Arial" w:hAnsi="Arial"/>
          <w:sz w:val="16"/>
          <w:szCs w:val="16"/>
          <w:color w:val="262626"/>
        </w:rPr>
        <w:t xml:space="preserve"> — </w:t>
      </w:r>
      <w:r>
        <w:rPr>
          <w:rFonts w:ascii="Arial" w:cs="Arial" w:eastAsia="Arial" w:hAnsi="Arial"/>
          <w:sz w:val="16"/>
          <w:szCs w:val="16"/>
          <w:i w:val="1"/>
          <w:iCs w:val="1"/>
          <w:color w:val="262626"/>
        </w:rPr>
        <w:t>Questions and Answers Relating to Proxy Materials and the Annual Meeting</w:t>
      </w:r>
      <w:r>
        <w:rPr>
          <w:rFonts w:ascii="Arial" w:cs="Arial" w:eastAsia="Arial" w:hAnsi="Arial"/>
          <w:sz w:val="16"/>
          <w:szCs w:val="16"/>
          <w:color w:val="262626"/>
        </w:rPr>
        <w:t>” below for information on the requirements for director nominations, including nominations using proxy access.</w:t>
      </w:r>
    </w:p>
    <w:p>
      <w:pPr>
        <w:spacing w:after="0" w:line="12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DIRECTOR ATTENDANCE AND MEETINGS</w:t>
      </w:r>
    </w:p>
    <w:p>
      <w:pPr>
        <w:spacing w:after="0" w:line="214"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The Corporate Governance Guidelines provide that each director is expected to attend all meetings of our Board and of each committee on which the director is a member and the annual meetings of stockholders. Our Board held 11 meetings during fiscal 2025 and our independent directors met at regularly scheduled executive sessions without management present. Each director attended at least 75% of the aggregate number of meetings of our Board and all committees of our Board on which the director served during fiscal 2025. All of the director nominees attended the 2025 annual meeting.</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BOARD EVALUATIONS</w:t>
      </w:r>
    </w:p>
    <w:p>
      <w:pPr>
        <w:spacing w:after="0" w:line="200" w:lineRule="exact"/>
        <w:rPr>
          <w:sz w:val="20"/>
          <w:szCs w:val="20"/>
          <w:color w:val="auto"/>
        </w:rPr>
      </w:pPr>
    </w:p>
    <w:p>
      <w:pPr>
        <w:jc w:val="both"/>
        <w:ind w:left="1280" w:right="159"/>
        <w:spacing w:after="0" w:line="336" w:lineRule="auto"/>
        <w:rPr>
          <w:sz w:val="20"/>
          <w:szCs w:val="20"/>
          <w:color w:val="auto"/>
        </w:rPr>
      </w:pPr>
      <w:r>
        <w:rPr>
          <w:rFonts w:ascii="Arial" w:cs="Arial" w:eastAsia="Arial" w:hAnsi="Arial"/>
          <w:sz w:val="16"/>
          <w:szCs w:val="16"/>
          <w:color w:val="262626"/>
        </w:rPr>
        <w:t>Our Board is committed to reviewing its performance through an annual evaluation process, which is overseen by the NCG Committee. Through the evaluations, our directors provide feedback on our Board and its committees and assess their composition, processes and overall effectiveness. The Chairman of the Board, and if applicable, the Lead Independent Director, report the results to our full Board and the Chairs of each committee report the results to their respective committees. Any findings that require consideration are addressed at subsequent Board and committee meetings, as appropriate.</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BOARD RISK OVERSIGHT</w:t>
      </w:r>
    </w:p>
    <w:p>
      <w:pPr>
        <w:spacing w:after="0" w:line="214"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Our Board believes that evaluating Broadcom’s key risks is one of its most important areas of oversight. Our Board regularly reviews and discusses with management key strategic and operational risks, including those related to operations, liquidity, credit, cybersecurity, artificial intelligence (“AI”), compensation programs, workforce retention, and CEO and senior management succession.</w:t>
      </w:r>
    </w:p>
    <w:p>
      <w:pPr>
        <w:spacing w:after="0" w:line="101" w:lineRule="exact"/>
        <w:rPr>
          <w:sz w:val="20"/>
          <w:szCs w:val="20"/>
          <w:color w:val="auto"/>
        </w:rPr>
      </w:pPr>
    </w:p>
    <w:p>
      <w:pPr>
        <w:jc w:val="both"/>
        <w:ind w:left="1280" w:right="179"/>
        <w:spacing w:after="0" w:line="337" w:lineRule="auto"/>
        <w:rPr>
          <w:sz w:val="20"/>
          <w:szCs w:val="20"/>
          <w:color w:val="auto"/>
        </w:rPr>
      </w:pPr>
      <w:r>
        <w:rPr>
          <w:rFonts w:ascii="Arial" w:cs="Arial" w:eastAsia="Arial" w:hAnsi="Arial"/>
          <w:sz w:val="16"/>
          <w:szCs w:val="16"/>
          <w:color w:val="262626"/>
        </w:rPr>
        <w:t>We have an enterprise risk management program that is managed by our internal audit function, and our internal audit function works closely with our Board, CEO and senior management to identify, evaluate and manage risks, as well as our responses to those risks. Our internal audit function also reports at least annually to the Audit Committee the results of its annual risk assessment, including its assessment of the likelihood and severity of identified risks and the actions taken to monitor emerging risks, and coordinates cross-functionally on the risk mitigation efforts.</w:t>
      </w:r>
    </w:p>
    <w:p>
      <w:pPr>
        <w:spacing w:after="0" w:line="74" w:lineRule="exact"/>
        <w:rPr>
          <w:sz w:val="20"/>
          <w:szCs w:val="20"/>
          <w:color w:val="auto"/>
        </w:rPr>
      </w:pPr>
    </w:p>
    <w:p>
      <w:pPr>
        <w:jc w:val="right"/>
        <w:ind w:right="159"/>
        <w:spacing w:after="0"/>
        <w:rPr>
          <w:sz w:val="20"/>
          <w:szCs w:val="20"/>
          <w:color w:val="auto"/>
        </w:rPr>
      </w:pPr>
      <w:r>
        <w:rPr>
          <w:rFonts w:ascii="Arial" w:cs="Arial" w:eastAsia="Arial" w:hAnsi="Arial"/>
          <w:sz w:val="15"/>
          <w:szCs w:val="15"/>
          <w:color w:val="262626"/>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jc w:val="both"/>
        <w:ind w:left="1280" w:right="159"/>
        <w:spacing w:after="0" w:line="343" w:lineRule="auto"/>
        <w:rPr>
          <w:sz w:val="20"/>
          <w:szCs w:val="20"/>
          <w:color w:val="auto"/>
        </w:rPr>
      </w:pPr>
      <w:r>
        <w:rPr>
          <w:rFonts w:ascii="Arial" w:cs="Arial" w:eastAsia="Arial" w:hAnsi="Arial"/>
          <w:sz w:val="16"/>
          <w:szCs w:val="16"/>
          <w:color w:val="262626"/>
        </w:rPr>
        <w:t>In addition, each Board committee is responsible for the oversight of specific areas of risk and reports regularly to our Board on matters relating to those risks. Management reports, at least annually, on our risks and risk management practices to the relevant committees and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121920</wp:posOffset>
            </wp:positionV>
            <wp:extent cx="55225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65"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1300" w:type="dxa"/>
            <w:vAlign w:val="bottom"/>
          </w:tcPr>
          <w:p>
            <w:pPr>
              <w:spacing w:after="0"/>
              <w:rPr>
                <w:sz w:val="20"/>
                <w:szCs w:val="20"/>
                <w:color w:val="auto"/>
              </w:rPr>
            </w:pPr>
            <w:r>
              <w:rPr>
                <w:rFonts w:ascii="Arial" w:cs="Arial" w:eastAsia="Arial" w:hAnsi="Arial"/>
                <w:sz w:val="16"/>
                <w:szCs w:val="16"/>
                <w:b w:val="1"/>
                <w:bCs w:val="1"/>
                <w:color w:val="262626"/>
              </w:rPr>
              <w:t>Committee</w:t>
            </w:r>
          </w:p>
        </w:tc>
        <w:tc>
          <w:tcPr>
            <w:tcW w:w="7400" w:type="dxa"/>
            <w:vAlign w:val="bottom"/>
            <w:gridSpan w:val="2"/>
          </w:tcPr>
          <w:p>
            <w:pPr>
              <w:ind w:left="260"/>
              <w:spacing w:after="0"/>
              <w:rPr>
                <w:sz w:val="20"/>
                <w:szCs w:val="20"/>
                <w:color w:val="auto"/>
              </w:rPr>
            </w:pPr>
            <w:r>
              <w:rPr>
                <w:rFonts w:ascii="Arial" w:cs="Arial" w:eastAsia="Arial" w:hAnsi="Arial"/>
                <w:sz w:val="16"/>
                <w:szCs w:val="16"/>
                <w:b w:val="1"/>
                <w:bCs w:val="1"/>
                <w:color w:val="262626"/>
              </w:rPr>
              <w:t>Primary Areas of Risk Oversight</w:t>
            </w:r>
          </w:p>
        </w:tc>
      </w:tr>
      <w:tr>
        <w:trPr>
          <w:trHeight w:val="88"/>
        </w:trPr>
        <w:tc>
          <w:tcPr>
            <w:tcW w:w="1300" w:type="dxa"/>
            <w:vAlign w:val="bottom"/>
            <w:tcBorders>
              <w:bottom w:val="single" w:sz="8" w:color="CF0A2C"/>
            </w:tcBorders>
          </w:tcPr>
          <w:p>
            <w:pPr>
              <w:spacing w:after="0"/>
              <w:rPr>
                <w:sz w:val="7"/>
                <w:szCs w:val="7"/>
                <w:color w:val="auto"/>
              </w:rPr>
            </w:pPr>
          </w:p>
        </w:tc>
        <w:tc>
          <w:tcPr>
            <w:tcW w:w="460" w:type="dxa"/>
            <w:vAlign w:val="bottom"/>
            <w:tcBorders>
              <w:bottom w:val="single" w:sz="8" w:color="CF0A2C"/>
            </w:tcBorders>
          </w:tcPr>
          <w:p>
            <w:pPr>
              <w:spacing w:after="0"/>
              <w:rPr>
                <w:sz w:val="7"/>
                <w:szCs w:val="7"/>
                <w:color w:val="auto"/>
              </w:rPr>
            </w:pPr>
          </w:p>
        </w:tc>
        <w:tc>
          <w:tcPr>
            <w:tcW w:w="6940" w:type="dxa"/>
            <w:vAlign w:val="bottom"/>
            <w:tcBorders>
              <w:bottom w:val="single" w:sz="8" w:color="CF0A2C"/>
            </w:tcBorders>
          </w:tcPr>
          <w:p>
            <w:pPr>
              <w:spacing w:after="0"/>
              <w:rPr>
                <w:sz w:val="7"/>
                <w:szCs w:val="7"/>
                <w:color w:val="auto"/>
              </w:rPr>
            </w:pPr>
          </w:p>
        </w:tc>
      </w:tr>
      <w:tr>
        <w:trPr>
          <w:trHeight w:val="314"/>
        </w:trPr>
        <w:tc>
          <w:tcPr>
            <w:tcW w:w="1300" w:type="dxa"/>
            <w:vAlign w:val="bottom"/>
          </w:tcPr>
          <w:p>
            <w:pPr>
              <w:spacing w:after="0"/>
              <w:rPr>
                <w:sz w:val="20"/>
                <w:szCs w:val="20"/>
                <w:color w:val="auto"/>
              </w:rPr>
            </w:pPr>
            <w:r>
              <w:rPr>
                <w:rFonts w:ascii="Arial" w:cs="Arial" w:eastAsia="Arial" w:hAnsi="Arial"/>
                <w:sz w:val="16"/>
                <w:szCs w:val="16"/>
                <w:color w:val="262626"/>
              </w:rPr>
              <w:t>Audit</w:t>
            </w:r>
          </w:p>
        </w:tc>
        <w:tc>
          <w:tcPr>
            <w:tcW w:w="460" w:type="dxa"/>
            <w:vAlign w:val="bottom"/>
          </w:tcPr>
          <w:p>
            <w:pPr>
              <w:ind w:left="260"/>
              <w:spacing w:after="0"/>
              <w:rPr>
                <w:sz w:val="20"/>
                <w:szCs w:val="20"/>
                <w:color w:val="auto"/>
              </w:rPr>
            </w:pPr>
            <w:r>
              <w:rPr>
                <w:rFonts w:ascii="Arial" w:cs="Arial" w:eastAsia="Arial" w:hAnsi="Arial"/>
                <w:sz w:val="16"/>
                <w:szCs w:val="16"/>
                <w:color w:val="262626"/>
              </w:rPr>
              <w:t>•</w:t>
            </w:r>
          </w:p>
        </w:tc>
        <w:tc>
          <w:tcPr>
            <w:tcW w:w="6940" w:type="dxa"/>
            <w:vAlign w:val="bottom"/>
          </w:tcPr>
          <w:p>
            <w:pPr>
              <w:ind w:left="140"/>
              <w:spacing w:after="0"/>
              <w:rPr>
                <w:sz w:val="20"/>
                <w:szCs w:val="20"/>
                <w:color w:val="auto"/>
              </w:rPr>
            </w:pPr>
            <w:r>
              <w:rPr>
                <w:rFonts w:ascii="Arial" w:cs="Arial" w:eastAsia="Arial" w:hAnsi="Arial"/>
                <w:sz w:val="16"/>
                <w:szCs w:val="16"/>
                <w:color w:val="262626"/>
              </w:rPr>
              <w:t>Oversee financial reporting process, accounting policies and internal controls</w:t>
            </w:r>
          </w:p>
        </w:tc>
      </w:tr>
      <w:tr>
        <w:trPr>
          <w:trHeight w:val="376"/>
        </w:trPr>
        <w:tc>
          <w:tcPr>
            <w:tcW w:w="130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262626"/>
              </w:rPr>
              <w:t>•</w:t>
            </w:r>
          </w:p>
        </w:tc>
        <w:tc>
          <w:tcPr>
            <w:tcW w:w="6940" w:type="dxa"/>
            <w:vAlign w:val="bottom"/>
          </w:tcPr>
          <w:p>
            <w:pPr>
              <w:ind w:left="140"/>
              <w:spacing w:after="0"/>
              <w:rPr>
                <w:sz w:val="20"/>
                <w:szCs w:val="20"/>
                <w:color w:val="auto"/>
              </w:rPr>
            </w:pPr>
            <w:r>
              <w:rPr>
                <w:rFonts w:ascii="Arial" w:cs="Arial" w:eastAsia="Arial" w:hAnsi="Arial"/>
                <w:sz w:val="16"/>
                <w:szCs w:val="16"/>
                <w:color w:val="262626"/>
              </w:rPr>
              <w:t>Evaluate risks related to financial reporting, accounting, auditing, tax and fraud</w:t>
            </w:r>
          </w:p>
        </w:tc>
      </w:tr>
      <w:tr>
        <w:trPr>
          <w:trHeight w:val="376"/>
        </w:trPr>
        <w:tc>
          <w:tcPr>
            <w:tcW w:w="130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262626"/>
              </w:rPr>
              <w:t>•</w:t>
            </w:r>
          </w:p>
        </w:tc>
        <w:tc>
          <w:tcPr>
            <w:tcW w:w="6940" w:type="dxa"/>
            <w:vAlign w:val="bottom"/>
          </w:tcPr>
          <w:p>
            <w:pPr>
              <w:ind w:left="140"/>
              <w:spacing w:after="0"/>
              <w:rPr>
                <w:sz w:val="20"/>
                <w:szCs w:val="20"/>
                <w:color w:val="auto"/>
              </w:rPr>
            </w:pPr>
            <w:r>
              <w:rPr>
                <w:rFonts w:ascii="Arial" w:cs="Arial" w:eastAsia="Arial" w:hAnsi="Arial"/>
                <w:sz w:val="16"/>
                <w:szCs w:val="16"/>
                <w:color w:val="262626"/>
              </w:rPr>
              <w:t>Evaluate exposures and risks related to cybersecurity, data privacy and information technology</w:t>
            </w:r>
          </w:p>
        </w:tc>
      </w:tr>
      <w:tr>
        <w:trPr>
          <w:trHeight w:val="242"/>
        </w:trPr>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940" w:type="dxa"/>
            <w:vAlign w:val="bottom"/>
          </w:tcPr>
          <w:p>
            <w:pPr>
              <w:ind w:left="140"/>
              <w:spacing w:after="0"/>
              <w:rPr>
                <w:sz w:val="20"/>
                <w:szCs w:val="20"/>
                <w:color w:val="auto"/>
              </w:rPr>
            </w:pPr>
            <w:r>
              <w:rPr>
                <w:rFonts w:ascii="Arial" w:cs="Arial" w:eastAsia="Arial" w:hAnsi="Arial"/>
                <w:sz w:val="16"/>
                <w:szCs w:val="16"/>
                <w:color w:val="262626"/>
              </w:rPr>
              <w:t>and  controls,  including  our  cybersecurity  performance  and  risk  profile,  and  monitoring,</w:t>
            </w:r>
          </w:p>
        </w:tc>
      </w:tr>
      <w:tr>
        <w:trPr>
          <w:trHeight w:val="255"/>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940" w:type="dxa"/>
            <w:vAlign w:val="bottom"/>
          </w:tcPr>
          <w:p>
            <w:pPr>
              <w:ind w:left="140"/>
              <w:spacing w:after="0"/>
              <w:rPr>
                <w:sz w:val="20"/>
                <w:szCs w:val="20"/>
                <w:color w:val="auto"/>
              </w:rPr>
            </w:pPr>
            <w:r>
              <w:rPr>
                <w:rFonts w:ascii="Arial" w:cs="Arial" w:eastAsia="Arial" w:hAnsi="Arial"/>
                <w:sz w:val="16"/>
                <w:szCs w:val="16"/>
                <w:color w:val="262626"/>
              </w:rPr>
              <w:t>assessing and reporting such exposures</w:t>
            </w:r>
          </w:p>
        </w:tc>
      </w:tr>
      <w:tr>
        <w:trPr>
          <w:trHeight w:val="163"/>
        </w:trPr>
        <w:tc>
          <w:tcPr>
            <w:tcW w:w="1300" w:type="dxa"/>
            <w:vAlign w:val="bottom"/>
            <w:tcBorders>
              <w:bottom w:val="single" w:sz="8" w:color="CF0A2C"/>
            </w:tcBorders>
          </w:tcPr>
          <w:p>
            <w:pPr>
              <w:spacing w:after="0"/>
              <w:rPr>
                <w:sz w:val="14"/>
                <w:szCs w:val="14"/>
                <w:color w:val="auto"/>
              </w:rPr>
            </w:pPr>
          </w:p>
        </w:tc>
        <w:tc>
          <w:tcPr>
            <w:tcW w:w="460" w:type="dxa"/>
            <w:vAlign w:val="bottom"/>
            <w:tcBorders>
              <w:bottom w:val="single" w:sz="8" w:color="CF0A2C"/>
            </w:tcBorders>
          </w:tcPr>
          <w:p>
            <w:pPr>
              <w:spacing w:after="0"/>
              <w:rPr>
                <w:sz w:val="14"/>
                <w:szCs w:val="14"/>
                <w:color w:val="auto"/>
              </w:rPr>
            </w:pPr>
          </w:p>
        </w:tc>
        <w:tc>
          <w:tcPr>
            <w:tcW w:w="6940" w:type="dxa"/>
            <w:vAlign w:val="bottom"/>
            <w:tcBorders>
              <w:bottom w:val="single" w:sz="8" w:color="CF0A2C"/>
            </w:tcBorders>
          </w:tcPr>
          <w:p>
            <w:pPr>
              <w:spacing w:after="0"/>
              <w:rPr>
                <w:sz w:val="14"/>
                <w:szCs w:val="14"/>
                <w:color w:val="auto"/>
              </w:rPr>
            </w:pPr>
          </w:p>
        </w:tc>
      </w:tr>
      <w:tr>
        <w:trPr>
          <w:trHeight w:val="314"/>
        </w:trPr>
        <w:tc>
          <w:tcPr>
            <w:tcW w:w="1300" w:type="dxa"/>
            <w:vAlign w:val="bottom"/>
          </w:tcPr>
          <w:p>
            <w:pPr>
              <w:spacing w:after="0"/>
              <w:rPr>
                <w:sz w:val="20"/>
                <w:szCs w:val="20"/>
                <w:color w:val="auto"/>
              </w:rPr>
            </w:pPr>
            <w:r>
              <w:rPr>
                <w:rFonts w:ascii="Arial" w:cs="Arial" w:eastAsia="Arial" w:hAnsi="Arial"/>
                <w:sz w:val="16"/>
                <w:szCs w:val="16"/>
                <w:color w:val="262626"/>
              </w:rPr>
              <w:t>Compensation</w:t>
            </w:r>
          </w:p>
        </w:tc>
        <w:tc>
          <w:tcPr>
            <w:tcW w:w="460" w:type="dxa"/>
            <w:vAlign w:val="bottom"/>
          </w:tcPr>
          <w:p>
            <w:pPr>
              <w:ind w:left="260"/>
              <w:spacing w:after="0"/>
              <w:rPr>
                <w:sz w:val="20"/>
                <w:szCs w:val="20"/>
                <w:color w:val="auto"/>
              </w:rPr>
            </w:pPr>
            <w:r>
              <w:rPr>
                <w:rFonts w:ascii="Arial" w:cs="Arial" w:eastAsia="Arial" w:hAnsi="Arial"/>
                <w:sz w:val="16"/>
                <w:szCs w:val="16"/>
                <w:color w:val="262626"/>
              </w:rPr>
              <w:t>•</w:t>
            </w:r>
          </w:p>
        </w:tc>
        <w:tc>
          <w:tcPr>
            <w:tcW w:w="6940" w:type="dxa"/>
            <w:vAlign w:val="bottom"/>
          </w:tcPr>
          <w:p>
            <w:pPr>
              <w:ind w:left="140"/>
              <w:spacing w:after="0"/>
              <w:rPr>
                <w:sz w:val="20"/>
                <w:szCs w:val="20"/>
                <w:color w:val="auto"/>
              </w:rPr>
            </w:pPr>
            <w:r>
              <w:rPr>
                <w:rFonts w:ascii="Arial" w:cs="Arial" w:eastAsia="Arial" w:hAnsi="Arial"/>
                <w:sz w:val="16"/>
                <w:szCs w:val="16"/>
                <w:color w:val="262626"/>
              </w:rPr>
              <w:t>Oversee compensation plans, programs and policies</w:t>
            </w:r>
          </w:p>
        </w:tc>
      </w:tr>
      <w:tr>
        <w:trPr>
          <w:trHeight w:val="376"/>
        </w:trPr>
        <w:tc>
          <w:tcPr>
            <w:tcW w:w="130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262626"/>
              </w:rPr>
              <w:t>•</w:t>
            </w:r>
          </w:p>
        </w:tc>
        <w:tc>
          <w:tcPr>
            <w:tcW w:w="6940" w:type="dxa"/>
            <w:vAlign w:val="bottom"/>
          </w:tcPr>
          <w:p>
            <w:pPr>
              <w:ind w:left="140"/>
              <w:spacing w:after="0"/>
              <w:rPr>
                <w:sz w:val="20"/>
                <w:szCs w:val="20"/>
                <w:color w:val="auto"/>
              </w:rPr>
            </w:pPr>
            <w:r>
              <w:rPr>
                <w:rFonts w:ascii="Arial" w:cs="Arial" w:eastAsia="Arial" w:hAnsi="Arial"/>
                <w:sz w:val="16"/>
                <w:szCs w:val="16"/>
                <w:color w:val="262626"/>
              </w:rPr>
              <w:t>Evaluate the relationship between risk management policies and practices, business strategy</w:t>
            </w:r>
          </w:p>
        </w:tc>
      </w:tr>
      <w:tr>
        <w:trPr>
          <w:trHeight w:val="242"/>
        </w:trPr>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940" w:type="dxa"/>
            <w:vAlign w:val="bottom"/>
          </w:tcPr>
          <w:p>
            <w:pPr>
              <w:ind w:left="140"/>
              <w:spacing w:after="0"/>
              <w:rPr>
                <w:sz w:val="20"/>
                <w:szCs w:val="20"/>
                <w:color w:val="auto"/>
              </w:rPr>
            </w:pPr>
            <w:r>
              <w:rPr>
                <w:rFonts w:ascii="Arial" w:cs="Arial" w:eastAsia="Arial" w:hAnsi="Arial"/>
                <w:sz w:val="16"/>
                <w:szCs w:val="16"/>
                <w:color w:val="262626"/>
              </w:rPr>
              <w:t>and compensation of executive officers and other executives</w:t>
            </w:r>
          </w:p>
        </w:tc>
      </w:tr>
      <w:tr>
        <w:trPr>
          <w:trHeight w:val="376"/>
        </w:trPr>
        <w:tc>
          <w:tcPr>
            <w:tcW w:w="130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262626"/>
              </w:rPr>
              <w:t>•</w:t>
            </w:r>
          </w:p>
        </w:tc>
        <w:tc>
          <w:tcPr>
            <w:tcW w:w="6940" w:type="dxa"/>
            <w:vAlign w:val="bottom"/>
          </w:tcPr>
          <w:p>
            <w:pPr>
              <w:ind w:left="140"/>
              <w:spacing w:after="0"/>
              <w:rPr>
                <w:sz w:val="20"/>
                <w:szCs w:val="20"/>
                <w:color w:val="auto"/>
              </w:rPr>
            </w:pPr>
            <w:r>
              <w:rPr>
                <w:rFonts w:ascii="Arial" w:cs="Arial" w:eastAsia="Arial" w:hAnsi="Arial"/>
                <w:sz w:val="16"/>
                <w:szCs w:val="16"/>
                <w:color w:val="262626"/>
              </w:rPr>
              <w:t>Evaluate and provide input on CEO and senior management succession planning</w:t>
            </w:r>
          </w:p>
        </w:tc>
      </w:tr>
      <w:tr>
        <w:trPr>
          <w:trHeight w:val="163"/>
        </w:trPr>
        <w:tc>
          <w:tcPr>
            <w:tcW w:w="1300" w:type="dxa"/>
            <w:vAlign w:val="bottom"/>
            <w:tcBorders>
              <w:bottom w:val="single" w:sz="8" w:color="CF0A2C"/>
            </w:tcBorders>
          </w:tcPr>
          <w:p>
            <w:pPr>
              <w:spacing w:after="0"/>
              <w:rPr>
                <w:sz w:val="14"/>
                <w:szCs w:val="14"/>
                <w:color w:val="auto"/>
              </w:rPr>
            </w:pPr>
          </w:p>
        </w:tc>
        <w:tc>
          <w:tcPr>
            <w:tcW w:w="460" w:type="dxa"/>
            <w:vAlign w:val="bottom"/>
            <w:tcBorders>
              <w:bottom w:val="single" w:sz="8" w:color="CF0A2C"/>
            </w:tcBorders>
          </w:tcPr>
          <w:p>
            <w:pPr>
              <w:spacing w:after="0"/>
              <w:rPr>
                <w:sz w:val="14"/>
                <w:szCs w:val="14"/>
                <w:color w:val="auto"/>
              </w:rPr>
            </w:pPr>
          </w:p>
        </w:tc>
        <w:tc>
          <w:tcPr>
            <w:tcW w:w="6940" w:type="dxa"/>
            <w:vAlign w:val="bottom"/>
            <w:tcBorders>
              <w:bottom w:val="single" w:sz="8" w:color="CF0A2C"/>
            </w:tcBorders>
          </w:tcPr>
          <w:p>
            <w:pPr>
              <w:spacing w:after="0"/>
              <w:rPr>
                <w:sz w:val="14"/>
                <w:szCs w:val="14"/>
                <w:color w:val="auto"/>
              </w:rPr>
            </w:pPr>
          </w:p>
        </w:tc>
      </w:tr>
      <w:tr>
        <w:trPr>
          <w:trHeight w:val="314"/>
        </w:trPr>
        <w:tc>
          <w:tcPr>
            <w:tcW w:w="1300" w:type="dxa"/>
            <w:vAlign w:val="bottom"/>
          </w:tcPr>
          <w:p>
            <w:pPr>
              <w:spacing w:after="0"/>
              <w:rPr>
                <w:sz w:val="20"/>
                <w:szCs w:val="20"/>
                <w:color w:val="auto"/>
              </w:rPr>
            </w:pPr>
            <w:r>
              <w:rPr>
                <w:rFonts w:ascii="Arial" w:cs="Arial" w:eastAsia="Arial" w:hAnsi="Arial"/>
                <w:sz w:val="16"/>
                <w:szCs w:val="16"/>
                <w:color w:val="262626"/>
              </w:rPr>
              <w:t>NCG</w:t>
            </w:r>
          </w:p>
        </w:tc>
        <w:tc>
          <w:tcPr>
            <w:tcW w:w="460" w:type="dxa"/>
            <w:vAlign w:val="bottom"/>
          </w:tcPr>
          <w:p>
            <w:pPr>
              <w:ind w:left="260"/>
              <w:spacing w:after="0"/>
              <w:rPr>
                <w:sz w:val="20"/>
                <w:szCs w:val="20"/>
                <w:color w:val="auto"/>
              </w:rPr>
            </w:pPr>
            <w:r>
              <w:rPr>
                <w:rFonts w:ascii="Arial" w:cs="Arial" w:eastAsia="Arial" w:hAnsi="Arial"/>
                <w:sz w:val="16"/>
                <w:szCs w:val="16"/>
                <w:color w:val="262626"/>
              </w:rPr>
              <w:t>•</w:t>
            </w:r>
          </w:p>
        </w:tc>
        <w:tc>
          <w:tcPr>
            <w:tcW w:w="6940" w:type="dxa"/>
            <w:vAlign w:val="bottom"/>
          </w:tcPr>
          <w:p>
            <w:pPr>
              <w:ind w:left="140"/>
              <w:spacing w:after="0"/>
              <w:rPr>
                <w:sz w:val="20"/>
                <w:szCs w:val="20"/>
                <w:color w:val="auto"/>
              </w:rPr>
            </w:pPr>
            <w:r>
              <w:rPr>
                <w:rFonts w:ascii="Arial" w:cs="Arial" w:eastAsia="Arial" w:hAnsi="Arial"/>
                <w:sz w:val="16"/>
                <w:szCs w:val="16"/>
                <w:color w:val="262626"/>
              </w:rPr>
              <w:t>Review and evaluate the corporate governance framework, including governance guidelines</w:t>
            </w:r>
          </w:p>
        </w:tc>
      </w:tr>
      <w:tr>
        <w:trPr>
          <w:trHeight w:val="242"/>
        </w:trPr>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940" w:type="dxa"/>
            <w:vAlign w:val="bottom"/>
          </w:tcPr>
          <w:p>
            <w:pPr>
              <w:ind w:left="140"/>
              <w:spacing w:after="0"/>
              <w:rPr>
                <w:sz w:val="20"/>
                <w:szCs w:val="20"/>
                <w:color w:val="auto"/>
              </w:rPr>
            </w:pPr>
            <w:r>
              <w:rPr>
                <w:rFonts w:ascii="Arial" w:cs="Arial" w:eastAsia="Arial" w:hAnsi="Arial"/>
                <w:sz w:val="16"/>
                <w:szCs w:val="16"/>
                <w:color w:val="262626"/>
              </w:rPr>
              <w:t>and policies</w:t>
            </w:r>
          </w:p>
        </w:tc>
      </w:tr>
      <w:tr>
        <w:trPr>
          <w:trHeight w:val="376"/>
        </w:trPr>
        <w:tc>
          <w:tcPr>
            <w:tcW w:w="130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262626"/>
              </w:rPr>
              <w:t>•</w:t>
            </w:r>
          </w:p>
        </w:tc>
        <w:tc>
          <w:tcPr>
            <w:tcW w:w="6940" w:type="dxa"/>
            <w:vAlign w:val="bottom"/>
          </w:tcPr>
          <w:p>
            <w:pPr>
              <w:ind w:left="140"/>
              <w:spacing w:after="0"/>
              <w:rPr>
                <w:sz w:val="20"/>
                <w:szCs w:val="20"/>
                <w:color w:val="auto"/>
              </w:rPr>
            </w:pPr>
            <w:r>
              <w:rPr>
                <w:rFonts w:ascii="Arial" w:cs="Arial" w:eastAsia="Arial" w:hAnsi="Arial"/>
                <w:sz w:val="16"/>
                <w:szCs w:val="16"/>
                <w:color w:val="262626"/>
              </w:rPr>
              <w:t>Evaluate the structure and composition of our Board and committees, including director</w:t>
            </w:r>
          </w:p>
        </w:tc>
      </w:tr>
      <w:tr>
        <w:trPr>
          <w:trHeight w:val="242"/>
        </w:trPr>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940" w:type="dxa"/>
            <w:vAlign w:val="bottom"/>
          </w:tcPr>
          <w:p>
            <w:pPr>
              <w:ind w:left="140"/>
              <w:spacing w:after="0"/>
              <w:rPr>
                <w:sz w:val="20"/>
                <w:szCs w:val="20"/>
                <w:color w:val="auto"/>
              </w:rPr>
            </w:pPr>
            <w:r>
              <w:rPr>
                <w:rFonts w:ascii="Arial" w:cs="Arial" w:eastAsia="Arial" w:hAnsi="Arial"/>
                <w:sz w:val="16"/>
                <w:szCs w:val="16"/>
                <w:color w:val="262626"/>
              </w:rPr>
              <w:t>succession planning, backgrounds and perspectives, and related policies and procedures</w:t>
            </w:r>
          </w:p>
        </w:tc>
      </w:tr>
      <w:tr>
        <w:trPr>
          <w:trHeight w:val="376"/>
        </w:trPr>
        <w:tc>
          <w:tcPr>
            <w:tcW w:w="130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262626"/>
              </w:rPr>
              <w:t>•</w:t>
            </w:r>
          </w:p>
        </w:tc>
        <w:tc>
          <w:tcPr>
            <w:tcW w:w="6940" w:type="dxa"/>
            <w:vAlign w:val="bottom"/>
          </w:tcPr>
          <w:p>
            <w:pPr>
              <w:ind w:left="140"/>
              <w:spacing w:after="0"/>
              <w:rPr>
                <w:sz w:val="20"/>
                <w:szCs w:val="20"/>
                <w:color w:val="auto"/>
              </w:rPr>
            </w:pPr>
            <w:r>
              <w:rPr>
                <w:rFonts w:ascii="Arial" w:cs="Arial" w:eastAsia="Arial" w:hAnsi="Arial"/>
                <w:sz w:val="16"/>
                <w:szCs w:val="16"/>
                <w:color w:val="262626"/>
              </w:rPr>
              <w:t>Oversee the corporate responsibility program and initiatives</w:t>
            </w:r>
          </w:p>
        </w:tc>
      </w:tr>
    </w:tbl>
    <w:p>
      <w:pPr>
        <w:spacing w:after="0" w:line="355"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Cybersecurity Risk Management</w:t>
      </w:r>
    </w:p>
    <w:p>
      <w:pPr>
        <w:spacing w:after="0" w:line="161" w:lineRule="exact"/>
        <w:rPr>
          <w:sz w:val="20"/>
          <w:szCs w:val="20"/>
          <w:color w:val="auto"/>
        </w:rPr>
      </w:pPr>
    </w:p>
    <w:p>
      <w:pPr>
        <w:jc w:val="both"/>
        <w:ind w:left="1280" w:right="179"/>
        <w:spacing w:after="0" w:line="330" w:lineRule="auto"/>
        <w:rPr>
          <w:sz w:val="20"/>
          <w:szCs w:val="20"/>
          <w:color w:val="auto"/>
        </w:rPr>
      </w:pPr>
      <w:r>
        <w:rPr>
          <w:rFonts w:ascii="Arial" w:cs="Arial" w:eastAsia="Arial" w:hAnsi="Arial"/>
          <w:sz w:val="16"/>
          <w:szCs w:val="16"/>
          <w:color w:val="262626"/>
        </w:rPr>
        <w:t>Our Board is actively involved in overseeing our cybersecurity risk management and shares oversight responsibility and processes with the Audit Committee. Our management, including our Chief Information Officer (“CIO”), in consultation with our Chief Information Security Officer, reviews with the Audit Committee quarterly (or more frequently if necessary or advisable) our cybersecurity policies, practices and protective measures, threat intelligence, cybersecurity incidents and related risks. At least quarterly, our CIO also provides the Audit Committee with an update on our enterprise security program that includes procedures and policies for testing vulnerabilities, responding to cybersecurity threats, and training and evaluating our employees. The Audit Committee and management also update our Board at least quarterly on our cybersecurity performance and risk profile and the effectiveness of our cybersecurity processes. We also have protocols in place for escalating certain cybersecurity incidents to the Audit Committee and our Board.</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Compensation Risk Assessment</w:t>
      </w:r>
    </w:p>
    <w:p>
      <w:pPr>
        <w:spacing w:after="0" w:line="175" w:lineRule="exact"/>
        <w:rPr>
          <w:sz w:val="20"/>
          <w:szCs w:val="20"/>
          <w:color w:val="auto"/>
        </w:rPr>
      </w:pPr>
    </w:p>
    <w:p>
      <w:pPr>
        <w:jc w:val="both"/>
        <w:ind w:left="1280" w:right="159"/>
        <w:spacing w:after="0" w:line="331" w:lineRule="auto"/>
        <w:rPr>
          <w:sz w:val="20"/>
          <w:szCs w:val="20"/>
          <w:color w:val="auto"/>
        </w:rPr>
      </w:pPr>
      <w:r>
        <w:rPr>
          <w:rFonts w:ascii="Arial" w:cs="Arial" w:eastAsia="Arial" w:hAnsi="Arial"/>
          <w:sz w:val="16"/>
          <w:szCs w:val="16"/>
          <w:color w:val="262626"/>
        </w:rPr>
        <w:t>The Compensation Committee, in consultation with Meridian Compensation Partners, LLC (“Meridian”), conducts an annual review of our compensation policies and practices for our employees to assess the risks associated with such policies and practices. The Compensation Committee considered risk-mitigating factors in its review, such as our compensation policies and practices that balance short-term and long-term goals and awards and provide a mix of cash and equity components in the annual total compensation (as described below in “</w:t>
      </w:r>
      <w:r>
        <w:rPr>
          <w:rFonts w:ascii="Arial" w:cs="Arial" w:eastAsia="Arial" w:hAnsi="Arial"/>
          <w:sz w:val="16"/>
          <w:szCs w:val="16"/>
          <w:i w:val="1"/>
          <w:iCs w:val="1"/>
          <w:color w:val="262626"/>
        </w:rPr>
        <w:t>Compensation Discussion and Analysis</w:t>
      </w:r>
      <w:r>
        <w:rPr>
          <w:rFonts w:ascii="Arial" w:cs="Arial" w:eastAsia="Arial" w:hAnsi="Arial"/>
          <w:sz w:val="16"/>
          <w:szCs w:val="16"/>
          <w:color w:val="262626"/>
        </w:rPr>
        <w:t>” and “</w:t>
      </w:r>
      <w:r>
        <w:rPr>
          <w:rFonts w:ascii="Arial" w:cs="Arial" w:eastAsia="Arial" w:hAnsi="Arial"/>
          <w:sz w:val="16"/>
          <w:szCs w:val="16"/>
          <w:i w:val="1"/>
          <w:iCs w:val="1"/>
          <w:color w:val="262626"/>
        </w:rPr>
        <w:t>Executive Compensation</w:t>
      </w:r>
      <w:r>
        <w:rPr>
          <w:rFonts w:ascii="Arial" w:cs="Arial" w:eastAsia="Arial" w:hAnsi="Arial"/>
          <w:sz w:val="16"/>
          <w:szCs w:val="16"/>
          <w:color w:val="262626"/>
        </w:rPr>
        <w:t>”). The Compensation Committee also considered the stock ownership guidelines, hedging and pledging prohibitions, as well as any limited exception approved by the NCG Committee and our Board, and its own oversight process that consists of directors who are independent. Based upon this risk assessment, the Compensation Committee concluded that our compensation program does not create risks that are reasonably likely to have a material adverse effect on Broadcom.</w:t>
      </w:r>
    </w:p>
    <w:p>
      <w:pPr>
        <w:sectPr>
          <w:pgSz w:w="11900" w:h="16838" w:orient="portrait"/>
          <w:cols w:equalWidth="0" w:num="1">
            <w:col w:w="10139"/>
          </w:cols>
          <w:pgMar w:left="320" w:top="480" w:right="1440" w:bottom="1440" w:gutter="0" w:footer="0" w:header="0"/>
        </w:sectPr>
      </w:pPr>
    </w:p>
    <w:p>
      <w:pPr>
        <w:spacing w:after="0" w:line="76"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85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BOARD COMMITTEES</w:t>
      </w:r>
    </w:p>
    <w:p>
      <w:pPr>
        <w:spacing w:after="0" w:line="200"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Our Board has the following committees: Audit Committee, Compensation Committee, NCG Committee and Executive Committee. The Audit Committee, the Compensation Committee and the NCG Committee each operate under a charter that satisfies the applicable rules of the SEC and the Nasdaq listing standards. The charters for all four committees are available in the “Investor Center — Corporate Governance” section of our website. Stockholders may also request a copy from Investor Relations, Broadcom Inc., 3421 Hillview Avenue, Palo Alto, California 94304.</w:t>
      </w:r>
    </w:p>
    <w:p>
      <w:pPr>
        <w:spacing w:after="0" w:line="119"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The current members and chairs of the committees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121920</wp:posOffset>
            </wp:positionV>
            <wp:extent cx="55225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52"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4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20" w:type="dxa"/>
            <w:vAlign w:val="bottom"/>
            <w:gridSpan w:val="2"/>
          </w:tcPr>
          <w:p>
            <w:pPr>
              <w:ind w:left="720"/>
              <w:spacing w:after="0"/>
              <w:rPr>
                <w:sz w:val="20"/>
                <w:szCs w:val="20"/>
                <w:color w:val="auto"/>
              </w:rPr>
            </w:pPr>
            <w:r>
              <w:rPr>
                <w:rFonts w:ascii="Arial" w:cs="Arial" w:eastAsia="Arial" w:hAnsi="Arial"/>
                <w:sz w:val="16"/>
                <w:szCs w:val="16"/>
                <w:b w:val="1"/>
                <w:bCs w:val="1"/>
                <w:color w:val="262626"/>
              </w:rPr>
              <w:t>Committees</w:t>
            </w:r>
          </w:p>
        </w:tc>
        <w:tc>
          <w:tcPr>
            <w:tcW w:w="900" w:type="dxa"/>
            <w:vAlign w:val="bottom"/>
          </w:tcPr>
          <w:p>
            <w:pPr>
              <w:spacing w:after="0"/>
              <w:rPr>
                <w:sz w:val="19"/>
                <w:szCs w:val="19"/>
                <w:color w:val="auto"/>
              </w:rPr>
            </w:pPr>
          </w:p>
        </w:tc>
      </w:tr>
      <w:tr>
        <w:trPr>
          <w:trHeight w:val="21"/>
        </w:trPr>
        <w:tc>
          <w:tcPr>
            <w:tcW w:w="4960" w:type="dxa"/>
            <w:vAlign w:val="bottom"/>
          </w:tcPr>
          <w:p>
            <w:pPr>
              <w:spacing w:after="0" w:line="20" w:lineRule="exact"/>
              <w:rPr>
                <w:sz w:val="1"/>
                <w:szCs w:val="1"/>
                <w:color w:val="auto"/>
              </w:rPr>
            </w:pPr>
          </w:p>
        </w:tc>
        <w:tc>
          <w:tcPr>
            <w:tcW w:w="820" w:type="dxa"/>
            <w:vAlign w:val="bottom"/>
            <w:tcBorders>
              <w:bottom w:val="single" w:sz="8" w:color="7F7F7F"/>
            </w:tcBorders>
          </w:tcPr>
          <w:p>
            <w:pPr>
              <w:spacing w:after="0" w:line="20" w:lineRule="exact"/>
              <w:rPr>
                <w:sz w:val="1"/>
                <w:szCs w:val="1"/>
                <w:color w:val="auto"/>
              </w:rPr>
            </w:pPr>
          </w:p>
        </w:tc>
        <w:tc>
          <w:tcPr>
            <w:tcW w:w="1380" w:type="dxa"/>
            <w:vAlign w:val="bottom"/>
            <w:tcBorders>
              <w:bottom w:val="single" w:sz="8" w:color="7F7F7F"/>
            </w:tcBorders>
          </w:tcPr>
          <w:p>
            <w:pPr>
              <w:spacing w:after="0" w:line="20" w:lineRule="exact"/>
              <w:rPr>
                <w:sz w:val="1"/>
                <w:szCs w:val="1"/>
                <w:color w:val="auto"/>
              </w:rPr>
            </w:pPr>
          </w:p>
        </w:tc>
        <w:tc>
          <w:tcPr>
            <w:tcW w:w="640" w:type="dxa"/>
            <w:vAlign w:val="bottom"/>
            <w:tcBorders>
              <w:bottom w:val="single" w:sz="8" w:color="7F7F7F"/>
            </w:tcBorders>
          </w:tcPr>
          <w:p>
            <w:pPr>
              <w:spacing w:after="0" w:line="20" w:lineRule="exact"/>
              <w:rPr>
                <w:sz w:val="1"/>
                <w:szCs w:val="1"/>
                <w:color w:val="auto"/>
              </w:rPr>
            </w:pPr>
          </w:p>
        </w:tc>
        <w:tc>
          <w:tcPr>
            <w:tcW w:w="900" w:type="dxa"/>
            <w:vAlign w:val="bottom"/>
            <w:tcBorders>
              <w:bottom w:val="single" w:sz="8" w:color="7F7F7F"/>
            </w:tcBorders>
          </w:tcPr>
          <w:p>
            <w:pPr>
              <w:spacing w:after="0" w:line="20" w:lineRule="exact"/>
              <w:rPr>
                <w:sz w:val="1"/>
                <w:szCs w:val="1"/>
                <w:color w:val="auto"/>
              </w:rPr>
            </w:pPr>
          </w:p>
        </w:tc>
      </w:tr>
      <w:tr>
        <w:trPr>
          <w:trHeight w:val="255"/>
        </w:trPr>
        <w:tc>
          <w:tcPr>
            <w:tcW w:w="4960" w:type="dxa"/>
            <w:vAlign w:val="bottom"/>
          </w:tcPr>
          <w:p>
            <w:pPr>
              <w:spacing w:after="0"/>
              <w:rPr>
                <w:sz w:val="20"/>
                <w:szCs w:val="20"/>
                <w:color w:val="auto"/>
              </w:rPr>
            </w:pPr>
            <w:r>
              <w:rPr>
                <w:rFonts w:ascii="Arial" w:cs="Arial" w:eastAsia="Arial" w:hAnsi="Arial"/>
                <w:sz w:val="16"/>
                <w:szCs w:val="16"/>
                <w:b w:val="1"/>
                <w:bCs w:val="1"/>
                <w:color w:val="262626"/>
              </w:rPr>
              <w:t>Name</w:t>
            </w:r>
          </w:p>
        </w:tc>
        <w:tc>
          <w:tcPr>
            <w:tcW w:w="820" w:type="dxa"/>
            <w:vAlign w:val="bottom"/>
          </w:tcPr>
          <w:p>
            <w:pPr>
              <w:jc w:val="center"/>
              <w:ind w:left="79"/>
              <w:spacing w:after="0"/>
              <w:rPr>
                <w:sz w:val="20"/>
                <w:szCs w:val="20"/>
                <w:color w:val="auto"/>
              </w:rPr>
            </w:pPr>
            <w:r>
              <w:rPr>
                <w:rFonts w:ascii="Arial" w:cs="Arial" w:eastAsia="Arial" w:hAnsi="Arial"/>
                <w:sz w:val="16"/>
                <w:szCs w:val="16"/>
                <w:b w:val="1"/>
                <w:bCs w:val="1"/>
                <w:color w:val="262626"/>
              </w:rPr>
              <w:t>Audit</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62626"/>
              </w:rPr>
              <w:t>Compensation</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262626"/>
              </w:rPr>
              <w:t>NCG</w:t>
            </w:r>
          </w:p>
        </w:tc>
        <w:tc>
          <w:tcPr>
            <w:tcW w:w="900" w:type="dxa"/>
            <w:vAlign w:val="bottom"/>
          </w:tcPr>
          <w:p>
            <w:pPr>
              <w:jc w:val="center"/>
              <w:ind w:left="19"/>
              <w:spacing w:after="0"/>
              <w:rPr>
                <w:sz w:val="20"/>
                <w:szCs w:val="20"/>
                <w:color w:val="auto"/>
              </w:rPr>
            </w:pPr>
            <w:r>
              <w:rPr>
                <w:rFonts w:ascii="Arial" w:cs="Arial" w:eastAsia="Arial" w:hAnsi="Arial"/>
                <w:sz w:val="16"/>
                <w:szCs w:val="16"/>
                <w:b w:val="1"/>
                <w:bCs w:val="1"/>
                <w:color w:val="262626"/>
              </w:rPr>
              <w:t>Executive</w:t>
            </w:r>
          </w:p>
        </w:tc>
      </w:tr>
      <w:tr>
        <w:trPr>
          <w:trHeight w:val="21"/>
        </w:trPr>
        <w:tc>
          <w:tcPr>
            <w:tcW w:w="4960" w:type="dxa"/>
            <w:vAlign w:val="bottom"/>
            <w:tcBorders>
              <w:bottom w:val="single" w:sz="8" w:color="CF0A2C"/>
            </w:tcBorders>
          </w:tcPr>
          <w:p>
            <w:pPr>
              <w:spacing w:after="0" w:line="20" w:lineRule="exact"/>
              <w:rPr>
                <w:sz w:val="1"/>
                <w:szCs w:val="1"/>
                <w:color w:val="auto"/>
              </w:rPr>
            </w:pPr>
          </w:p>
        </w:tc>
        <w:tc>
          <w:tcPr>
            <w:tcW w:w="820" w:type="dxa"/>
            <w:vAlign w:val="bottom"/>
            <w:tcBorders>
              <w:bottom w:val="single" w:sz="8" w:color="CF0A2C"/>
            </w:tcBorders>
          </w:tcPr>
          <w:p>
            <w:pPr>
              <w:spacing w:after="0" w:line="20" w:lineRule="exact"/>
              <w:rPr>
                <w:sz w:val="1"/>
                <w:szCs w:val="1"/>
                <w:color w:val="auto"/>
              </w:rPr>
            </w:pPr>
          </w:p>
        </w:tc>
        <w:tc>
          <w:tcPr>
            <w:tcW w:w="1380" w:type="dxa"/>
            <w:vAlign w:val="bottom"/>
            <w:tcBorders>
              <w:bottom w:val="single" w:sz="8" w:color="CF0A2C"/>
            </w:tcBorders>
          </w:tcPr>
          <w:p>
            <w:pPr>
              <w:spacing w:after="0" w:line="20" w:lineRule="exact"/>
              <w:rPr>
                <w:sz w:val="1"/>
                <w:szCs w:val="1"/>
                <w:color w:val="auto"/>
              </w:rPr>
            </w:pPr>
          </w:p>
        </w:tc>
        <w:tc>
          <w:tcPr>
            <w:tcW w:w="640" w:type="dxa"/>
            <w:vAlign w:val="bottom"/>
            <w:tcBorders>
              <w:bottom w:val="single" w:sz="8" w:color="CF0A2C"/>
            </w:tcBorders>
          </w:tcPr>
          <w:p>
            <w:pPr>
              <w:spacing w:after="0" w:line="20" w:lineRule="exact"/>
              <w:rPr>
                <w:sz w:val="1"/>
                <w:szCs w:val="1"/>
                <w:color w:val="auto"/>
              </w:rPr>
            </w:pPr>
          </w:p>
        </w:tc>
        <w:tc>
          <w:tcPr>
            <w:tcW w:w="900" w:type="dxa"/>
            <w:vAlign w:val="bottom"/>
            <w:tcBorders>
              <w:bottom w:val="single" w:sz="8" w:color="CF0A2C"/>
            </w:tcBorders>
          </w:tcPr>
          <w:p>
            <w:pPr>
              <w:spacing w:after="0" w:line="20" w:lineRule="exact"/>
              <w:rPr>
                <w:sz w:val="1"/>
                <w:szCs w:val="1"/>
                <w:color w:val="auto"/>
              </w:rPr>
            </w:pPr>
          </w:p>
        </w:tc>
      </w:tr>
      <w:tr>
        <w:trPr>
          <w:trHeight w:val="260"/>
        </w:trPr>
        <w:tc>
          <w:tcPr>
            <w:tcW w:w="4960" w:type="dxa"/>
            <w:vAlign w:val="bottom"/>
          </w:tcPr>
          <w:p>
            <w:pPr>
              <w:spacing w:after="0"/>
              <w:rPr>
                <w:sz w:val="20"/>
                <w:szCs w:val="20"/>
                <w:color w:val="auto"/>
              </w:rPr>
            </w:pPr>
            <w:r>
              <w:rPr>
                <w:rFonts w:ascii="Arial" w:cs="Arial" w:eastAsia="Arial" w:hAnsi="Arial"/>
                <w:sz w:val="16"/>
                <w:szCs w:val="16"/>
                <w:color w:val="262626"/>
              </w:rPr>
              <w:t>Diane M. Bryant</w:t>
            </w:r>
          </w:p>
        </w:tc>
        <w:tc>
          <w:tcPr>
            <w:tcW w:w="8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Wingdings" w:cs="Wingdings" w:eastAsia="Wingdings" w:hAnsi="Wingdings"/>
                <w:sz w:val="16"/>
                <w:szCs w:val="16"/>
                <w:b w:val="1"/>
                <w:bCs w:val="1"/>
                <w:color w:val="CF0A2C"/>
                <w:w w:val="99"/>
              </w:rPr>
              <w:t>t</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9"/>
        </w:trPr>
        <w:tc>
          <w:tcPr>
            <w:tcW w:w="4960" w:type="dxa"/>
            <w:vAlign w:val="bottom"/>
            <w:tcBorders>
              <w:bottom w:val="single" w:sz="8" w:color="CF0A2C"/>
            </w:tcBorders>
          </w:tcPr>
          <w:p>
            <w:pPr>
              <w:spacing w:after="0"/>
              <w:rPr>
                <w:sz w:val="2"/>
                <w:szCs w:val="2"/>
                <w:color w:val="auto"/>
              </w:rPr>
            </w:pPr>
          </w:p>
        </w:tc>
        <w:tc>
          <w:tcPr>
            <w:tcW w:w="820" w:type="dxa"/>
            <w:vAlign w:val="bottom"/>
            <w:tcBorders>
              <w:bottom w:val="single" w:sz="8" w:color="CF0A2C"/>
            </w:tcBorders>
          </w:tcPr>
          <w:p>
            <w:pPr>
              <w:spacing w:after="0"/>
              <w:rPr>
                <w:sz w:val="2"/>
                <w:szCs w:val="2"/>
                <w:color w:val="auto"/>
              </w:rPr>
            </w:pPr>
          </w:p>
        </w:tc>
        <w:tc>
          <w:tcPr>
            <w:tcW w:w="1380" w:type="dxa"/>
            <w:vAlign w:val="bottom"/>
            <w:tcBorders>
              <w:bottom w:val="single" w:sz="8" w:color="CF0A2C"/>
            </w:tcBorders>
          </w:tcPr>
          <w:p>
            <w:pPr>
              <w:spacing w:after="0"/>
              <w:rPr>
                <w:sz w:val="2"/>
                <w:szCs w:val="2"/>
                <w:color w:val="auto"/>
              </w:rPr>
            </w:pPr>
          </w:p>
        </w:tc>
        <w:tc>
          <w:tcPr>
            <w:tcW w:w="640" w:type="dxa"/>
            <w:vAlign w:val="bottom"/>
            <w:tcBorders>
              <w:bottom w:val="single" w:sz="8" w:color="CF0A2C"/>
            </w:tcBorders>
          </w:tcPr>
          <w:p>
            <w:pPr>
              <w:spacing w:after="0"/>
              <w:rPr>
                <w:sz w:val="2"/>
                <w:szCs w:val="2"/>
                <w:color w:val="auto"/>
              </w:rPr>
            </w:pPr>
          </w:p>
        </w:tc>
        <w:tc>
          <w:tcPr>
            <w:tcW w:w="900" w:type="dxa"/>
            <w:vAlign w:val="bottom"/>
            <w:tcBorders>
              <w:bottom w:val="single" w:sz="8" w:color="CF0A2C"/>
            </w:tcBorders>
          </w:tcPr>
          <w:p>
            <w:pPr>
              <w:spacing w:after="0"/>
              <w:rPr>
                <w:sz w:val="2"/>
                <w:szCs w:val="2"/>
                <w:color w:val="auto"/>
              </w:rPr>
            </w:pPr>
          </w:p>
        </w:tc>
      </w:tr>
      <w:tr>
        <w:trPr>
          <w:trHeight w:val="285"/>
        </w:trPr>
        <w:tc>
          <w:tcPr>
            <w:tcW w:w="4960" w:type="dxa"/>
            <w:vAlign w:val="bottom"/>
            <w:tcBorders>
              <w:bottom w:val="single" w:sz="8" w:color="CF0A2C"/>
            </w:tcBorders>
          </w:tcPr>
          <w:p>
            <w:pPr>
              <w:spacing w:after="0"/>
              <w:rPr>
                <w:sz w:val="20"/>
                <w:szCs w:val="20"/>
                <w:color w:val="auto"/>
              </w:rPr>
            </w:pPr>
            <w:r>
              <w:rPr>
                <w:rFonts w:ascii="Arial" w:cs="Arial" w:eastAsia="Arial" w:hAnsi="Arial"/>
                <w:sz w:val="16"/>
                <w:szCs w:val="16"/>
                <w:color w:val="262626"/>
              </w:rPr>
              <w:t>Gayla J. Delly</w:t>
            </w:r>
          </w:p>
        </w:tc>
        <w:tc>
          <w:tcPr>
            <w:tcW w:w="820" w:type="dxa"/>
            <w:vAlign w:val="bottom"/>
            <w:tcBorders>
              <w:bottom w:val="single" w:sz="8" w:color="CF0A2C"/>
            </w:tcBorders>
          </w:tcPr>
          <w:p>
            <w:pPr>
              <w:jc w:val="center"/>
              <w:ind w:left="79"/>
              <w:spacing w:after="0" w:line="161" w:lineRule="exact"/>
              <w:rPr>
                <w:sz w:val="20"/>
                <w:szCs w:val="20"/>
                <w:color w:val="auto"/>
              </w:rPr>
            </w:pPr>
            <w:r>
              <w:rPr>
                <w:rFonts w:ascii="MS PGothic" w:cs="MS PGothic" w:eastAsia="MS PGothic" w:hAnsi="MS PGothic"/>
                <w:sz w:val="16"/>
                <w:szCs w:val="16"/>
                <w:color w:val="CF0A2C"/>
                <w:w w:val="87"/>
              </w:rPr>
              <w:t>❖</w:t>
            </w:r>
          </w:p>
        </w:tc>
        <w:tc>
          <w:tcPr>
            <w:tcW w:w="1380" w:type="dxa"/>
            <w:vAlign w:val="bottom"/>
            <w:tcBorders>
              <w:bottom w:val="single" w:sz="8" w:color="CF0A2C"/>
            </w:tcBorders>
          </w:tcPr>
          <w:p>
            <w:pPr>
              <w:spacing w:after="0"/>
              <w:rPr>
                <w:sz w:val="24"/>
                <w:szCs w:val="24"/>
                <w:color w:val="auto"/>
              </w:rPr>
            </w:pPr>
          </w:p>
        </w:tc>
        <w:tc>
          <w:tcPr>
            <w:tcW w:w="640" w:type="dxa"/>
            <w:vAlign w:val="bottom"/>
            <w:tcBorders>
              <w:bottom w:val="single" w:sz="8" w:color="CF0A2C"/>
            </w:tcBorders>
          </w:tcPr>
          <w:p>
            <w:pPr>
              <w:jc w:val="center"/>
              <w:spacing w:after="0"/>
              <w:rPr>
                <w:sz w:val="20"/>
                <w:szCs w:val="20"/>
                <w:color w:val="auto"/>
              </w:rPr>
            </w:pPr>
            <w:r>
              <w:rPr>
                <w:rFonts w:ascii="Wingdings" w:cs="Wingdings" w:eastAsia="Wingdings" w:hAnsi="Wingdings"/>
                <w:sz w:val="16"/>
                <w:szCs w:val="16"/>
                <w:b w:val="1"/>
                <w:bCs w:val="1"/>
                <w:color w:val="CF0A2C"/>
                <w:w w:val="99"/>
              </w:rPr>
              <w:t>t</w:t>
            </w:r>
          </w:p>
        </w:tc>
        <w:tc>
          <w:tcPr>
            <w:tcW w:w="900" w:type="dxa"/>
            <w:vAlign w:val="bottom"/>
            <w:tcBorders>
              <w:bottom w:val="single" w:sz="8" w:color="CF0A2C"/>
            </w:tcBorders>
          </w:tcPr>
          <w:p>
            <w:pPr>
              <w:jc w:val="center"/>
              <w:ind w:left="19"/>
              <w:spacing w:after="0"/>
              <w:rPr>
                <w:sz w:val="20"/>
                <w:szCs w:val="20"/>
                <w:color w:val="auto"/>
              </w:rPr>
            </w:pPr>
            <w:r>
              <w:rPr>
                <w:rFonts w:ascii="Wingdings" w:cs="Wingdings" w:eastAsia="Wingdings" w:hAnsi="Wingdings"/>
                <w:sz w:val="16"/>
                <w:szCs w:val="16"/>
                <w:b w:val="1"/>
                <w:bCs w:val="1"/>
                <w:color w:val="CF0A2C"/>
                <w:w w:val="99"/>
              </w:rPr>
              <w:t>t</w:t>
            </w:r>
          </w:p>
        </w:tc>
      </w:tr>
      <w:tr>
        <w:trPr>
          <w:trHeight w:val="292"/>
        </w:trPr>
        <w:tc>
          <w:tcPr>
            <w:tcW w:w="4960" w:type="dxa"/>
            <w:vAlign w:val="bottom"/>
            <w:tcBorders>
              <w:bottom w:val="single" w:sz="8" w:color="CF0A2C"/>
            </w:tcBorders>
          </w:tcPr>
          <w:p>
            <w:pPr>
              <w:spacing w:after="0"/>
              <w:rPr>
                <w:sz w:val="20"/>
                <w:szCs w:val="20"/>
                <w:color w:val="auto"/>
              </w:rPr>
            </w:pPr>
            <w:r>
              <w:rPr>
                <w:rFonts w:ascii="Arial" w:cs="Arial" w:eastAsia="Arial" w:hAnsi="Arial"/>
                <w:sz w:val="16"/>
                <w:szCs w:val="16"/>
                <w:color w:val="262626"/>
              </w:rPr>
              <w:t>Kenneth Y. Hao</w:t>
            </w:r>
            <w:r>
              <w:rPr>
                <w:rFonts w:ascii="Arial" w:cs="Arial" w:eastAsia="Arial" w:hAnsi="Arial"/>
                <w:sz w:val="24"/>
                <w:szCs w:val="24"/>
                <w:color w:val="262626"/>
                <w:vertAlign w:val="superscript"/>
              </w:rPr>
              <w:t>(1)</w:t>
            </w:r>
          </w:p>
        </w:tc>
        <w:tc>
          <w:tcPr>
            <w:tcW w:w="820" w:type="dxa"/>
            <w:vAlign w:val="bottom"/>
            <w:tcBorders>
              <w:bottom w:val="single" w:sz="8" w:color="CF0A2C"/>
            </w:tcBorders>
          </w:tcPr>
          <w:p>
            <w:pPr>
              <w:spacing w:after="0"/>
              <w:rPr>
                <w:sz w:val="24"/>
                <w:szCs w:val="24"/>
                <w:color w:val="auto"/>
              </w:rPr>
            </w:pPr>
          </w:p>
        </w:tc>
        <w:tc>
          <w:tcPr>
            <w:tcW w:w="1380" w:type="dxa"/>
            <w:vAlign w:val="bottom"/>
            <w:tcBorders>
              <w:bottom w:val="single" w:sz="8" w:color="CF0A2C"/>
            </w:tcBorders>
          </w:tcPr>
          <w:p>
            <w:pPr>
              <w:spacing w:after="0"/>
              <w:rPr>
                <w:sz w:val="24"/>
                <w:szCs w:val="24"/>
                <w:color w:val="auto"/>
              </w:rPr>
            </w:pPr>
          </w:p>
        </w:tc>
        <w:tc>
          <w:tcPr>
            <w:tcW w:w="640" w:type="dxa"/>
            <w:vAlign w:val="bottom"/>
            <w:tcBorders>
              <w:bottom w:val="single" w:sz="8" w:color="CF0A2C"/>
            </w:tcBorders>
          </w:tcPr>
          <w:p>
            <w:pPr>
              <w:spacing w:after="0"/>
              <w:rPr>
                <w:sz w:val="24"/>
                <w:szCs w:val="24"/>
                <w:color w:val="auto"/>
              </w:rPr>
            </w:pPr>
          </w:p>
        </w:tc>
        <w:tc>
          <w:tcPr>
            <w:tcW w:w="900" w:type="dxa"/>
            <w:vAlign w:val="bottom"/>
            <w:tcBorders>
              <w:bottom w:val="single" w:sz="8" w:color="CF0A2C"/>
            </w:tcBorders>
          </w:tcPr>
          <w:p>
            <w:pPr>
              <w:spacing w:after="0"/>
              <w:rPr>
                <w:sz w:val="24"/>
                <w:szCs w:val="24"/>
                <w:color w:val="auto"/>
              </w:rPr>
            </w:pPr>
          </w:p>
        </w:tc>
      </w:tr>
      <w:tr>
        <w:trPr>
          <w:trHeight w:val="285"/>
        </w:trPr>
        <w:tc>
          <w:tcPr>
            <w:tcW w:w="4960" w:type="dxa"/>
            <w:vAlign w:val="bottom"/>
            <w:tcBorders>
              <w:bottom w:val="single" w:sz="8" w:color="CF0A2C"/>
            </w:tcBorders>
          </w:tcPr>
          <w:p>
            <w:pPr>
              <w:spacing w:after="0"/>
              <w:rPr>
                <w:sz w:val="20"/>
                <w:szCs w:val="20"/>
                <w:color w:val="auto"/>
              </w:rPr>
            </w:pPr>
            <w:r>
              <w:rPr>
                <w:rFonts w:ascii="Arial" w:cs="Arial" w:eastAsia="Arial" w:hAnsi="Arial"/>
                <w:sz w:val="16"/>
                <w:szCs w:val="16"/>
                <w:color w:val="262626"/>
              </w:rPr>
              <w:t>Eddy W. Hartenstein (Lead Independent Director)</w:t>
            </w:r>
          </w:p>
        </w:tc>
        <w:tc>
          <w:tcPr>
            <w:tcW w:w="820" w:type="dxa"/>
            <w:vAlign w:val="bottom"/>
            <w:tcBorders>
              <w:bottom w:val="single" w:sz="8" w:color="CF0A2C"/>
            </w:tcBorders>
          </w:tcPr>
          <w:p>
            <w:pPr>
              <w:spacing w:after="0"/>
              <w:rPr>
                <w:sz w:val="24"/>
                <w:szCs w:val="24"/>
                <w:color w:val="auto"/>
              </w:rPr>
            </w:pPr>
          </w:p>
        </w:tc>
        <w:tc>
          <w:tcPr>
            <w:tcW w:w="1380" w:type="dxa"/>
            <w:vAlign w:val="bottom"/>
            <w:tcBorders>
              <w:bottom w:val="single" w:sz="8" w:color="CF0A2C"/>
            </w:tcBorders>
          </w:tcPr>
          <w:p>
            <w:pPr>
              <w:jc w:val="center"/>
              <w:spacing w:after="0"/>
              <w:rPr>
                <w:sz w:val="20"/>
                <w:szCs w:val="20"/>
                <w:color w:val="auto"/>
              </w:rPr>
            </w:pPr>
            <w:r>
              <w:rPr>
                <w:rFonts w:ascii="Wingdings" w:cs="Wingdings" w:eastAsia="Wingdings" w:hAnsi="Wingdings"/>
                <w:sz w:val="16"/>
                <w:szCs w:val="16"/>
                <w:b w:val="1"/>
                <w:bCs w:val="1"/>
                <w:color w:val="CF0A2C"/>
                <w:w w:val="99"/>
              </w:rPr>
              <w:t>t</w:t>
            </w:r>
          </w:p>
        </w:tc>
        <w:tc>
          <w:tcPr>
            <w:tcW w:w="640" w:type="dxa"/>
            <w:vAlign w:val="bottom"/>
            <w:tcBorders>
              <w:bottom w:val="single" w:sz="8" w:color="CF0A2C"/>
            </w:tcBorders>
          </w:tcPr>
          <w:p>
            <w:pPr>
              <w:jc w:val="center"/>
              <w:spacing w:after="0" w:line="161" w:lineRule="exact"/>
              <w:rPr>
                <w:sz w:val="20"/>
                <w:szCs w:val="20"/>
                <w:color w:val="auto"/>
              </w:rPr>
            </w:pPr>
            <w:r>
              <w:rPr>
                <w:rFonts w:ascii="MS PGothic" w:cs="MS PGothic" w:eastAsia="MS PGothic" w:hAnsi="MS PGothic"/>
                <w:sz w:val="16"/>
                <w:szCs w:val="16"/>
                <w:color w:val="CF0A2C"/>
                <w:w w:val="87"/>
              </w:rPr>
              <w:t>❖</w:t>
            </w:r>
          </w:p>
        </w:tc>
        <w:tc>
          <w:tcPr>
            <w:tcW w:w="900" w:type="dxa"/>
            <w:vAlign w:val="bottom"/>
            <w:tcBorders>
              <w:bottom w:val="single" w:sz="8" w:color="CF0A2C"/>
            </w:tcBorders>
          </w:tcPr>
          <w:p>
            <w:pPr>
              <w:jc w:val="center"/>
              <w:ind w:left="19"/>
              <w:spacing w:after="0"/>
              <w:rPr>
                <w:sz w:val="20"/>
                <w:szCs w:val="20"/>
                <w:color w:val="auto"/>
              </w:rPr>
            </w:pPr>
            <w:r>
              <w:rPr>
                <w:rFonts w:ascii="Wingdings" w:cs="Wingdings" w:eastAsia="Wingdings" w:hAnsi="Wingdings"/>
                <w:sz w:val="16"/>
                <w:szCs w:val="16"/>
                <w:b w:val="1"/>
                <w:bCs w:val="1"/>
                <w:color w:val="CF0A2C"/>
                <w:w w:val="99"/>
              </w:rPr>
              <w:t>t</w:t>
            </w:r>
          </w:p>
        </w:tc>
      </w:tr>
      <w:tr>
        <w:trPr>
          <w:trHeight w:val="263"/>
        </w:trPr>
        <w:tc>
          <w:tcPr>
            <w:tcW w:w="4960" w:type="dxa"/>
            <w:vAlign w:val="bottom"/>
          </w:tcPr>
          <w:p>
            <w:pPr>
              <w:spacing w:after="0"/>
              <w:rPr>
                <w:sz w:val="20"/>
                <w:szCs w:val="20"/>
                <w:color w:val="auto"/>
              </w:rPr>
            </w:pPr>
            <w:r>
              <w:rPr>
                <w:rFonts w:ascii="Arial" w:cs="Arial" w:eastAsia="Arial" w:hAnsi="Arial"/>
                <w:sz w:val="16"/>
                <w:szCs w:val="16"/>
                <w:color w:val="262626"/>
              </w:rPr>
              <w:t>Check Kian Low</w:t>
            </w:r>
          </w:p>
        </w:tc>
        <w:tc>
          <w:tcPr>
            <w:tcW w:w="8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Wingdings" w:cs="Wingdings" w:eastAsia="Wingdings" w:hAnsi="Wingdings"/>
                <w:sz w:val="16"/>
                <w:szCs w:val="16"/>
                <w:b w:val="1"/>
                <w:bCs w:val="1"/>
                <w:color w:val="CF0A2C"/>
                <w:w w:val="99"/>
              </w:rPr>
              <w:t>t</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CF0A2C"/>
                <w:w w:val="99"/>
              </w:rPr>
              <w:t>t</w:t>
            </w:r>
          </w:p>
        </w:tc>
        <w:tc>
          <w:tcPr>
            <w:tcW w:w="900" w:type="dxa"/>
            <w:vAlign w:val="bottom"/>
          </w:tcPr>
          <w:p>
            <w:pPr>
              <w:spacing w:after="0"/>
              <w:rPr>
                <w:sz w:val="22"/>
                <w:szCs w:val="22"/>
                <w:color w:val="auto"/>
              </w:rPr>
            </w:pPr>
          </w:p>
        </w:tc>
      </w:tr>
      <w:tr>
        <w:trPr>
          <w:trHeight w:val="29"/>
        </w:trPr>
        <w:tc>
          <w:tcPr>
            <w:tcW w:w="4960" w:type="dxa"/>
            <w:vAlign w:val="bottom"/>
            <w:tcBorders>
              <w:bottom w:val="single" w:sz="8" w:color="CF0A2C"/>
            </w:tcBorders>
          </w:tcPr>
          <w:p>
            <w:pPr>
              <w:spacing w:after="0"/>
              <w:rPr>
                <w:sz w:val="2"/>
                <w:szCs w:val="2"/>
                <w:color w:val="auto"/>
              </w:rPr>
            </w:pPr>
          </w:p>
        </w:tc>
        <w:tc>
          <w:tcPr>
            <w:tcW w:w="820" w:type="dxa"/>
            <w:vAlign w:val="bottom"/>
            <w:tcBorders>
              <w:bottom w:val="single" w:sz="8" w:color="CF0A2C"/>
            </w:tcBorders>
          </w:tcPr>
          <w:p>
            <w:pPr>
              <w:spacing w:after="0"/>
              <w:rPr>
                <w:sz w:val="2"/>
                <w:szCs w:val="2"/>
                <w:color w:val="auto"/>
              </w:rPr>
            </w:pPr>
          </w:p>
        </w:tc>
        <w:tc>
          <w:tcPr>
            <w:tcW w:w="1380" w:type="dxa"/>
            <w:vAlign w:val="bottom"/>
            <w:tcBorders>
              <w:bottom w:val="single" w:sz="8" w:color="CF0A2C"/>
            </w:tcBorders>
          </w:tcPr>
          <w:p>
            <w:pPr>
              <w:spacing w:after="0"/>
              <w:rPr>
                <w:sz w:val="2"/>
                <w:szCs w:val="2"/>
                <w:color w:val="auto"/>
              </w:rPr>
            </w:pPr>
          </w:p>
        </w:tc>
        <w:tc>
          <w:tcPr>
            <w:tcW w:w="640" w:type="dxa"/>
            <w:vAlign w:val="bottom"/>
            <w:tcBorders>
              <w:bottom w:val="single" w:sz="8" w:color="CF0A2C"/>
            </w:tcBorders>
          </w:tcPr>
          <w:p>
            <w:pPr>
              <w:spacing w:after="0"/>
              <w:rPr>
                <w:sz w:val="2"/>
                <w:szCs w:val="2"/>
                <w:color w:val="auto"/>
              </w:rPr>
            </w:pPr>
          </w:p>
        </w:tc>
        <w:tc>
          <w:tcPr>
            <w:tcW w:w="900" w:type="dxa"/>
            <w:vAlign w:val="bottom"/>
            <w:tcBorders>
              <w:bottom w:val="single" w:sz="8" w:color="CF0A2C"/>
            </w:tcBorders>
          </w:tcPr>
          <w:p>
            <w:pPr>
              <w:spacing w:after="0"/>
              <w:rPr>
                <w:sz w:val="2"/>
                <w:szCs w:val="2"/>
                <w:color w:val="auto"/>
              </w:rPr>
            </w:pPr>
          </w:p>
        </w:tc>
      </w:tr>
      <w:tr>
        <w:trPr>
          <w:trHeight w:val="260"/>
        </w:trPr>
        <w:tc>
          <w:tcPr>
            <w:tcW w:w="4960" w:type="dxa"/>
            <w:vAlign w:val="bottom"/>
          </w:tcPr>
          <w:p>
            <w:pPr>
              <w:spacing w:after="0"/>
              <w:rPr>
                <w:sz w:val="20"/>
                <w:szCs w:val="20"/>
                <w:color w:val="auto"/>
              </w:rPr>
            </w:pPr>
            <w:r>
              <w:rPr>
                <w:rFonts w:ascii="Arial" w:cs="Arial" w:eastAsia="Arial" w:hAnsi="Arial"/>
                <w:sz w:val="16"/>
                <w:szCs w:val="16"/>
                <w:color w:val="262626"/>
              </w:rPr>
              <w:t>Justine F. Page</w:t>
            </w:r>
          </w:p>
        </w:tc>
        <w:tc>
          <w:tcPr>
            <w:tcW w:w="820" w:type="dxa"/>
            <w:vAlign w:val="bottom"/>
          </w:tcPr>
          <w:p>
            <w:pPr>
              <w:jc w:val="center"/>
              <w:ind w:left="59"/>
              <w:spacing w:after="0"/>
              <w:rPr>
                <w:sz w:val="20"/>
                <w:szCs w:val="20"/>
                <w:color w:val="auto"/>
              </w:rPr>
            </w:pPr>
            <w:r>
              <w:rPr>
                <w:rFonts w:ascii="Wingdings" w:cs="Wingdings" w:eastAsia="Wingdings" w:hAnsi="Wingdings"/>
                <w:sz w:val="16"/>
                <w:szCs w:val="16"/>
                <w:b w:val="1"/>
                <w:bCs w:val="1"/>
                <w:color w:val="CF0A2C"/>
                <w:w w:val="99"/>
              </w:rPr>
              <w:t>t</w:t>
            </w:r>
          </w:p>
        </w:tc>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9"/>
        </w:trPr>
        <w:tc>
          <w:tcPr>
            <w:tcW w:w="4960" w:type="dxa"/>
            <w:vAlign w:val="bottom"/>
            <w:tcBorders>
              <w:bottom w:val="single" w:sz="8" w:color="CF0A2C"/>
            </w:tcBorders>
          </w:tcPr>
          <w:p>
            <w:pPr>
              <w:spacing w:after="0"/>
              <w:rPr>
                <w:sz w:val="2"/>
                <w:szCs w:val="2"/>
                <w:color w:val="auto"/>
              </w:rPr>
            </w:pPr>
          </w:p>
        </w:tc>
        <w:tc>
          <w:tcPr>
            <w:tcW w:w="820" w:type="dxa"/>
            <w:vAlign w:val="bottom"/>
            <w:tcBorders>
              <w:bottom w:val="single" w:sz="8" w:color="CF0A2C"/>
            </w:tcBorders>
          </w:tcPr>
          <w:p>
            <w:pPr>
              <w:spacing w:after="0"/>
              <w:rPr>
                <w:sz w:val="2"/>
                <w:szCs w:val="2"/>
                <w:color w:val="auto"/>
              </w:rPr>
            </w:pPr>
          </w:p>
        </w:tc>
        <w:tc>
          <w:tcPr>
            <w:tcW w:w="1380" w:type="dxa"/>
            <w:vAlign w:val="bottom"/>
            <w:tcBorders>
              <w:bottom w:val="single" w:sz="8" w:color="CF0A2C"/>
            </w:tcBorders>
          </w:tcPr>
          <w:p>
            <w:pPr>
              <w:spacing w:after="0"/>
              <w:rPr>
                <w:sz w:val="2"/>
                <w:szCs w:val="2"/>
                <w:color w:val="auto"/>
              </w:rPr>
            </w:pPr>
          </w:p>
        </w:tc>
        <w:tc>
          <w:tcPr>
            <w:tcW w:w="640" w:type="dxa"/>
            <w:vAlign w:val="bottom"/>
            <w:tcBorders>
              <w:bottom w:val="single" w:sz="8" w:color="CF0A2C"/>
            </w:tcBorders>
          </w:tcPr>
          <w:p>
            <w:pPr>
              <w:spacing w:after="0"/>
              <w:rPr>
                <w:sz w:val="2"/>
                <w:szCs w:val="2"/>
                <w:color w:val="auto"/>
              </w:rPr>
            </w:pPr>
          </w:p>
        </w:tc>
        <w:tc>
          <w:tcPr>
            <w:tcW w:w="900" w:type="dxa"/>
            <w:vAlign w:val="bottom"/>
            <w:tcBorders>
              <w:bottom w:val="single" w:sz="8" w:color="CF0A2C"/>
            </w:tcBorders>
          </w:tcPr>
          <w:p>
            <w:pPr>
              <w:spacing w:after="0"/>
              <w:rPr>
                <w:sz w:val="2"/>
                <w:szCs w:val="2"/>
                <w:color w:val="auto"/>
              </w:rPr>
            </w:pPr>
          </w:p>
        </w:tc>
      </w:tr>
      <w:tr>
        <w:trPr>
          <w:trHeight w:val="285"/>
        </w:trPr>
        <w:tc>
          <w:tcPr>
            <w:tcW w:w="4960" w:type="dxa"/>
            <w:vAlign w:val="bottom"/>
            <w:tcBorders>
              <w:bottom w:val="single" w:sz="8" w:color="CF0A2C"/>
            </w:tcBorders>
          </w:tcPr>
          <w:p>
            <w:pPr>
              <w:spacing w:after="0"/>
              <w:rPr>
                <w:sz w:val="20"/>
                <w:szCs w:val="20"/>
                <w:color w:val="auto"/>
              </w:rPr>
            </w:pPr>
            <w:r>
              <w:rPr>
                <w:rFonts w:ascii="Arial" w:cs="Arial" w:eastAsia="Arial" w:hAnsi="Arial"/>
                <w:sz w:val="16"/>
                <w:szCs w:val="16"/>
                <w:color w:val="262626"/>
              </w:rPr>
              <w:t>Henry Samueli, Ph.D. (Chairman of the Board)</w:t>
            </w:r>
          </w:p>
        </w:tc>
        <w:tc>
          <w:tcPr>
            <w:tcW w:w="820" w:type="dxa"/>
            <w:vAlign w:val="bottom"/>
            <w:tcBorders>
              <w:bottom w:val="single" w:sz="8" w:color="CF0A2C"/>
            </w:tcBorders>
          </w:tcPr>
          <w:p>
            <w:pPr>
              <w:spacing w:after="0"/>
              <w:rPr>
                <w:sz w:val="24"/>
                <w:szCs w:val="24"/>
                <w:color w:val="auto"/>
              </w:rPr>
            </w:pPr>
          </w:p>
        </w:tc>
        <w:tc>
          <w:tcPr>
            <w:tcW w:w="1380" w:type="dxa"/>
            <w:vAlign w:val="bottom"/>
            <w:tcBorders>
              <w:bottom w:val="single" w:sz="8" w:color="CF0A2C"/>
            </w:tcBorders>
          </w:tcPr>
          <w:p>
            <w:pPr>
              <w:spacing w:after="0"/>
              <w:rPr>
                <w:sz w:val="24"/>
                <w:szCs w:val="24"/>
                <w:color w:val="auto"/>
              </w:rPr>
            </w:pPr>
          </w:p>
        </w:tc>
        <w:tc>
          <w:tcPr>
            <w:tcW w:w="640" w:type="dxa"/>
            <w:vAlign w:val="bottom"/>
            <w:tcBorders>
              <w:bottom w:val="single" w:sz="8" w:color="CF0A2C"/>
            </w:tcBorders>
          </w:tcPr>
          <w:p>
            <w:pPr>
              <w:spacing w:after="0"/>
              <w:rPr>
                <w:sz w:val="24"/>
                <w:szCs w:val="24"/>
                <w:color w:val="auto"/>
              </w:rPr>
            </w:pPr>
          </w:p>
        </w:tc>
        <w:tc>
          <w:tcPr>
            <w:tcW w:w="900" w:type="dxa"/>
            <w:vAlign w:val="bottom"/>
            <w:tcBorders>
              <w:bottom w:val="single" w:sz="8" w:color="CF0A2C"/>
            </w:tcBorders>
          </w:tcPr>
          <w:p>
            <w:pPr>
              <w:jc w:val="center"/>
              <w:ind w:left="19"/>
              <w:spacing w:after="0" w:line="161" w:lineRule="exact"/>
              <w:rPr>
                <w:sz w:val="20"/>
                <w:szCs w:val="20"/>
                <w:color w:val="auto"/>
              </w:rPr>
            </w:pPr>
            <w:r>
              <w:rPr>
                <w:rFonts w:ascii="MS PGothic" w:cs="MS PGothic" w:eastAsia="MS PGothic" w:hAnsi="MS PGothic"/>
                <w:sz w:val="16"/>
                <w:szCs w:val="16"/>
                <w:color w:val="CF0A2C"/>
                <w:w w:val="99"/>
              </w:rPr>
              <w:t>❖</w:t>
            </w:r>
          </w:p>
        </w:tc>
      </w:tr>
      <w:tr>
        <w:trPr>
          <w:trHeight w:val="263"/>
        </w:trPr>
        <w:tc>
          <w:tcPr>
            <w:tcW w:w="4960" w:type="dxa"/>
            <w:vAlign w:val="bottom"/>
          </w:tcPr>
          <w:p>
            <w:pPr>
              <w:spacing w:after="0"/>
              <w:rPr>
                <w:sz w:val="20"/>
                <w:szCs w:val="20"/>
                <w:color w:val="auto"/>
              </w:rPr>
            </w:pPr>
            <w:r>
              <w:rPr>
                <w:rFonts w:ascii="Arial" w:cs="Arial" w:eastAsia="Arial" w:hAnsi="Arial"/>
                <w:sz w:val="16"/>
                <w:szCs w:val="16"/>
                <w:color w:val="262626"/>
              </w:rPr>
              <w:t>Hock E. Tan (President &amp; CEO)</w:t>
            </w:r>
          </w:p>
        </w:tc>
        <w:tc>
          <w:tcPr>
            <w:tcW w:w="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jc w:val="center"/>
              <w:ind w:left="19"/>
              <w:spacing w:after="0"/>
              <w:rPr>
                <w:sz w:val="20"/>
                <w:szCs w:val="20"/>
                <w:color w:val="auto"/>
              </w:rPr>
            </w:pPr>
            <w:r>
              <w:rPr>
                <w:rFonts w:ascii="Wingdings" w:cs="Wingdings" w:eastAsia="Wingdings" w:hAnsi="Wingdings"/>
                <w:sz w:val="16"/>
                <w:szCs w:val="16"/>
                <w:b w:val="1"/>
                <w:bCs w:val="1"/>
                <w:color w:val="CF0A2C"/>
                <w:w w:val="99"/>
              </w:rPr>
              <w:t>t</w:t>
            </w:r>
          </w:p>
        </w:tc>
      </w:tr>
      <w:tr>
        <w:trPr>
          <w:trHeight w:val="29"/>
        </w:trPr>
        <w:tc>
          <w:tcPr>
            <w:tcW w:w="4960" w:type="dxa"/>
            <w:vAlign w:val="bottom"/>
            <w:tcBorders>
              <w:bottom w:val="single" w:sz="8" w:color="CF0A2C"/>
            </w:tcBorders>
          </w:tcPr>
          <w:p>
            <w:pPr>
              <w:spacing w:after="0"/>
              <w:rPr>
                <w:sz w:val="2"/>
                <w:szCs w:val="2"/>
                <w:color w:val="auto"/>
              </w:rPr>
            </w:pPr>
          </w:p>
        </w:tc>
        <w:tc>
          <w:tcPr>
            <w:tcW w:w="820" w:type="dxa"/>
            <w:vAlign w:val="bottom"/>
            <w:tcBorders>
              <w:bottom w:val="single" w:sz="8" w:color="CF0A2C"/>
            </w:tcBorders>
          </w:tcPr>
          <w:p>
            <w:pPr>
              <w:spacing w:after="0"/>
              <w:rPr>
                <w:sz w:val="2"/>
                <w:szCs w:val="2"/>
                <w:color w:val="auto"/>
              </w:rPr>
            </w:pPr>
          </w:p>
        </w:tc>
        <w:tc>
          <w:tcPr>
            <w:tcW w:w="1380" w:type="dxa"/>
            <w:vAlign w:val="bottom"/>
            <w:tcBorders>
              <w:bottom w:val="single" w:sz="8" w:color="CF0A2C"/>
            </w:tcBorders>
          </w:tcPr>
          <w:p>
            <w:pPr>
              <w:spacing w:after="0"/>
              <w:rPr>
                <w:sz w:val="2"/>
                <w:szCs w:val="2"/>
                <w:color w:val="auto"/>
              </w:rPr>
            </w:pPr>
          </w:p>
        </w:tc>
        <w:tc>
          <w:tcPr>
            <w:tcW w:w="640" w:type="dxa"/>
            <w:vAlign w:val="bottom"/>
            <w:tcBorders>
              <w:bottom w:val="single" w:sz="8" w:color="CF0A2C"/>
            </w:tcBorders>
          </w:tcPr>
          <w:p>
            <w:pPr>
              <w:spacing w:after="0"/>
              <w:rPr>
                <w:sz w:val="2"/>
                <w:szCs w:val="2"/>
                <w:color w:val="auto"/>
              </w:rPr>
            </w:pPr>
          </w:p>
        </w:tc>
        <w:tc>
          <w:tcPr>
            <w:tcW w:w="900" w:type="dxa"/>
            <w:vAlign w:val="bottom"/>
            <w:tcBorders>
              <w:bottom w:val="single" w:sz="8" w:color="CF0A2C"/>
            </w:tcBorders>
          </w:tcPr>
          <w:p>
            <w:pPr>
              <w:spacing w:after="0"/>
              <w:rPr>
                <w:sz w:val="2"/>
                <w:szCs w:val="2"/>
                <w:color w:val="auto"/>
              </w:rPr>
            </w:pPr>
          </w:p>
        </w:tc>
      </w:tr>
      <w:tr>
        <w:trPr>
          <w:trHeight w:val="282"/>
        </w:trPr>
        <w:tc>
          <w:tcPr>
            <w:tcW w:w="4960" w:type="dxa"/>
            <w:vAlign w:val="bottom"/>
          </w:tcPr>
          <w:p>
            <w:pPr>
              <w:spacing w:after="0"/>
              <w:rPr>
                <w:sz w:val="20"/>
                <w:szCs w:val="20"/>
                <w:color w:val="auto"/>
              </w:rPr>
            </w:pPr>
            <w:r>
              <w:rPr>
                <w:rFonts w:ascii="Arial" w:cs="Arial" w:eastAsia="Arial" w:hAnsi="Arial"/>
                <w:sz w:val="16"/>
                <w:szCs w:val="16"/>
                <w:color w:val="262626"/>
              </w:rPr>
              <w:t>Harry L. You</w:t>
            </w:r>
          </w:p>
        </w:tc>
        <w:tc>
          <w:tcPr>
            <w:tcW w:w="820" w:type="dxa"/>
            <w:vAlign w:val="bottom"/>
          </w:tcPr>
          <w:p>
            <w:pPr>
              <w:jc w:val="center"/>
              <w:ind w:left="59"/>
              <w:spacing w:after="0"/>
              <w:rPr>
                <w:sz w:val="20"/>
                <w:szCs w:val="20"/>
                <w:color w:val="auto"/>
              </w:rPr>
            </w:pPr>
            <w:r>
              <w:rPr>
                <w:rFonts w:ascii="Wingdings" w:cs="Wingdings" w:eastAsia="Wingdings" w:hAnsi="Wingdings"/>
                <w:sz w:val="16"/>
                <w:szCs w:val="16"/>
                <w:b w:val="1"/>
                <w:bCs w:val="1"/>
                <w:color w:val="CF0A2C"/>
                <w:w w:val="99"/>
              </w:rPr>
              <w:t>t</w:t>
            </w:r>
          </w:p>
        </w:tc>
        <w:tc>
          <w:tcPr>
            <w:tcW w:w="1380" w:type="dxa"/>
            <w:vAlign w:val="bottom"/>
          </w:tcPr>
          <w:p>
            <w:pPr>
              <w:jc w:val="center"/>
              <w:spacing w:after="0" w:line="161" w:lineRule="exact"/>
              <w:rPr>
                <w:sz w:val="20"/>
                <w:szCs w:val="20"/>
                <w:color w:val="auto"/>
              </w:rPr>
            </w:pPr>
            <w:r>
              <w:rPr>
                <w:rFonts w:ascii="MS PGothic" w:cs="MS PGothic" w:eastAsia="MS PGothic" w:hAnsi="MS PGothic"/>
                <w:sz w:val="16"/>
                <w:szCs w:val="16"/>
                <w:color w:val="CF0A2C"/>
                <w:w w:val="87"/>
              </w:rPr>
              <w:t>❖</w:t>
            </w:r>
          </w:p>
        </w:tc>
        <w:tc>
          <w:tcPr>
            <w:tcW w:w="640" w:type="dxa"/>
            <w:vAlign w:val="bottom"/>
          </w:tcPr>
          <w:p>
            <w:pPr>
              <w:spacing w:after="0"/>
              <w:rPr>
                <w:sz w:val="24"/>
                <w:szCs w:val="24"/>
                <w:color w:val="auto"/>
              </w:rPr>
            </w:pPr>
          </w:p>
        </w:tc>
        <w:tc>
          <w:tcPr>
            <w:tcW w:w="900" w:type="dxa"/>
            <w:vAlign w:val="bottom"/>
          </w:tcPr>
          <w:p>
            <w:pPr>
              <w:jc w:val="center"/>
              <w:ind w:left="19"/>
              <w:spacing w:after="0"/>
              <w:rPr>
                <w:sz w:val="20"/>
                <w:szCs w:val="20"/>
                <w:color w:val="auto"/>
              </w:rPr>
            </w:pPr>
            <w:r>
              <w:rPr>
                <w:rFonts w:ascii="Wingdings" w:cs="Wingdings" w:eastAsia="Wingdings" w:hAnsi="Wingdings"/>
                <w:sz w:val="16"/>
                <w:szCs w:val="16"/>
                <w:b w:val="1"/>
                <w:bCs w:val="1"/>
                <w:color w:val="CF0A2C"/>
                <w:w w:val="99"/>
              </w:rPr>
              <w:t>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174625</wp:posOffset>
            </wp:positionV>
            <wp:extent cx="4343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308" w:lineRule="exact"/>
        <w:rPr>
          <w:sz w:val="20"/>
          <w:szCs w:val="20"/>
          <w:color w:val="auto"/>
        </w:rPr>
      </w:pPr>
    </w:p>
    <w:p>
      <w:pPr>
        <w:ind w:left="1280"/>
        <w:spacing w:after="0" w:line="161" w:lineRule="exact"/>
        <w:tabs>
          <w:tab w:leader="none" w:pos="2140" w:val="left"/>
        </w:tabs>
        <w:rPr>
          <w:sz w:val="20"/>
          <w:szCs w:val="20"/>
          <w:color w:val="auto"/>
        </w:rPr>
      </w:pPr>
      <w:r>
        <w:rPr>
          <w:rFonts w:ascii="Wingdings" w:cs="Wingdings" w:eastAsia="Wingdings" w:hAnsi="Wingdings"/>
          <w:sz w:val="14"/>
          <w:szCs w:val="14"/>
          <w:b w:val="1"/>
          <w:bCs w:val="1"/>
          <w:color w:val="D62E4B"/>
        </w:rPr>
        <w:t>t</w:t>
      </w:r>
      <w:r>
        <w:rPr>
          <w:rFonts w:ascii="Arial" w:cs="Arial" w:eastAsia="Arial" w:hAnsi="Arial"/>
          <w:sz w:val="14"/>
          <w:szCs w:val="14"/>
          <w:color w:val="262626"/>
        </w:rPr>
        <w:t xml:space="preserve">  Member </w:t>
      </w:r>
      <w:r>
        <w:rPr>
          <w:sz w:val="20"/>
          <w:szCs w:val="20"/>
          <w:color w:val="auto"/>
        </w:rPr>
        <w:tab/>
      </w:r>
      <w:r>
        <w:rPr>
          <w:rFonts w:ascii="MS PGothic" w:cs="MS PGothic" w:eastAsia="MS PGothic" w:hAnsi="MS PGothic"/>
          <w:sz w:val="13"/>
          <w:szCs w:val="13"/>
          <w:color w:val="D62E4B"/>
        </w:rPr>
        <w:t>❖</w:t>
      </w:r>
      <w:r>
        <w:rPr>
          <w:rFonts w:ascii="Arial" w:cs="Arial" w:eastAsia="Arial" w:hAnsi="Arial"/>
          <w:sz w:val="13"/>
          <w:szCs w:val="13"/>
          <w:color w:val="262626"/>
        </w:rPr>
        <w:t xml:space="preserve">  Chair</w:t>
      </w:r>
    </w:p>
    <w:p>
      <w:pPr>
        <w:spacing w:after="0" w:line="206" w:lineRule="exact"/>
        <w:rPr>
          <w:sz w:val="20"/>
          <w:szCs w:val="20"/>
          <w:color w:val="auto"/>
        </w:rPr>
      </w:pPr>
    </w:p>
    <w:p>
      <w:pPr>
        <w:ind w:left="1620" w:hanging="344"/>
        <w:spacing w:after="0"/>
        <w:tabs>
          <w:tab w:leader="none" w:pos="1620" w:val="left"/>
        </w:tabs>
        <w:numPr>
          <w:ilvl w:val="0"/>
          <w:numId w:val="6"/>
        </w:numPr>
        <w:rPr>
          <w:rFonts w:ascii="Arial" w:cs="Arial" w:eastAsia="Arial" w:hAnsi="Arial"/>
          <w:sz w:val="14"/>
          <w:szCs w:val="14"/>
          <w:color w:val="262626"/>
        </w:rPr>
      </w:pPr>
      <w:r>
        <w:rPr>
          <w:rFonts w:ascii="Arial" w:cs="Arial" w:eastAsia="Arial" w:hAnsi="Arial"/>
          <w:sz w:val="14"/>
          <w:szCs w:val="14"/>
          <w:color w:val="262626"/>
        </w:rPr>
        <w:t>Mr. Hao is currently not appointed to any committee.</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Audit Committee</w:t>
      </w:r>
    </w:p>
    <w:p>
      <w:pPr>
        <w:spacing w:after="0" w:line="175"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Each member of the Audit Committee meets the audit committee independence requirements under the applicable rules and regulations of the SEC and Nasdaq. Our Board has determined that Mses. Delly and Page and Mr. You are audit committee financial experts under applicable SEC rules and have the requisite financial sophistication required by applicable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64770</wp:posOffset>
            </wp:positionV>
            <wp:extent cx="55225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02"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1460" w:type="dxa"/>
            <w:vAlign w:val="bottom"/>
            <w:vMerge w:val="restart"/>
          </w:tcPr>
          <w:p>
            <w:pPr>
              <w:spacing w:after="0"/>
              <w:rPr>
                <w:sz w:val="20"/>
                <w:szCs w:val="20"/>
                <w:color w:val="auto"/>
              </w:rPr>
            </w:pPr>
            <w:r>
              <w:rPr>
                <w:rFonts w:ascii="Arial" w:cs="Arial" w:eastAsia="Arial" w:hAnsi="Arial"/>
                <w:sz w:val="16"/>
                <w:szCs w:val="16"/>
                <w:b w:val="1"/>
                <w:bCs w:val="1"/>
                <w:color w:val="262626"/>
              </w:rPr>
              <w:t>Members</w:t>
            </w:r>
          </w:p>
        </w:tc>
        <w:tc>
          <w:tcPr>
            <w:tcW w:w="630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262626"/>
              </w:rPr>
              <w:t>Primary Responsibilities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262626"/>
                <w:w w:val="99"/>
              </w:rPr>
              <w:t>Meetings in</w:t>
            </w:r>
          </w:p>
        </w:tc>
        <w:tc>
          <w:tcPr>
            <w:tcW w:w="0" w:type="dxa"/>
            <w:vAlign w:val="bottom"/>
          </w:tcPr>
          <w:p>
            <w:pPr>
              <w:spacing w:after="0"/>
              <w:rPr>
                <w:sz w:val="1"/>
                <w:szCs w:val="1"/>
                <w:color w:val="auto"/>
              </w:rPr>
            </w:pPr>
          </w:p>
        </w:tc>
      </w:tr>
      <w:tr>
        <w:trPr>
          <w:trHeight w:val="101"/>
        </w:trPr>
        <w:tc>
          <w:tcPr>
            <w:tcW w:w="1460" w:type="dxa"/>
            <w:vAlign w:val="bottom"/>
            <w:vMerge w:val="continue"/>
          </w:tcPr>
          <w:p>
            <w:pPr>
              <w:spacing w:after="0"/>
              <w:rPr>
                <w:sz w:val="8"/>
                <w:szCs w:val="8"/>
                <w:color w:val="auto"/>
              </w:rPr>
            </w:pPr>
          </w:p>
        </w:tc>
        <w:tc>
          <w:tcPr>
            <w:tcW w:w="6300" w:type="dxa"/>
            <w:vAlign w:val="bottom"/>
            <w:gridSpan w:val="2"/>
            <w:vMerge w:val="continue"/>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262626"/>
              </w:rPr>
              <w:t>Fiscal 2025</w:t>
            </w: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460" w:type="dxa"/>
            <w:vAlign w:val="bottom"/>
            <w:tcBorders>
              <w:bottom w:val="single" w:sz="8" w:color="CF0A2C"/>
            </w:tcBorders>
          </w:tcPr>
          <w:p>
            <w:pPr>
              <w:spacing w:after="0"/>
              <w:rPr>
                <w:sz w:val="5"/>
                <w:szCs w:val="5"/>
                <w:color w:val="auto"/>
              </w:rPr>
            </w:pPr>
          </w:p>
        </w:tc>
        <w:tc>
          <w:tcPr>
            <w:tcW w:w="500" w:type="dxa"/>
            <w:vAlign w:val="bottom"/>
            <w:tcBorders>
              <w:bottom w:val="single" w:sz="8" w:color="CF0A2C"/>
            </w:tcBorders>
          </w:tcPr>
          <w:p>
            <w:pPr>
              <w:spacing w:after="0"/>
              <w:rPr>
                <w:sz w:val="5"/>
                <w:szCs w:val="5"/>
                <w:color w:val="auto"/>
              </w:rPr>
            </w:pPr>
          </w:p>
        </w:tc>
        <w:tc>
          <w:tcPr>
            <w:tcW w:w="5800" w:type="dxa"/>
            <w:vAlign w:val="bottom"/>
            <w:tcBorders>
              <w:bottom w:val="single" w:sz="8" w:color="CF0A2C"/>
            </w:tcBorders>
          </w:tcPr>
          <w:p>
            <w:pPr>
              <w:spacing w:after="0"/>
              <w:rPr>
                <w:sz w:val="5"/>
                <w:szCs w:val="5"/>
                <w:color w:val="auto"/>
              </w:rPr>
            </w:pPr>
          </w:p>
        </w:tc>
        <w:tc>
          <w:tcPr>
            <w:tcW w:w="940" w:type="dxa"/>
            <w:vAlign w:val="bottom"/>
            <w:tcBorders>
              <w:bottom w:val="single" w:sz="8" w:color="CF0A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460" w:type="dxa"/>
            <w:vAlign w:val="bottom"/>
          </w:tcPr>
          <w:p>
            <w:pPr>
              <w:spacing w:after="0"/>
              <w:rPr>
                <w:sz w:val="20"/>
                <w:szCs w:val="20"/>
                <w:color w:val="auto"/>
              </w:rPr>
            </w:pPr>
            <w:r>
              <w:rPr>
                <w:rFonts w:ascii="Arial" w:cs="Arial" w:eastAsia="Arial" w:hAnsi="Arial"/>
                <w:sz w:val="16"/>
                <w:szCs w:val="16"/>
                <w:color w:val="262626"/>
              </w:rPr>
              <w:t>Gayla J. Delly</w:t>
            </w:r>
          </w:p>
        </w:tc>
        <w:tc>
          <w:tcPr>
            <w:tcW w:w="500" w:type="dxa"/>
            <w:vAlign w:val="bottom"/>
          </w:tcPr>
          <w:p>
            <w:pPr>
              <w:ind w:left="340"/>
              <w:spacing w:after="0"/>
              <w:rPr>
                <w:sz w:val="20"/>
                <w:szCs w:val="20"/>
                <w:color w:val="auto"/>
              </w:rPr>
            </w:pPr>
            <w:r>
              <w:rPr>
                <w:rFonts w:ascii="Arial" w:cs="Arial" w:eastAsia="Arial" w:hAnsi="Arial"/>
                <w:sz w:val="16"/>
                <w:szCs w:val="16"/>
                <w:color w:val="262626"/>
              </w:rPr>
              <w:t>•</w:t>
            </w:r>
          </w:p>
        </w:tc>
        <w:tc>
          <w:tcPr>
            <w:tcW w:w="5800" w:type="dxa"/>
            <w:vAlign w:val="bottom"/>
          </w:tcPr>
          <w:p>
            <w:pPr>
              <w:ind w:left="100"/>
              <w:spacing w:after="0"/>
              <w:rPr>
                <w:sz w:val="20"/>
                <w:szCs w:val="20"/>
                <w:color w:val="auto"/>
              </w:rPr>
            </w:pPr>
            <w:r>
              <w:rPr>
                <w:rFonts w:ascii="Arial" w:cs="Arial" w:eastAsia="Arial" w:hAnsi="Arial"/>
                <w:sz w:val="16"/>
                <w:szCs w:val="16"/>
                <w:color w:val="262626"/>
              </w:rPr>
              <w:t>Oversee the quality and integrity of financial statements, disclosure controls</w:t>
            </w:r>
          </w:p>
        </w:tc>
        <w:tc>
          <w:tcPr>
            <w:tcW w:w="940" w:type="dxa"/>
            <w:vAlign w:val="bottom"/>
          </w:tcPr>
          <w:p>
            <w:pPr>
              <w:jc w:val="center"/>
              <w:spacing w:after="0"/>
              <w:rPr>
                <w:sz w:val="20"/>
                <w:szCs w:val="20"/>
                <w:color w:val="auto"/>
              </w:rPr>
            </w:pPr>
            <w:r>
              <w:rPr>
                <w:rFonts w:ascii="Arial" w:cs="Arial" w:eastAsia="Arial" w:hAnsi="Arial"/>
                <w:sz w:val="16"/>
                <w:szCs w:val="16"/>
                <w:color w:val="262626"/>
                <w:w w:val="89"/>
              </w:rPr>
              <w:t>8</w:t>
            </w:r>
          </w:p>
        </w:tc>
        <w:tc>
          <w:tcPr>
            <w:tcW w:w="0" w:type="dxa"/>
            <w:vAlign w:val="bottom"/>
          </w:tcPr>
          <w:p>
            <w:pPr>
              <w:spacing w:after="0"/>
              <w:rPr>
                <w:sz w:val="1"/>
                <w:szCs w:val="1"/>
                <w:color w:val="auto"/>
              </w:rPr>
            </w:pPr>
          </w:p>
        </w:tc>
      </w:tr>
      <w:tr>
        <w:trPr>
          <w:trHeight w:val="242"/>
        </w:trPr>
        <w:tc>
          <w:tcPr>
            <w:tcW w:w="1460" w:type="dxa"/>
            <w:vAlign w:val="bottom"/>
          </w:tcPr>
          <w:p>
            <w:pPr>
              <w:spacing w:after="0"/>
              <w:rPr>
                <w:sz w:val="20"/>
                <w:szCs w:val="20"/>
                <w:color w:val="auto"/>
              </w:rPr>
            </w:pPr>
            <w:r>
              <w:rPr>
                <w:rFonts w:ascii="Arial" w:cs="Arial" w:eastAsia="Arial" w:hAnsi="Arial"/>
                <w:sz w:val="16"/>
                <w:szCs w:val="16"/>
                <w:color w:val="262626"/>
              </w:rPr>
              <w:t>(Chair)</w:t>
            </w:r>
          </w:p>
        </w:tc>
        <w:tc>
          <w:tcPr>
            <w:tcW w:w="500" w:type="dxa"/>
            <w:vAlign w:val="bottom"/>
          </w:tcPr>
          <w:p>
            <w:pPr>
              <w:spacing w:after="0"/>
              <w:rPr>
                <w:sz w:val="21"/>
                <w:szCs w:val="21"/>
                <w:color w:val="auto"/>
              </w:rPr>
            </w:pPr>
          </w:p>
        </w:tc>
        <w:tc>
          <w:tcPr>
            <w:tcW w:w="5800" w:type="dxa"/>
            <w:vAlign w:val="bottom"/>
          </w:tcPr>
          <w:p>
            <w:pPr>
              <w:ind w:left="100"/>
              <w:spacing w:after="0"/>
              <w:rPr>
                <w:sz w:val="20"/>
                <w:szCs w:val="20"/>
                <w:color w:val="auto"/>
              </w:rPr>
            </w:pPr>
            <w:r>
              <w:rPr>
                <w:rFonts w:ascii="Arial" w:cs="Arial" w:eastAsia="Arial" w:hAnsi="Arial"/>
                <w:sz w:val="16"/>
                <w:szCs w:val="16"/>
                <w:color w:val="262626"/>
              </w:rPr>
              <w:t>and procedures, and internal controls over financial reporting</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1460" w:type="dxa"/>
            <w:vAlign w:val="bottom"/>
          </w:tcPr>
          <w:p>
            <w:pPr>
              <w:spacing w:after="0"/>
              <w:rPr>
                <w:sz w:val="20"/>
                <w:szCs w:val="20"/>
                <w:color w:val="auto"/>
              </w:rPr>
            </w:pPr>
            <w:r>
              <w:rPr>
                <w:rFonts w:ascii="Arial" w:cs="Arial" w:eastAsia="Arial" w:hAnsi="Arial"/>
                <w:sz w:val="16"/>
                <w:szCs w:val="16"/>
                <w:color w:val="262626"/>
              </w:rPr>
              <w:t>Justine F. Page</w:t>
            </w:r>
          </w:p>
        </w:tc>
        <w:tc>
          <w:tcPr>
            <w:tcW w:w="500" w:type="dxa"/>
            <w:vAlign w:val="bottom"/>
            <w:vMerge w:val="restart"/>
          </w:tcPr>
          <w:p>
            <w:pPr>
              <w:ind w:left="340"/>
              <w:spacing w:after="0"/>
              <w:rPr>
                <w:sz w:val="20"/>
                <w:szCs w:val="20"/>
                <w:color w:val="auto"/>
              </w:rPr>
            </w:pPr>
            <w:r>
              <w:rPr>
                <w:rFonts w:ascii="Arial" w:cs="Arial" w:eastAsia="Arial" w:hAnsi="Arial"/>
                <w:sz w:val="16"/>
                <w:szCs w:val="16"/>
                <w:color w:val="262626"/>
              </w:rPr>
              <w:t>•</w:t>
            </w:r>
          </w:p>
        </w:tc>
        <w:tc>
          <w:tcPr>
            <w:tcW w:w="5800" w:type="dxa"/>
            <w:vAlign w:val="bottom"/>
            <w:vMerge w:val="restart"/>
          </w:tcPr>
          <w:p>
            <w:pPr>
              <w:ind w:left="100"/>
              <w:spacing w:after="0"/>
              <w:rPr>
                <w:sz w:val="20"/>
                <w:szCs w:val="20"/>
                <w:color w:val="auto"/>
              </w:rPr>
            </w:pPr>
            <w:r>
              <w:rPr>
                <w:rFonts w:ascii="Arial" w:cs="Arial" w:eastAsia="Arial" w:hAnsi="Arial"/>
                <w:sz w:val="16"/>
                <w:szCs w:val="16"/>
                <w:color w:val="262626"/>
              </w:rPr>
              <w:t>Determine  the  appointment,  compensation,  retention,  qualifications  and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80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1460" w:type="dxa"/>
            <w:vAlign w:val="bottom"/>
          </w:tcPr>
          <w:p>
            <w:pPr>
              <w:spacing w:after="0"/>
              <w:rPr>
                <w:sz w:val="20"/>
                <w:szCs w:val="20"/>
                <w:color w:val="auto"/>
              </w:rPr>
            </w:pPr>
            <w:r>
              <w:rPr>
                <w:rFonts w:ascii="Arial" w:cs="Arial" w:eastAsia="Arial" w:hAnsi="Arial"/>
                <w:sz w:val="16"/>
                <w:szCs w:val="16"/>
                <w:color w:val="262626"/>
              </w:rPr>
              <w:t>Harry L. You</w:t>
            </w:r>
          </w:p>
        </w:tc>
        <w:tc>
          <w:tcPr>
            <w:tcW w:w="500" w:type="dxa"/>
            <w:vAlign w:val="bottom"/>
          </w:tcPr>
          <w:p>
            <w:pPr>
              <w:spacing w:after="0"/>
              <w:rPr>
                <w:sz w:val="23"/>
                <w:szCs w:val="23"/>
                <w:color w:val="auto"/>
              </w:rPr>
            </w:pPr>
          </w:p>
        </w:tc>
        <w:tc>
          <w:tcPr>
            <w:tcW w:w="5800" w:type="dxa"/>
            <w:vAlign w:val="bottom"/>
          </w:tcPr>
          <w:p>
            <w:pPr>
              <w:ind w:left="100"/>
              <w:spacing w:after="0"/>
              <w:rPr>
                <w:sz w:val="20"/>
                <w:szCs w:val="20"/>
                <w:color w:val="auto"/>
              </w:rPr>
            </w:pPr>
            <w:r>
              <w:rPr>
                <w:rFonts w:ascii="Arial" w:cs="Arial" w:eastAsia="Arial" w:hAnsi="Arial"/>
                <w:sz w:val="16"/>
                <w:szCs w:val="16"/>
                <w:color w:val="262626"/>
              </w:rPr>
              <w:t>independence of our independent registered public accounting firm</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3340" w:right="1159" w:hanging="259"/>
        <w:spacing w:after="0" w:line="353" w:lineRule="auto"/>
        <w:tabs>
          <w:tab w:leader="none" w:pos="3320" w:val="left"/>
        </w:tabs>
        <w:rPr>
          <w:sz w:val="20"/>
          <w:szCs w:val="20"/>
          <w:color w:val="auto"/>
        </w:rPr>
      </w:pPr>
      <w:r>
        <w:rPr>
          <w:rFonts w:ascii="Arial" w:cs="Arial" w:eastAsia="Arial" w:hAnsi="Arial"/>
          <w:sz w:val="16"/>
          <w:szCs w:val="16"/>
          <w:color w:val="262626"/>
        </w:rPr>
        <w:t>•</w:t>
        <w:tab/>
        <w:t>Conduct an annual performance evaluation of the internal audit function and independent registered public accounting firm</w:t>
      </w:r>
    </w:p>
    <w:p>
      <w:pPr>
        <w:spacing w:after="0" w:line="76" w:lineRule="exact"/>
        <w:rPr>
          <w:sz w:val="20"/>
          <w:szCs w:val="20"/>
          <w:color w:val="auto"/>
        </w:rPr>
      </w:pPr>
    </w:p>
    <w:p>
      <w:pPr>
        <w:jc w:val="both"/>
        <w:ind w:left="3340" w:right="1159" w:hanging="259"/>
        <w:spacing w:after="0" w:line="339" w:lineRule="auto"/>
        <w:tabs>
          <w:tab w:leader="none" w:pos="3320" w:val="left"/>
        </w:tabs>
        <w:rPr>
          <w:sz w:val="20"/>
          <w:szCs w:val="20"/>
          <w:color w:val="auto"/>
        </w:rPr>
      </w:pPr>
      <w:r>
        <w:rPr>
          <w:rFonts w:ascii="Arial" w:cs="Arial" w:eastAsia="Arial" w:hAnsi="Arial"/>
          <w:sz w:val="16"/>
          <w:szCs w:val="16"/>
          <w:color w:val="262626"/>
        </w:rPr>
        <w:t>•</w:t>
        <w:tab/>
        <w:t>Oversee financial and operational risk, including any exposures and risks related to cybersecurity, data privacy and information technology systems controls, and fraud, and the steps management takes to monitor, control and report such exposures</w:t>
      </w:r>
    </w:p>
    <w:p>
      <w:pPr>
        <w:spacing w:after="0" w:line="88" w:lineRule="exact"/>
        <w:rPr>
          <w:sz w:val="20"/>
          <w:szCs w:val="20"/>
          <w:color w:val="auto"/>
        </w:rPr>
      </w:pPr>
    </w:p>
    <w:p>
      <w:pPr>
        <w:ind w:left="3080"/>
        <w:spacing w:after="0"/>
        <w:tabs>
          <w:tab w:leader="none" w:pos="3320" w:val="left"/>
        </w:tabs>
        <w:rPr>
          <w:sz w:val="20"/>
          <w:szCs w:val="20"/>
          <w:color w:val="auto"/>
        </w:rPr>
      </w:pPr>
      <w:r>
        <w:rPr>
          <w:rFonts w:ascii="Arial" w:cs="Arial" w:eastAsia="Arial" w:hAnsi="Arial"/>
          <w:sz w:val="16"/>
          <w:szCs w:val="16"/>
          <w:color w:val="262626"/>
        </w:rPr>
        <w:t>•</w:t>
        <w:tab/>
        <w:t>Oversee compliance with legal and regulatory requirements</w:t>
      </w:r>
    </w:p>
    <w:p>
      <w:pPr>
        <w:spacing w:after="0" w:line="192" w:lineRule="exact"/>
        <w:rPr>
          <w:sz w:val="20"/>
          <w:szCs w:val="20"/>
          <w:color w:val="auto"/>
        </w:rPr>
      </w:pPr>
    </w:p>
    <w:p>
      <w:pPr>
        <w:jc w:val="both"/>
        <w:ind w:left="3340" w:right="1159" w:hanging="259"/>
        <w:spacing w:after="0" w:line="353" w:lineRule="auto"/>
        <w:tabs>
          <w:tab w:leader="none" w:pos="3320" w:val="left"/>
        </w:tabs>
        <w:rPr>
          <w:sz w:val="20"/>
          <w:szCs w:val="20"/>
          <w:color w:val="auto"/>
        </w:rPr>
      </w:pPr>
      <w:r>
        <w:rPr>
          <w:rFonts w:ascii="Arial" w:cs="Arial" w:eastAsia="Arial" w:hAnsi="Arial"/>
          <w:sz w:val="16"/>
          <w:szCs w:val="16"/>
          <w:color w:val="262626"/>
        </w:rPr>
        <w:t>•</w:t>
        <w:tab/>
        <w:t>Establish procedures for the receipt, retention, investigation and treatment of complaints regarding accounting, internal controls and auditing matters</w:t>
      </w:r>
    </w:p>
    <w:p>
      <w:pPr>
        <w:spacing w:after="0" w:line="76" w:lineRule="exact"/>
        <w:rPr>
          <w:sz w:val="20"/>
          <w:szCs w:val="20"/>
          <w:color w:val="auto"/>
        </w:rPr>
      </w:pPr>
    </w:p>
    <w:p>
      <w:pPr>
        <w:ind w:left="3080"/>
        <w:spacing w:after="0"/>
        <w:tabs>
          <w:tab w:leader="none" w:pos="3320" w:val="left"/>
        </w:tabs>
        <w:rPr>
          <w:sz w:val="20"/>
          <w:szCs w:val="20"/>
          <w:color w:val="auto"/>
        </w:rPr>
      </w:pPr>
      <w:r>
        <w:rPr>
          <w:rFonts w:ascii="Arial" w:cs="Arial" w:eastAsia="Arial" w:hAnsi="Arial"/>
          <w:sz w:val="16"/>
          <w:szCs w:val="16"/>
          <w:color w:val="262626"/>
        </w:rPr>
        <w:t>•</w:t>
        <w:tab/>
        <w:t>Review related party transactions</w:t>
      </w:r>
    </w:p>
    <w:p>
      <w:pPr>
        <w:sectPr>
          <w:pgSz w:w="11900" w:h="16838" w:orient="portrait"/>
          <w:cols w:equalWidth="0" w:num="1">
            <w:col w:w="10139"/>
          </w:cols>
          <w:pgMar w:left="320" w:top="480" w:right="1440" w:bottom="1440" w:gutter="0" w:footer="0" w:header="0"/>
        </w:sectPr>
      </w:pPr>
    </w:p>
    <w:p>
      <w:pPr>
        <w:spacing w:after="0" w:line="189"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Compensation Committee</w:t>
      </w:r>
    </w:p>
    <w:p>
      <w:pPr>
        <w:spacing w:after="0" w:line="161" w:lineRule="exact"/>
        <w:rPr>
          <w:sz w:val="20"/>
          <w:szCs w:val="20"/>
          <w:color w:val="auto"/>
        </w:rPr>
      </w:pPr>
    </w:p>
    <w:p>
      <w:pPr>
        <w:jc w:val="both"/>
        <w:ind w:left="1280" w:right="159"/>
        <w:spacing w:after="0" w:line="352" w:lineRule="auto"/>
        <w:rPr>
          <w:sz w:val="20"/>
          <w:szCs w:val="20"/>
          <w:color w:val="auto"/>
        </w:rPr>
      </w:pPr>
      <w:r>
        <w:rPr>
          <w:rFonts w:ascii="Arial" w:cs="Arial" w:eastAsia="Arial" w:hAnsi="Arial"/>
          <w:sz w:val="16"/>
          <w:szCs w:val="16"/>
          <w:color w:val="262626"/>
        </w:rPr>
        <w:t>Each member of the Compensation Committee meets the compensation committee independence requirements under the applicable rules and regulations of the SEC and Nasdaq, and is a non-employee director within the meaning of Section 16 of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48895</wp:posOffset>
            </wp:positionV>
            <wp:extent cx="55225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77"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1260" w:type="dxa"/>
            <w:vAlign w:val="bottom"/>
            <w:vMerge w:val="restart"/>
          </w:tcPr>
          <w:p>
            <w:pPr>
              <w:spacing w:after="0"/>
              <w:rPr>
                <w:sz w:val="20"/>
                <w:szCs w:val="20"/>
                <w:color w:val="auto"/>
              </w:rPr>
            </w:pPr>
            <w:r>
              <w:rPr>
                <w:rFonts w:ascii="Arial" w:cs="Arial" w:eastAsia="Arial" w:hAnsi="Arial"/>
                <w:sz w:val="16"/>
                <w:szCs w:val="16"/>
                <w:b w:val="1"/>
                <w:bCs w:val="1"/>
                <w:color w:val="262626"/>
              </w:rPr>
              <w:t>Members</w:t>
            </w:r>
          </w:p>
        </w:tc>
        <w:tc>
          <w:tcPr>
            <w:tcW w:w="4480" w:type="dxa"/>
            <w:vAlign w:val="bottom"/>
            <w:vMerge w:val="restart"/>
          </w:tcPr>
          <w:p>
            <w:pPr>
              <w:ind w:left="540"/>
              <w:spacing w:after="0"/>
              <w:rPr>
                <w:sz w:val="20"/>
                <w:szCs w:val="20"/>
                <w:color w:val="auto"/>
              </w:rPr>
            </w:pPr>
            <w:r>
              <w:rPr>
                <w:rFonts w:ascii="Arial" w:cs="Arial" w:eastAsia="Arial" w:hAnsi="Arial"/>
                <w:sz w:val="16"/>
                <w:szCs w:val="16"/>
                <w:b w:val="1"/>
                <w:bCs w:val="1"/>
                <w:color w:val="262626"/>
              </w:rPr>
              <w:t>Primary Responsibilities</w:t>
            </w:r>
          </w:p>
        </w:tc>
        <w:tc>
          <w:tcPr>
            <w:tcW w:w="2940" w:type="dxa"/>
            <w:vAlign w:val="bottom"/>
          </w:tcPr>
          <w:p>
            <w:pPr>
              <w:ind w:left="2060"/>
              <w:spacing w:after="0"/>
              <w:rPr>
                <w:sz w:val="20"/>
                <w:szCs w:val="20"/>
                <w:color w:val="auto"/>
              </w:rPr>
            </w:pPr>
            <w:r>
              <w:rPr>
                <w:rFonts w:ascii="Arial" w:cs="Arial" w:eastAsia="Arial" w:hAnsi="Arial"/>
                <w:sz w:val="16"/>
                <w:szCs w:val="16"/>
                <w:b w:val="1"/>
                <w:bCs w:val="1"/>
                <w:color w:val="262626"/>
                <w:w w:val="97"/>
              </w:rPr>
              <w:t>Meetings in</w:t>
            </w:r>
          </w:p>
        </w:tc>
        <w:tc>
          <w:tcPr>
            <w:tcW w:w="0" w:type="dxa"/>
            <w:vAlign w:val="bottom"/>
          </w:tcPr>
          <w:p>
            <w:pPr>
              <w:spacing w:after="0"/>
              <w:rPr>
                <w:sz w:val="1"/>
                <w:szCs w:val="1"/>
                <w:color w:val="auto"/>
              </w:rPr>
            </w:pPr>
          </w:p>
        </w:tc>
      </w:tr>
      <w:tr>
        <w:trPr>
          <w:trHeight w:val="101"/>
        </w:trPr>
        <w:tc>
          <w:tcPr>
            <w:tcW w:w="1260" w:type="dxa"/>
            <w:vAlign w:val="bottom"/>
            <w:vMerge w:val="continue"/>
          </w:tcPr>
          <w:p>
            <w:pPr>
              <w:spacing w:after="0"/>
              <w:rPr>
                <w:sz w:val="8"/>
                <w:szCs w:val="8"/>
                <w:color w:val="auto"/>
              </w:rPr>
            </w:pPr>
          </w:p>
        </w:tc>
        <w:tc>
          <w:tcPr>
            <w:tcW w:w="4480" w:type="dxa"/>
            <w:vAlign w:val="bottom"/>
            <w:vMerge w:val="continue"/>
          </w:tcPr>
          <w:p>
            <w:pPr>
              <w:spacing w:after="0"/>
              <w:rPr>
                <w:sz w:val="8"/>
                <w:szCs w:val="8"/>
                <w:color w:val="auto"/>
              </w:rPr>
            </w:pPr>
          </w:p>
        </w:tc>
        <w:tc>
          <w:tcPr>
            <w:tcW w:w="2940" w:type="dxa"/>
            <w:vAlign w:val="bottom"/>
            <w:vMerge w:val="restart"/>
          </w:tcPr>
          <w:p>
            <w:pPr>
              <w:ind w:left="2060"/>
              <w:spacing w:after="0"/>
              <w:rPr>
                <w:sz w:val="20"/>
                <w:szCs w:val="20"/>
                <w:color w:val="auto"/>
              </w:rPr>
            </w:pPr>
            <w:r>
              <w:rPr>
                <w:rFonts w:ascii="Arial" w:cs="Arial" w:eastAsia="Arial" w:hAnsi="Arial"/>
                <w:sz w:val="16"/>
                <w:szCs w:val="16"/>
                <w:b w:val="1"/>
                <w:bCs w:val="1"/>
                <w:color w:val="262626"/>
              </w:rPr>
              <w:t>Fiscal 2025</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38735</wp:posOffset>
            </wp:positionV>
            <wp:extent cx="55225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p>
      <w:pPr>
        <w:spacing w:after="0" w:line="127"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Harry L. You</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(Chair)</w:t>
      </w:r>
    </w:p>
    <w:p>
      <w:pPr>
        <w:spacing w:after="0" w:line="125"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Diane M. Bryant</w:t>
      </w:r>
    </w:p>
    <w:p>
      <w:pPr>
        <w:spacing w:after="0" w:line="138"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Eddy W. Hartenstein</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Check Kian Low</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360" w:type="dxa"/>
            <w:vAlign w:val="bottom"/>
          </w:tcPr>
          <w:p>
            <w:pPr>
              <w:spacing w:after="0"/>
              <w:rPr>
                <w:sz w:val="20"/>
                <w:szCs w:val="20"/>
                <w:color w:val="auto"/>
              </w:rPr>
            </w:pPr>
            <w:r>
              <w:rPr>
                <w:rFonts w:ascii="Arial" w:cs="Arial" w:eastAsia="Arial" w:hAnsi="Arial"/>
                <w:sz w:val="16"/>
                <w:szCs w:val="16"/>
                <w:color w:val="262626"/>
              </w:rPr>
              <w:t>•  Determine executive (other than our CEO) compensation</w:t>
            </w:r>
          </w:p>
        </w:tc>
        <w:tc>
          <w:tcPr>
            <w:tcW w:w="1120" w:type="dxa"/>
            <w:vAlign w:val="bottom"/>
          </w:tcPr>
          <w:p>
            <w:pPr>
              <w:jc w:val="right"/>
              <w:spacing w:after="0"/>
              <w:rPr>
                <w:sz w:val="20"/>
                <w:szCs w:val="20"/>
                <w:color w:val="auto"/>
              </w:rPr>
            </w:pPr>
            <w:r>
              <w:rPr>
                <w:rFonts w:ascii="Arial" w:cs="Arial" w:eastAsia="Arial" w:hAnsi="Arial"/>
                <w:sz w:val="16"/>
                <w:szCs w:val="16"/>
                <w:color w:val="262626"/>
              </w:rPr>
              <w:t>5</w:t>
            </w:r>
          </w:p>
        </w:tc>
      </w:tr>
    </w:tbl>
    <w:p>
      <w:pPr>
        <w:spacing w:after="0" w:line="162" w:lineRule="exact"/>
        <w:rPr>
          <w:sz w:val="20"/>
          <w:szCs w:val="20"/>
          <w:color w:val="auto"/>
        </w:rPr>
      </w:pPr>
    </w:p>
    <w:p>
      <w:pPr>
        <w:ind w:left="260" w:hanging="253"/>
        <w:spacing w:after="0"/>
        <w:tabs>
          <w:tab w:leader="none" w:pos="260" w:val="left"/>
        </w:tabs>
        <w:numPr>
          <w:ilvl w:val="0"/>
          <w:numId w:val="7"/>
        </w:numPr>
        <w:rPr>
          <w:rFonts w:ascii="Arial" w:cs="Arial" w:eastAsia="Arial" w:hAnsi="Arial"/>
          <w:sz w:val="16"/>
          <w:szCs w:val="16"/>
          <w:color w:val="262626"/>
        </w:rPr>
      </w:pPr>
      <w:r>
        <w:rPr>
          <w:rFonts w:ascii="Arial" w:cs="Arial" w:eastAsia="Arial" w:hAnsi="Arial"/>
          <w:sz w:val="16"/>
          <w:szCs w:val="16"/>
          <w:color w:val="262626"/>
        </w:rPr>
        <w:t>Recommend to the independent directors our CEO’s compensation</w:t>
      </w:r>
    </w:p>
    <w:p>
      <w:pPr>
        <w:spacing w:after="0" w:line="191" w:lineRule="exact"/>
        <w:rPr>
          <w:rFonts w:ascii="Arial" w:cs="Arial" w:eastAsia="Arial" w:hAnsi="Arial"/>
          <w:sz w:val="16"/>
          <w:szCs w:val="16"/>
          <w:color w:val="262626"/>
        </w:rPr>
      </w:pPr>
    </w:p>
    <w:p>
      <w:pPr>
        <w:ind w:left="260" w:right="1159" w:hanging="253"/>
        <w:spacing w:after="0" w:line="371" w:lineRule="auto"/>
        <w:tabs>
          <w:tab w:leader="none" w:pos="260" w:val="left"/>
        </w:tabs>
        <w:numPr>
          <w:ilvl w:val="0"/>
          <w:numId w:val="7"/>
        </w:numPr>
        <w:rPr>
          <w:rFonts w:ascii="Arial" w:cs="Arial" w:eastAsia="Arial" w:hAnsi="Arial"/>
          <w:sz w:val="16"/>
          <w:szCs w:val="16"/>
          <w:color w:val="262626"/>
        </w:rPr>
      </w:pPr>
      <w:r>
        <w:rPr>
          <w:rFonts w:ascii="Arial" w:cs="Arial" w:eastAsia="Arial" w:hAnsi="Arial"/>
          <w:sz w:val="16"/>
          <w:szCs w:val="16"/>
          <w:color w:val="262626"/>
        </w:rPr>
        <w:t>Design (in consultation with management or our Board, as applicable) and evaluate compensation plans, programs and policies</w:t>
      </w:r>
    </w:p>
    <w:p>
      <w:pPr>
        <w:spacing w:after="0" w:line="48" w:lineRule="exact"/>
        <w:rPr>
          <w:rFonts w:ascii="Arial" w:cs="Arial" w:eastAsia="Arial" w:hAnsi="Arial"/>
          <w:sz w:val="16"/>
          <w:szCs w:val="16"/>
          <w:color w:val="262626"/>
        </w:rPr>
      </w:pPr>
    </w:p>
    <w:p>
      <w:pPr>
        <w:ind w:left="260" w:right="1159" w:hanging="253"/>
        <w:spacing w:after="0" w:line="371" w:lineRule="auto"/>
        <w:tabs>
          <w:tab w:leader="none" w:pos="260" w:val="left"/>
        </w:tabs>
        <w:numPr>
          <w:ilvl w:val="0"/>
          <w:numId w:val="7"/>
        </w:numPr>
        <w:rPr>
          <w:rFonts w:ascii="Arial" w:cs="Arial" w:eastAsia="Arial" w:hAnsi="Arial"/>
          <w:sz w:val="16"/>
          <w:szCs w:val="16"/>
          <w:color w:val="262626"/>
        </w:rPr>
      </w:pPr>
      <w:r>
        <w:rPr>
          <w:rFonts w:ascii="Arial" w:cs="Arial" w:eastAsia="Arial" w:hAnsi="Arial"/>
          <w:sz w:val="16"/>
          <w:szCs w:val="16"/>
          <w:color w:val="262626"/>
        </w:rPr>
        <w:t>Administer equity-based plans and approve the terms of grants under those plans</w:t>
      </w:r>
    </w:p>
    <w:p>
      <w:pPr>
        <w:spacing w:after="0" w:line="49" w:lineRule="exact"/>
        <w:rPr>
          <w:sz w:val="20"/>
          <w:szCs w:val="20"/>
          <w:color w:val="auto"/>
        </w:rPr>
      </w:pPr>
    </w:p>
    <w:p>
      <w:pPr>
        <w:sectPr>
          <w:pgSz w:w="11900" w:h="16838" w:orient="portrait"/>
          <w:cols w:equalWidth="0" w:num="2">
            <w:col w:w="2740" w:space="340"/>
            <w:col w:w="7059"/>
          </w:cols>
          <w:pgMar w:left="320" w:top="480" w:right="1440" w:bottom="1440" w:gutter="0" w:footer="0" w:header="0"/>
          <w:type w:val="continuous"/>
        </w:sectPr>
      </w:pPr>
    </w:p>
    <w:p>
      <w:pPr>
        <w:ind w:left="3340" w:right="1139" w:hanging="253"/>
        <w:spacing w:after="0" w:line="371" w:lineRule="auto"/>
        <w:tabs>
          <w:tab w:leader="none" w:pos="3340" w:val="left"/>
        </w:tabs>
        <w:numPr>
          <w:ilvl w:val="0"/>
          <w:numId w:val="8"/>
        </w:numPr>
        <w:rPr>
          <w:rFonts w:ascii="Arial" w:cs="Arial" w:eastAsia="Arial" w:hAnsi="Arial"/>
          <w:sz w:val="16"/>
          <w:szCs w:val="16"/>
          <w:color w:val="262626"/>
        </w:rPr>
      </w:pPr>
      <w:r>
        <w:rPr>
          <w:rFonts w:ascii="Arial" w:cs="Arial" w:eastAsia="Arial" w:hAnsi="Arial"/>
          <w:sz w:val="16"/>
          <w:szCs w:val="16"/>
          <w:color w:val="262626"/>
        </w:rPr>
        <w:t>Confirm that compensation policies and practices do not encourage unnecessary risk-taking</w:t>
      </w:r>
    </w:p>
    <w:p>
      <w:pPr>
        <w:spacing w:after="0" w:line="48" w:lineRule="exact"/>
        <w:rPr>
          <w:rFonts w:ascii="Arial" w:cs="Arial" w:eastAsia="Arial" w:hAnsi="Arial"/>
          <w:sz w:val="16"/>
          <w:szCs w:val="16"/>
          <w:color w:val="262626"/>
        </w:rPr>
      </w:pPr>
    </w:p>
    <w:p>
      <w:pPr>
        <w:jc w:val="both"/>
        <w:ind w:left="3340" w:right="1159" w:hanging="253"/>
        <w:spacing w:after="0" w:line="343" w:lineRule="auto"/>
        <w:tabs>
          <w:tab w:leader="none" w:pos="3340" w:val="left"/>
        </w:tabs>
        <w:numPr>
          <w:ilvl w:val="0"/>
          <w:numId w:val="8"/>
        </w:numPr>
        <w:rPr>
          <w:rFonts w:ascii="Arial" w:cs="Arial" w:eastAsia="Arial" w:hAnsi="Arial"/>
          <w:sz w:val="16"/>
          <w:szCs w:val="16"/>
          <w:color w:val="262626"/>
        </w:rPr>
      </w:pPr>
      <w:r>
        <w:rPr>
          <w:rFonts w:ascii="Arial" w:cs="Arial" w:eastAsia="Arial" w:hAnsi="Arial"/>
          <w:sz w:val="16"/>
          <w:szCs w:val="16"/>
          <w:color w:val="262626"/>
        </w:rPr>
        <w:t>Review and discuss, at least annually, the relationship between risk management policies and practices, business strategy and executive officers’ compensation</w:t>
      </w:r>
    </w:p>
    <w:p>
      <w:pPr>
        <w:spacing w:after="0" w:line="83" w:lineRule="exact"/>
        <w:rPr>
          <w:rFonts w:ascii="Arial" w:cs="Arial" w:eastAsia="Arial" w:hAnsi="Arial"/>
          <w:sz w:val="16"/>
          <w:szCs w:val="16"/>
          <w:color w:val="262626"/>
        </w:rPr>
      </w:pPr>
    </w:p>
    <w:p>
      <w:pPr>
        <w:ind w:left="3340" w:hanging="253"/>
        <w:spacing w:after="0"/>
        <w:tabs>
          <w:tab w:leader="none" w:pos="3340" w:val="left"/>
        </w:tabs>
        <w:numPr>
          <w:ilvl w:val="0"/>
          <w:numId w:val="8"/>
        </w:numPr>
        <w:rPr>
          <w:rFonts w:ascii="Arial" w:cs="Arial" w:eastAsia="Arial" w:hAnsi="Arial"/>
          <w:sz w:val="16"/>
          <w:szCs w:val="16"/>
          <w:color w:val="262626"/>
        </w:rPr>
      </w:pPr>
      <w:r>
        <w:rPr>
          <w:rFonts w:ascii="Arial" w:cs="Arial" w:eastAsia="Arial" w:hAnsi="Arial"/>
          <w:sz w:val="16"/>
          <w:szCs w:val="16"/>
          <w:color w:val="262626"/>
        </w:rPr>
        <w:t>Establish and periodically review policies concerning perquisite benefits</w:t>
      </w:r>
    </w:p>
    <w:p>
      <w:pPr>
        <w:spacing w:after="0" w:line="191" w:lineRule="exact"/>
        <w:rPr>
          <w:rFonts w:ascii="Arial" w:cs="Arial" w:eastAsia="Arial" w:hAnsi="Arial"/>
          <w:sz w:val="16"/>
          <w:szCs w:val="16"/>
          <w:color w:val="262626"/>
        </w:rPr>
      </w:pPr>
    </w:p>
    <w:p>
      <w:pPr>
        <w:jc w:val="both"/>
        <w:ind w:left="3340" w:right="1159" w:hanging="253"/>
        <w:spacing w:after="0" w:line="339" w:lineRule="auto"/>
        <w:tabs>
          <w:tab w:leader="none" w:pos="3340" w:val="left"/>
        </w:tabs>
        <w:numPr>
          <w:ilvl w:val="0"/>
          <w:numId w:val="8"/>
        </w:numPr>
        <w:rPr>
          <w:rFonts w:ascii="Arial" w:cs="Arial" w:eastAsia="Arial" w:hAnsi="Arial"/>
          <w:sz w:val="16"/>
          <w:szCs w:val="16"/>
          <w:color w:val="262626"/>
        </w:rPr>
      </w:pPr>
      <w:r>
        <w:rPr>
          <w:rFonts w:ascii="Arial" w:cs="Arial" w:eastAsia="Arial" w:hAnsi="Arial"/>
          <w:sz w:val="16"/>
          <w:szCs w:val="16"/>
          <w:color w:val="262626"/>
        </w:rPr>
        <w:t>Review and approve all employment agreements, severance and change-in-control arrangements and perquisites for executives (other than our CEO) and recommend to the independent directors such agreements and perquisites relating to our CEO</w:t>
      </w:r>
    </w:p>
    <w:p>
      <w:pPr>
        <w:spacing w:after="0" w:line="87" w:lineRule="exact"/>
        <w:rPr>
          <w:rFonts w:ascii="Arial" w:cs="Arial" w:eastAsia="Arial" w:hAnsi="Arial"/>
          <w:sz w:val="16"/>
          <w:szCs w:val="16"/>
          <w:color w:val="262626"/>
        </w:rPr>
      </w:pPr>
    </w:p>
    <w:p>
      <w:pPr>
        <w:ind w:left="3340" w:right="1159" w:hanging="253"/>
        <w:spacing w:after="0" w:line="371" w:lineRule="auto"/>
        <w:tabs>
          <w:tab w:leader="none" w:pos="3340" w:val="left"/>
        </w:tabs>
        <w:numPr>
          <w:ilvl w:val="0"/>
          <w:numId w:val="8"/>
        </w:numPr>
        <w:rPr>
          <w:rFonts w:ascii="Arial" w:cs="Arial" w:eastAsia="Arial" w:hAnsi="Arial"/>
          <w:sz w:val="16"/>
          <w:szCs w:val="16"/>
          <w:color w:val="262626"/>
        </w:rPr>
      </w:pPr>
      <w:r>
        <w:rPr>
          <w:rFonts w:ascii="Arial" w:cs="Arial" w:eastAsia="Arial" w:hAnsi="Arial"/>
          <w:sz w:val="16"/>
          <w:szCs w:val="16"/>
          <w:color w:val="262626"/>
        </w:rPr>
        <w:t>Evaluate and provide input on CEO and senior management succession planning</w:t>
      </w:r>
    </w:p>
    <w:p>
      <w:pPr>
        <w:spacing w:after="0" w:line="48" w:lineRule="exact"/>
        <w:rPr>
          <w:rFonts w:ascii="Arial" w:cs="Arial" w:eastAsia="Arial" w:hAnsi="Arial"/>
          <w:sz w:val="16"/>
          <w:szCs w:val="16"/>
          <w:color w:val="262626"/>
        </w:rPr>
      </w:pPr>
    </w:p>
    <w:p>
      <w:pPr>
        <w:ind w:left="3340" w:right="1159" w:hanging="253"/>
        <w:spacing w:after="0" w:line="371" w:lineRule="auto"/>
        <w:tabs>
          <w:tab w:leader="none" w:pos="3340" w:val="left"/>
        </w:tabs>
        <w:numPr>
          <w:ilvl w:val="0"/>
          <w:numId w:val="8"/>
        </w:numPr>
        <w:rPr>
          <w:rFonts w:ascii="Arial" w:cs="Arial" w:eastAsia="Arial" w:hAnsi="Arial"/>
          <w:sz w:val="16"/>
          <w:szCs w:val="16"/>
          <w:color w:val="262626"/>
        </w:rPr>
      </w:pPr>
      <w:r>
        <w:rPr>
          <w:rFonts w:ascii="Arial" w:cs="Arial" w:eastAsia="Arial" w:hAnsi="Arial"/>
          <w:sz w:val="16"/>
          <w:szCs w:val="16"/>
          <w:color w:val="262626"/>
        </w:rPr>
        <w:t>Review and make recommendations to our Board regarding compensation for non-employee directors</w:t>
      </w:r>
    </w:p>
    <w:p>
      <w:pPr>
        <w:spacing w:after="0" w:line="48" w:lineRule="exact"/>
        <w:rPr>
          <w:rFonts w:ascii="Arial" w:cs="Arial" w:eastAsia="Arial" w:hAnsi="Arial"/>
          <w:sz w:val="16"/>
          <w:szCs w:val="16"/>
          <w:color w:val="262626"/>
        </w:rPr>
      </w:pPr>
    </w:p>
    <w:p>
      <w:pPr>
        <w:ind w:left="3340" w:hanging="253"/>
        <w:spacing w:after="0"/>
        <w:tabs>
          <w:tab w:leader="none" w:pos="3340" w:val="left"/>
        </w:tabs>
        <w:numPr>
          <w:ilvl w:val="0"/>
          <w:numId w:val="8"/>
        </w:numPr>
        <w:rPr>
          <w:rFonts w:ascii="Arial" w:cs="Arial" w:eastAsia="Arial" w:hAnsi="Arial"/>
          <w:sz w:val="16"/>
          <w:szCs w:val="16"/>
          <w:color w:val="262626"/>
        </w:rPr>
      </w:pPr>
      <w:r>
        <w:rPr>
          <w:rFonts w:ascii="Arial" w:cs="Arial" w:eastAsia="Arial" w:hAnsi="Arial"/>
          <w:sz w:val="16"/>
          <w:szCs w:val="16"/>
          <w:color w:val="262626"/>
        </w:rPr>
        <w:t>Establish and periodically review stockholder ownership guidelines</w:t>
      </w:r>
    </w:p>
    <w:p>
      <w:pPr>
        <w:spacing w:after="0" w:line="191" w:lineRule="exact"/>
        <w:rPr>
          <w:rFonts w:ascii="Arial" w:cs="Arial" w:eastAsia="Arial" w:hAnsi="Arial"/>
          <w:sz w:val="16"/>
          <w:szCs w:val="16"/>
          <w:color w:val="262626"/>
        </w:rPr>
      </w:pPr>
    </w:p>
    <w:p>
      <w:pPr>
        <w:ind w:left="3340" w:hanging="253"/>
        <w:spacing w:after="0"/>
        <w:tabs>
          <w:tab w:leader="none" w:pos="3340" w:val="left"/>
        </w:tabs>
        <w:numPr>
          <w:ilvl w:val="0"/>
          <w:numId w:val="8"/>
        </w:numPr>
        <w:rPr>
          <w:rFonts w:ascii="Arial" w:cs="Arial" w:eastAsia="Arial" w:hAnsi="Arial"/>
          <w:sz w:val="16"/>
          <w:szCs w:val="16"/>
          <w:color w:val="262626"/>
        </w:rPr>
      </w:pPr>
      <w:r>
        <w:rPr>
          <w:rFonts w:ascii="Arial" w:cs="Arial" w:eastAsia="Arial" w:hAnsi="Arial"/>
          <w:sz w:val="16"/>
          <w:szCs w:val="16"/>
          <w:color w:val="262626"/>
        </w:rPr>
        <w:t>Provide oversight over its independent compensation consultant</w:t>
      </w:r>
    </w:p>
    <w:p>
      <w:pPr>
        <w:spacing w:after="0" w:line="26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Compensation Committee Interlocks and Insider Participation</w:t>
      </w:r>
    </w:p>
    <w:p>
      <w:pPr>
        <w:spacing w:after="0" w:line="176"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The members of the Compensation Committee, Ms. Bryant and Messrs. Hartenstein, Low and You, are not and have never been officers or employees of Broadcom. During fiscal 2025, none of our executive officers served on the board of directors or compensation committee of any other entity that has one or more executive officers serving as a member of our Board or the Compensation Committee.</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85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Nominating and Corporate Governance Committee</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Each member of the NCG Committee is independent in accordance with the applicable Nasdaq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130810</wp:posOffset>
            </wp:positionV>
            <wp:extent cx="55225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306"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1640" w:type="dxa"/>
            <w:vAlign w:val="bottom"/>
            <w:vMerge w:val="restart"/>
          </w:tcPr>
          <w:p>
            <w:pPr>
              <w:spacing w:after="0"/>
              <w:rPr>
                <w:sz w:val="20"/>
                <w:szCs w:val="20"/>
                <w:color w:val="auto"/>
              </w:rPr>
            </w:pPr>
            <w:r>
              <w:rPr>
                <w:rFonts w:ascii="Arial" w:cs="Arial" w:eastAsia="Arial" w:hAnsi="Arial"/>
                <w:sz w:val="16"/>
                <w:szCs w:val="16"/>
                <w:b w:val="1"/>
                <w:bCs w:val="1"/>
                <w:color w:val="262626"/>
              </w:rPr>
              <w:t>Members</w:t>
            </w:r>
          </w:p>
        </w:tc>
        <w:tc>
          <w:tcPr>
            <w:tcW w:w="57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262626"/>
              </w:rPr>
              <w:t>Primary Responsibilities</w:t>
            </w:r>
          </w:p>
        </w:tc>
        <w:tc>
          <w:tcPr>
            <w:tcW w:w="3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262626"/>
                <w:w w:val="99"/>
              </w:rPr>
              <w:t>Meetings in</w:t>
            </w:r>
          </w:p>
        </w:tc>
        <w:tc>
          <w:tcPr>
            <w:tcW w:w="0" w:type="dxa"/>
            <w:vAlign w:val="bottom"/>
          </w:tcPr>
          <w:p>
            <w:pPr>
              <w:spacing w:after="0"/>
              <w:rPr>
                <w:sz w:val="1"/>
                <w:szCs w:val="1"/>
                <w:color w:val="auto"/>
              </w:rPr>
            </w:pPr>
          </w:p>
        </w:tc>
      </w:tr>
      <w:tr>
        <w:trPr>
          <w:trHeight w:val="101"/>
        </w:trPr>
        <w:tc>
          <w:tcPr>
            <w:tcW w:w="1640" w:type="dxa"/>
            <w:vAlign w:val="bottom"/>
            <w:vMerge w:val="continue"/>
          </w:tcPr>
          <w:p>
            <w:pPr>
              <w:spacing w:after="0"/>
              <w:rPr>
                <w:sz w:val="8"/>
                <w:szCs w:val="8"/>
                <w:color w:val="auto"/>
              </w:rPr>
            </w:pPr>
          </w:p>
        </w:tc>
        <w:tc>
          <w:tcPr>
            <w:tcW w:w="57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262626"/>
              </w:rPr>
              <w:t>Fiscal 2025</w:t>
            </w: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640" w:type="dxa"/>
            <w:vAlign w:val="bottom"/>
            <w:tcBorders>
              <w:bottom w:val="single" w:sz="8" w:color="CF0A2C"/>
            </w:tcBorders>
          </w:tcPr>
          <w:p>
            <w:pPr>
              <w:spacing w:after="0"/>
              <w:rPr>
                <w:sz w:val="5"/>
                <w:szCs w:val="5"/>
                <w:color w:val="auto"/>
              </w:rPr>
            </w:pPr>
          </w:p>
        </w:tc>
        <w:tc>
          <w:tcPr>
            <w:tcW w:w="320" w:type="dxa"/>
            <w:vAlign w:val="bottom"/>
            <w:tcBorders>
              <w:bottom w:val="single" w:sz="8" w:color="CF0A2C"/>
            </w:tcBorders>
          </w:tcPr>
          <w:p>
            <w:pPr>
              <w:spacing w:after="0"/>
              <w:rPr>
                <w:sz w:val="5"/>
                <w:szCs w:val="5"/>
                <w:color w:val="auto"/>
              </w:rPr>
            </w:pPr>
          </w:p>
        </w:tc>
        <w:tc>
          <w:tcPr>
            <w:tcW w:w="5440" w:type="dxa"/>
            <w:vAlign w:val="bottom"/>
            <w:tcBorders>
              <w:bottom w:val="single" w:sz="8" w:color="CF0A2C"/>
            </w:tcBorders>
          </w:tcPr>
          <w:p>
            <w:pPr>
              <w:spacing w:after="0"/>
              <w:rPr>
                <w:sz w:val="5"/>
                <w:szCs w:val="5"/>
                <w:color w:val="auto"/>
              </w:rPr>
            </w:pPr>
          </w:p>
        </w:tc>
        <w:tc>
          <w:tcPr>
            <w:tcW w:w="360" w:type="dxa"/>
            <w:vAlign w:val="bottom"/>
            <w:tcBorders>
              <w:bottom w:val="single" w:sz="8" w:color="CF0A2C"/>
            </w:tcBorders>
          </w:tcPr>
          <w:p>
            <w:pPr>
              <w:spacing w:after="0"/>
              <w:rPr>
                <w:sz w:val="5"/>
                <w:szCs w:val="5"/>
                <w:color w:val="auto"/>
              </w:rPr>
            </w:pPr>
          </w:p>
        </w:tc>
        <w:tc>
          <w:tcPr>
            <w:tcW w:w="940" w:type="dxa"/>
            <w:vAlign w:val="bottom"/>
            <w:tcBorders>
              <w:bottom w:val="single" w:sz="8" w:color="CF0A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640" w:type="dxa"/>
            <w:vAlign w:val="bottom"/>
          </w:tcPr>
          <w:p>
            <w:pPr>
              <w:spacing w:after="0"/>
              <w:rPr>
                <w:sz w:val="20"/>
                <w:szCs w:val="20"/>
                <w:color w:val="auto"/>
              </w:rPr>
            </w:pPr>
            <w:r>
              <w:rPr>
                <w:rFonts w:ascii="Arial" w:cs="Arial" w:eastAsia="Arial" w:hAnsi="Arial"/>
                <w:sz w:val="16"/>
                <w:szCs w:val="16"/>
                <w:color w:val="262626"/>
              </w:rPr>
              <w:t>Eddy W. Hartenstein</w:t>
            </w:r>
          </w:p>
        </w:tc>
        <w:tc>
          <w:tcPr>
            <w:tcW w:w="320" w:type="dxa"/>
            <w:vAlign w:val="bottom"/>
          </w:tcPr>
          <w:p>
            <w:pPr>
              <w:ind w:left="160"/>
              <w:spacing w:after="0"/>
              <w:rPr>
                <w:sz w:val="20"/>
                <w:szCs w:val="20"/>
                <w:color w:val="auto"/>
              </w:rPr>
            </w:pPr>
            <w:r>
              <w:rPr>
                <w:rFonts w:ascii="Arial" w:cs="Arial" w:eastAsia="Arial" w:hAnsi="Arial"/>
                <w:sz w:val="16"/>
                <w:szCs w:val="16"/>
                <w:color w:val="262626"/>
              </w:rPr>
              <w:t>•</w:t>
            </w:r>
          </w:p>
        </w:tc>
        <w:tc>
          <w:tcPr>
            <w:tcW w:w="5440" w:type="dxa"/>
            <w:vAlign w:val="bottom"/>
          </w:tcPr>
          <w:p>
            <w:pPr>
              <w:ind w:left="100"/>
              <w:spacing w:after="0"/>
              <w:rPr>
                <w:sz w:val="20"/>
                <w:szCs w:val="20"/>
                <w:color w:val="auto"/>
              </w:rPr>
            </w:pPr>
            <w:r>
              <w:rPr>
                <w:rFonts w:ascii="Arial" w:cs="Arial" w:eastAsia="Arial" w:hAnsi="Arial"/>
                <w:sz w:val="16"/>
                <w:szCs w:val="16"/>
                <w:color w:val="262626"/>
              </w:rPr>
              <w:t>Take a leadership role in shaping our corporate governance policies</w:t>
            </w:r>
          </w:p>
        </w:tc>
        <w:tc>
          <w:tcPr>
            <w:tcW w:w="360" w:type="dxa"/>
            <w:vAlign w:val="bottom"/>
          </w:tcPr>
          <w:p>
            <w:pPr>
              <w:ind w:left="40"/>
              <w:spacing w:after="0"/>
              <w:rPr>
                <w:sz w:val="20"/>
                <w:szCs w:val="20"/>
                <w:color w:val="auto"/>
              </w:rPr>
            </w:pPr>
            <w:r>
              <w:rPr>
                <w:rFonts w:ascii="Arial" w:cs="Arial" w:eastAsia="Arial" w:hAnsi="Arial"/>
                <w:sz w:val="16"/>
                <w:szCs w:val="16"/>
                <w:color w:val="262626"/>
              </w:rPr>
              <w:t>and</w:t>
            </w:r>
          </w:p>
        </w:tc>
        <w:tc>
          <w:tcPr>
            <w:tcW w:w="940" w:type="dxa"/>
            <w:vAlign w:val="bottom"/>
          </w:tcPr>
          <w:p>
            <w:pPr>
              <w:jc w:val="center"/>
              <w:spacing w:after="0"/>
              <w:rPr>
                <w:sz w:val="20"/>
                <w:szCs w:val="20"/>
                <w:color w:val="auto"/>
              </w:rPr>
            </w:pPr>
            <w:r>
              <w:rPr>
                <w:rFonts w:ascii="Arial" w:cs="Arial" w:eastAsia="Arial" w:hAnsi="Arial"/>
                <w:sz w:val="16"/>
                <w:szCs w:val="16"/>
                <w:color w:val="262626"/>
                <w:w w:val="89"/>
              </w:rPr>
              <w:t>4</w:t>
            </w:r>
          </w:p>
        </w:tc>
        <w:tc>
          <w:tcPr>
            <w:tcW w:w="0" w:type="dxa"/>
            <w:vAlign w:val="bottom"/>
          </w:tcPr>
          <w:p>
            <w:pPr>
              <w:spacing w:after="0"/>
              <w:rPr>
                <w:sz w:val="1"/>
                <w:szCs w:val="1"/>
                <w:color w:val="auto"/>
              </w:rPr>
            </w:pPr>
          </w:p>
        </w:tc>
      </w:tr>
      <w:tr>
        <w:trPr>
          <w:trHeight w:val="255"/>
        </w:trPr>
        <w:tc>
          <w:tcPr>
            <w:tcW w:w="1640" w:type="dxa"/>
            <w:vAlign w:val="bottom"/>
          </w:tcPr>
          <w:p>
            <w:pPr>
              <w:spacing w:after="0"/>
              <w:rPr>
                <w:sz w:val="20"/>
                <w:szCs w:val="20"/>
                <w:color w:val="auto"/>
              </w:rPr>
            </w:pPr>
            <w:r>
              <w:rPr>
                <w:rFonts w:ascii="Arial" w:cs="Arial" w:eastAsia="Arial" w:hAnsi="Arial"/>
                <w:sz w:val="16"/>
                <w:szCs w:val="16"/>
                <w:color w:val="262626"/>
              </w:rPr>
              <w:t>(Chair)</w:t>
            </w:r>
          </w:p>
        </w:tc>
        <w:tc>
          <w:tcPr>
            <w:tcW w:w="320" w:type="dxa"/>
            <w:vAlign w:val="bottom"/>
          </w:tcPr>
          <w:p>
            <w:pPr>
              <w:spacing w:after="0"/>
              <w:rPr>
                <w:sz w:val="22"/>
                <w:szCs w:val="22"/>
                <w:color w:val="auto"/>
              </w:rPr>
            </w:pPr>
          </w:p>
        </w:tc>
        <w:tc>
          <w:tcPr>
            <w:tcW w:w="5440" w:type="dxa"/>
            <w:vAlign w:val="bottom"/>
          </w:tcPr>
          <w:p>
            <w:pPr>
              <w:ind w:left="100"/>
              <w:spacing w:after="0"/>
              <w:rPr>
                <w:sz w:val="20"/>
                <w:szCs w:val="20"/>
                <w:color w:val="auto"/>
              </w:rPr>
            </w:pPr>
            <w:r>
              <w:rPr>
                <w:rFonts w:ascii="Arial" w:cs="Arial" w:eastAsia="Arial" w:hAnsi="Arial"/>
                <w:sz w:val="16"/>
                <w:szCs w:val="16"/>
                <w:color w:val="262626"/>
              </w:rPr>
              <w:t>procedures and develop recommendations for our Board</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1640" w:type="dxa"/>
            <w:vAlign w:val="bottom"/>
          </w:tcPr>
          <w:p>
            <w:pPr>
              <w:spacing w:after="0"/>
              <w:rPr>
                <w:sz w:val="20"/>
                <w:szCs w:val="20"/>
                <w:color w:val="auto"/>
              </w:rPr>
            </w:pPr>
            <w:r>
              <w:rPr>
                <w:rFonts w:ascii="Arial" w:cs="Arial" w:eastAsia="Arial" w:hAnsi="Arial"/>
                <w:sz w:val="16"/>
                <w:szCs w:val="16"/>
                <w:color w:val="262626"/>
              </w:rPr>
              <w:t>Gayla J. Delly</w:t>
            </w:r>
          </w:p>
        </w:tc>
        <w:tc>
          <w:tcPr>
            <w:tcW w:w="6120" w:type="dxa"/>
            <w:vAlign w:val="bottom"/>
            <w:gridSpan w:val="3"/>
            <w:vMerge w:val="restart"/>
          </w:tcPr>
          <w:p>
            <w:pPr>
              <w:ind w:left="160"/>
              <w:spacing w:after="0"/>
              <w:rPr>
                <w:sz w:val="20"/>
                <w:szCs w:val="20"/>
                <w:color w:val="auto"/>
              </w:rPr>
            </w:pPr>
            <w:r>
              <w:rPr>
                <w:rFonts w:ascii="Arial" w:cs="Arial" w:eastAsia="Arial" w:hAnsi="Arial"/>
                <w:sz w:val="16"/>
                <w:szCs w:val="16"/>
                <w:color w:val="262626"/>
              </w:rPr>
              <w:t>•  Identify, evaluate and recommend to our Board qualified director candidates for</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6120" w:type="dxa"/>
            <w:vAlign w:val="bottom"/>
            <w:gridSpan w:val="3"/>
            <w:vMerge w:val="continue"/>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1640" w:type="dxa"/>
            <w:vAlign w:val="bottom"/>
          </w:tcPr>
          <w:p>
            <w:pPr>
              <w:spacing w:after="0"/>
              <w:rPr>
                <w:sz w:val="20"/>
                <w:szCs w:val="20"/>
                <w:color w:val="auto"/>
              </w:rPr>
            </w:pPr>
            <w:r>
              <w:rPr>
                <w:rFonts w:ascii="Arial" w:cs="Arial" w:eastAsia="Arial" w:hAnsi="Arial"/>
                <w:sz w:val="16"/>
                <w:szCs w:val="16"/>
                <w:color w:val="262626"/>
              </w:rPr>
              <w:t>Check Kian Low</w:t>
            </w:r>
          </w:p>
        </w:tc>
        <w:tc>
          <w:tcPr>
            <w:tcW w:w="320" w:type="dxa"/>
            <w:vAlign w:val="bottom"/>
          </w:tcPr>
          <w:p>
            <w:pPr>
              <w:spacing w:after="0"/>
              <w:rPr>
                <w:sz w:val="23"/>
                <w:szCs w:val="23"/>
                <w:color w:val="auto"/>
              </w:rPr>
            </w:pPr>
          </w:p>
        </w:tc>
        <w:tc>
          <w:tcPr>
            <w:tcW w:w="5440" w:type="dxa"/>
            <w:vAlign w:val="bottom"/>
          </w:tcPr>
          <w:p>
            <w:pPr>
              <w:ind w:left="100"/>
              <w:spacing w:after="0"/>
              <w:rPr>
                <w:sz w:val="20"/>
                <w:szCs w:val="20"/>
                <w:color w:val="auto"/>
              </w:rPr>
            </w:pPr>
            <w:r>
              <w:rPr>
                <w:rFonts w:ascii="Arial" w:cs="Arial" w:eastAsia="Arial" w:hAnsi="Arial"/>
                <w:sz w:val="16"/>
                <w:szCs w:val="16"/>
                <w:color w:val="262626"/>
              </w:rPr>
              <w:t>election or to fill vacancies on our Board</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9"/>
        </w:trPr>
        <w:tc>
          <w:tcPr>
            <w:tcW w:w="1640" w:type="dxa"/>
            <w:vAlign w:val="bottom"/>
          </w:tcPr>
          <w:p>
            <w:pPr>
              <w:spacing w:after="0"/>
              <w:rPr>
                <w:sz w:val="24"/>
                <w:szCs w:val="24"/>
                <w:color w:val="auto"/>
              </w:rPr>
            </w:pPr>
          </w:p>
        </w:tc>
        <w:tc>
          <w:tcPr>
            <w:tcW w:w="320" w:type="dxa"/>
            <w:vAlign w:val="bottom"/>
          </w:tcPr>
          <w:p>
            <w:pPr>
              <w:ind w:left="160"/>
              <w:spacing w:after="0"/>
              <w:rPr>
                <w:sz w:val="20"/>
                <w:szCs w:val="20"/>
                <w:color w:val="auto"/>
              </w:rPr>
            </w:pPr>
            <w:r>
              <w:rPr>
                <w:rFonts w:ascii="Arial" w:cs="Arial" w:eastAsia="Arial" w:hAnsi="Arial"/>
                <w:sz w:val="16"/>
                <w:szCs w:val="16"/>
                <w:color w:val="262626"/>
              </w:rPr>
              <w:t>•</w:t>
            </w:r>
          </w:p>
        </w:tc>
        <w:tc>
          <w:tcPr>
            <w:tcW w:w="5440" w:type="dxa"/>
            <w:vAlign w:val="bottom"/>
          </w:tcPr>
          <w:p>
            <w:pPr>
              <w:ind w:left="100"/>
              <w:spacing w:after="0"/>
              <w:rPr>
                <w:sz w:val="20"/>
                <w:szCs w:val="20"/>
                <w:color w:val="auto"/>
              </w:rPr>
            </w:pPr>
            <w:r>
              <w:rPr>
                <w:rFonts w:ascii="Arial" w:cs="Arial" w:eastAsia="Arial" w:hAnsi="Arial"/>
                <w:sz w:val="16"/>
                <w:szCs w:val="16"/>
                <w:color w:val="262626"/>
              </w:rPr>
              <w:t>Assess director independence</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640" w:type="dxa"/>
            <w:vAlign w:val="bottom"/>
          </w:tcPr>
          <w:p>
            <w:pPr>
              <w:spacing w:after="0"/>
              <w:rPr>
                <w:sz w:val="24"/>
                <w:szCs w:val="24"/>
                <w:color w:val="auto"/>
              </w:rPr>
            </w:pPr>
          </w:p>
        </w:tc>
        <w:tc>
          <w:tcPr>
            <w:tcW w:w="5760" w:type="dxa"/>
            <w:vAlign w:val="bottom"/>
            <w:gridSpan w:val="2"/>
          </w:tcPr>
          <w:p>
            <w:pPr>
              <w:ind w:left="160"/>
              <w:spacing w:after="0"/>
              <w:rPr>
                <w:sz w:val="20"/>
                <w:szCs w:val="20"/>
                <w:color w:val="auto"/>
              </w:rPr>
            </w:pPr>
            <w:r>
              <w:rPr>
                <w:rFonts w:ascii="Arial" w:cs="Arial" w:eastAsia="Arial" w:hAnsi="Arial"/>
                <w:sz w:val="16"/>
                <w:szCs w:val="16"/>
                <w:color w:val="262626"/>
              </w:rPr>
              <w:t>•  Oversee the annual evaluation of our Board and its committees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640" w:type="dxa"/>
            <w:vAlign w:val="bottom"/>
          </w:tcPr>
          <w:p>
            <w:pPr>
              <w:spacing w:after="0"/>
              <w:rPr>
                <w:sz w:val="24"/>
                <w:szCs w:val="24"/>
                <w:color w:val="auto"/>
              </w:rPr>
            </w:pPr>
          </w:p>
        </w:tc>
        <w:tc>
          <w:tcPr>
            <w:tcW w:w="6120" w:type="dxa"/>
            <w:vAlign w:val="bottom"/>
            <w:gridSpan w:val="3"/>
          </w:tcPr>
          <w:p>
            <w:pPr>
              <w:ind w:left="160"/>
              <w:spacing w:after="0"/>
              <w:rPr>
                <w:sz w:val="20"/>
                <w:szCs w:val="20"/>
                <w:color w:val="auto"/>
              </w:rPr>
            </w:pPr>
            <w:r>
              <w:rPr>
                <w:rFonts w:ascii="Arial" w:cs="Arial" w:eastAsia="Arial" w:hAnsi="Arial"/>
                <w:sz w:val="16"/>
                <w:szCs w:val="16"/>
                <w:color w:val="262626"/>
              </w:rPr>
              <w:t>•  Consider stockholder proposals submitted for consideration at the annual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40" w:type="dxa"/>
            <w:vAlign w:val="bottom"/>
          </w:tcPr>
          <w:p>
            <w:pPr>
              <w:ind w:left="100"/>
              <w:spacing w:after="0"/>
              <w:rPr>
                <w:sz w:val="20"/>
                <w:szCs w:val="20"/>
                <w:color w:val="auto"/>
              </w:rPr>
            </w:pPr>
            <w:r>
              <w:rPr>
                <w:rFonts w:ascii="Arial" w:cs="Arial" w:eastAsia="Arial" w:hAnsi="Arial"/>
                <w:sz w:val="16"/>
                <w:szCs w:val="16"/>
                <w:color w:val="262626"/>
              </w:rPr>
              <w:t>meeting of stockholders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2"/>
        </w:trPr>
        <w:tc>
          <w:tcPr>
            <w:tcW w:w="1640" w:type="dxa"/>
            <w:vAlign w:val="bottom"/>
          </w:tcPr>
          <w:p>
            <w:pPr>
              <w:spacing w:after="0"/>
              <w:rPr>
                <w:sz w:val="24"/>
                <w:szCs w:val="24"/>
                <w:color w:val="auto"/>
              </w:rPr>
            </w:pPr>
          </w:p>
        </w:tc>
        <w:tc>
          <w:tcPr>
            <w:tcW w:w="6120" w:type="dxa"/>
            <w:vAlign w:val="bottom"/>
            <w:gridSpan w:val="3"/>
          </w:tcPr>
          <w:p>
            <w:pPr>
              <w:ind w:left="160"/>
              <w:spacing w:after="0"/>
              <w:rPr>
                <w:sz w:val="20"/>
                <w:szCs w:val="20"/>
                <w:color w:val="auto"/>
              </w:rPr>
            </w:pPr>
            <w:r>
              <w:rPr>
                <w:rFonts w:ascii="Arial" w:cs="Arial" w:eastAsia="Arial" w:hAnsi="Arial"/>
                <w:sz w:val="16"/>
                <w:szCs w:val="16"/>
                <w:color w:val="262626"/>
              </w:rPr>
              <w:t>•  Periodically assess director continuing education with respect to the business,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40" w:type="dxa"/>
            <w:vAlign w:val="bottom"/>
          </w:tcPr>
          <w:p>
            <w:pPr>
              <w:ind w:left="100"/>
              <w:spacing w:after="0"/>
              <w:rPr>
                <w:sz w:val="20"/>
                <w:szCs w:val="20"/>
                <w:color w:val="auto"/>
              </w:rPr>
            </w:pPr>
            <w:r>
              <w:rPr>
                <w:rFonts w:ascii="Arial" w:cs="Arial" w:eastAsia="Arial" w:hAnsi="Arial"/>
                <w:sz w:val="16"/>
                <w:szCs w:val="16"/>
                <w:color w:val="262626"/>
              </w:rPr>
              <w:t>financial statements, corporate governance and other appropriate subjects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2"/>
        </w:trPr>
        <w:tc>
          <w:tcPr>
            <w:tcW w:w="1640" w:type="dxa"/>
            <w:vAlign w:val="bottom"/>
          </w:tcPr>
          <w:p>
            <w:pPr>
              <w:spacing w:after="0"/>
              <w:rPr>
                <w:sz w:val="24"/>
                <w:szCs w:val="24"/>
                <w:color w:val="auto"/>
              </w:rPr>
            </w:pPr>
          </w:p>
        </w:tc>
        <w:tc>
          <w:tcPr>
            <w:tcW w:w="5760" w:type="dxa"/>
            <w:vAlign w:val="bottom"/>
            <w:gridSpan w:val="2"/>
          </w:tcPr>
          <w:p>
            <w:pPr>
              <w:ind w:left="160"/>
              <w:spacing w:after="0"/>
              <w:rPr>
                <w:sz w:val="20"/>
                <w:szCs w:val="20"/>
                <w:color w:val="auto"/>
              </w:rPr>
            </w:pPr>
            <w:r>
              <w:rPr>
                <w:rFonts w:ascii="Arial" w:cs="Arial" w:eastAsia="Arial" w:hAnsi="Arial"/>
                <w:sz w:val="16"/>
                <w:szCs w:val="16"/>
                <w:color w:val="262626"/>
              </w:rPr>
              <w:t>•  Periodically review and assess the Corporate Governance Guidelines</w:t>
            </w:r>
          </w:p>
        </w:tc>
        <w:tc>
          <w:tcPr>
            <w:tcW w:w="360" w:type="dxa"/>
            <w:vAlign w:val="bottom"/>
          </w:tcPr>
          <w:p>
            <w:pPr>
              <w:ind w:left="40"/>
              <w:spacing w:after="0"/>
              <w:rPr>
                <w:sz w:val="20"/>
                <w:szCs w:val="20"/>
                <w:color w:val="auto"/>
              </w:rPr>
            </w:pPr>
            <w:r>
              <w:rPr>
                <w:rFonts w:ascii="Arial" w:cs="Arial" w:eastAsia="Arial" w:hAnsi="Arial"/>
                <w:sz w:val="16"/>
                <w:szCs w:val="16"/>
                <w:color w:val="262626"/>
              </w:rPr>
              <w:t>and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40" w:type="dxa"/>
            <w:vAlign w:val="bottom"/>
          </w:tcPr>
          <w:p>
            <w:pPr>
              <w:ind w:left="100"/>
              <w:spacing w:after="0"/>
              <w:rPr>
                <w:sz w:val="20"/>
                <w:szCs w:val="20"/>
                <w:color w:val="auto"/>
              </w:rPr>
            </w:pPr>
            <w:r>
              <w:rPr>
                <w:rFonts w:ascii="Arial" w:cs="Arial" w:eastAsia="Arial" w:hAnsi="Arial"/>
                <w:sz w:val="16"/>
                <w:szCs w:val="16"/>
                <w:color w:val="262626"/>
              </w:rPr>
              <w:t>recommend changes to our Board</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2"/>
        </w:trPr>
        <w:tc>
          <w:tcPr>
            <w:tcW w:w="1640" w:type="dxa"/>
            <w:vAlign w:val="bottom"/>
          </w:tcPr>
          <w:p>
            <w:pPr>
              <w:spacing w:after="0"/>
              <w:rPr>
                <w:sz w:val="24"/>
                <w:szCs w:val="24"/>
                <w:color w:val="auto"/>
              </w:rPr>
            </w:pPr>
          </w:p>
        </w:tc>
        <w:tc>
          <w:tcPr>
            <w:tcW w:w="320" w:type="dxa"/>
            <w:vAlign w:val="bottom"/>
          </w:tcPr>
          <w:p>
            <w:pPr>
              <w:ind w:left="160"/>
              <w:spacing w:after="0"/>
              <w:rPr>
                <w:sz w:val="20"/>
                <w:szCs w:val="20"/>
                <w:color w:val="auto"/>
              </w:rPr>
            </w:pPr>
            <w:r>
              <w:rPr>
                <w:rFonts w:ascii="Arial" w:cs="Arial" w:eastAsia="Arial" w:hAnsi="Arial"/>
                <w:sz w:val="16"/>
                <w:szCs w:val="16"/>
                <w:color w:val="262626"/>
              </w:rPr>
              <w:t>•</w:t>
            </w:r>
          </w:p>
        </w:tc>
        <w:tc>
          <w:tcPr>
            <w:tcW w:w="5800" w:type="dxa"/>
            <w:vAlign w:val="bottom"/>
            <w:gridSpan w:val="2"/>
          </w:tcPr>
          <w:p>
            <w:pPr>
              <w:ind w:left="100"/>
              <w:spacing w:after="0"/>
              <w:rPr>
                <w:sz w:val="20"/>
                <w:szCs w:val="20"/>
                <w:color w:val="auto"/>
              </w:rPr>
            </w:pPr>
            <w:r>
              <w:rPr>
                <w:rFonts w:ascii="Arial" w:cs="Arial" w:eastAsia="Arial" w:hAnsi="Arial"/>
                <w:sz w:val="16"/>
                <w:szCs w:val="16"/>
                <w:color w:val="262626"/>
              </w:rPr>
              <w:t>Oversee  our  corporate  responsibility  program  and  initiatives,  including</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40" w:type="dxa"/>
            <w:vAlign w:val="bottom"/>
          </w:tcPr>
          <w:p>
            <w:pPr>
              <w:ind w:left="100"/>
              <w:spacing w:after="0"/>
              <w:rPr>
                <w:sz w:val="20"/>
                <w:szCs w:val="20"/>
                <w:color w:val="auto"/>
              </w:rPr>
            </w:pPr>
            <w:r>
              <w:rPr>
                <w:rFonts w:ascii="Arial" w:cs="Arial" w:eastAsia="Arial" w:hAnsi="Arial"/>
                <w:sz w:val="16"/>
                <w:szCs w:val="16"/>
                <w:color w:val="262626"/>
              </w:rPr>
              <w:t>governance, human rights in supply chain and climate-related matters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Executive Committee</w:t>
      </w:r>
    </w:p>
    <w:p>
      <w:pPr>
        <w:spacing w:after="0" w:line="175" w:lineRule="exact"/>
        <w:rPr>
          <w:sz w:val="20"/>
          <w:szCs w:val="20"/>
          <w:color w:val="auto"/>
        </w:rPr>
      </w:pPr>
    </w:p>
    <w:p>
      <w:pPr>
        <w:jc w:val="both"/>
        <w:ind w:left="1280" w:right="159"/>
        <w:spacing w:after="0" w:line="353" w:lineRule="auto"/>
        <w:rPr>
          <w:sz w:val="20"/>
          <w:szCs w:val="20"/>
          <w:color w:val="auto"/>
        </w:rPr>
      </w:pPr>
      <w:r>
        <w:rPr>
          <w:rFonts w:ascii="Arial" w:cs="Arial" w:eastAsia="Arial" w:hAnsi="Arial"/>
          <w:sz w:val="16"/>
          <w:szCs w:val="16"/>
          <w:color w:val="262626"/>
        </w:rPr>
        <w:t>The Executive Committee is comprised of our CEO, the Chairman of the Board and such other directors as our Board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57150</wp:posOffset>
            </wp:positionV>
            <wp:extent cx="55225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90"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1260" w:type="dxa"/>
            <w:vAlign w:val="bottom"/>
            <w:vMerge w:val="restart"/>
          </w:tcPr>
          <w:p>
            <w:pPr>
              <w:spacing w:after="0"/>
              <w:rPr>
                <w:sz w:val="20"/>
                <w:szCs w:val="20"/>
                <w:color w:val="auto"/>
              </w:rPr>
            </w:pPr>
            <w:r>
              <w:rPr>
                <w:rFonts w:ascii="Arial" w:cs="Arial" w:eastAsia="Arial" w:hAnsi="Arial"/>
                <w:sz w:val="16"/>
                <w:szCs w:val="16"/>
                <w:b w:val="1"/>
                <w:bCs w:val="1"/>
                <w:color w:val="262626"/>
              </w:rPr>
              <w:t>Members</w:t>
            </w:r>
          </w:p>
        </w:tc>
        <w:tc>
          <w:tcPr>
            <w:tcW w:w="4480" w:type="dxa"/>
            <w:vAlign w:val="bottom"/>
            <w:vMerge w:val="restart"/>
          </w:tcPr>
          <w:p>
            <w:pPr>
              <w:ind w:left="540"/>
              <w:spacing w:after="0"/>
              <w:rPr>
                <w:sz w:val="20"/>
                <w:szCs w:val="20"/>
                <w:color w:val="auto"/>
              </w:rPr>
            </w:pPr>
            <w:r>
              <w:rPr>
                <w:rFonts w:ascii="Arial" w:cs="Arial" w:eastAsia="Arial" w:hAnsi="Arial"/>
                <w:sz w:val="16"/>
                <w:szCs w:val="16"/>
                <w:b w:val="1"/>
                <w:bCs w:val="1"/>
                <w:color w:val="262626"/>
              </w:rPr>
              <w:t>Primary Responsibilities</w:t>
            </w:r>
          </w:p>
        </w:tc>
        <w:tc>
          <w:tcPr>
            <w:tcW w:w="2940" w:type="dxa"/>
            <w:vAlign w:val="bottom"/>
          </w:tcPr>
          <w:p>
            <w:pPr>
              <w:ind w:left="2060"/>
              <w:spacing w:after="0"/>
              <w:rPr>
                <w:sz w:val="20"/>
                <w:szCs w:val="20"/>
                <w:color w:val="auto"/>
              </w:rPr>
            </w:pPr>
            <w:r>
              <w:rPr>
                <w:rFonts w:ascii="Arial" w:cs="Arial" w:eastAsia="Arial" w:hAnsi="Arial"/>
                <w:sz w:val="16"/>
                <w:szCs w:val="16"/>
                <w:b w:val="1"/>
                <w:bCs w:val="1"/>
                <w:color w:val="262626"/>
                <w:w w:val="97"/>
              </w:rPr>
              <w:t>Meetings in</w:t>
            </w:r>
          </w:p>
        </w:tc>
        <w:tc>
          <w:tcPr>
            <w:tcW w:w="0" w:type="dxa"/>
            <w:vAlign w:val="bottom"/>
          </w:tcPr>
          <w:p>
            <w:pPr>
              <w:spacing w:after="0"/>
              <w:rPr>
                <w:sz w:val="1"/>
                <w:szCs w:val="1"/>
                <w:color w:val="auto"/>
              </w:rPr>
            </w:pPr>
          </w:p>
        </w:tc>
      </w:tr>
      <w:tr>
        <w:trPr>
          <w:trHeight w:val="101"/>
        </w:trPr>
        <w:tc>
          <w:tcPr>
            <w:tcW w:w="1260" w:type="dxa"/>
            <w:vAlign w:val="bottom"/>
            <w:vMerge w:val="continue"/>
          </w:tcPr>
          <w:p>
            <w:pPr>
              <w:spacing w:after="0"/>
              <w:rPr>
                <w:sz w:val="8"/>
                <w:szCs w:val="8"/>
                <w:color w:val="auto"/>
              </w:rPr>
            </w:pPr>
          </w:p>
        </w:tc>
        <w:tc>
          <w:tcPr>
            <w:tcW w:w="4480" w:type="dxa"/>
            <w:vAlign w:val="bottom"/>
            <w:vMerge w:val="continue"/>
          </w:tcPr>
          <w:p>
            <w:pPr>
              <w:spacing w:after="0"/>
              <w:rPr>
                <w:sz w:val="8"/>
                <w:szCs w:val="8"/>
                <w:color w:val="auto"/>
              </w:rPr>
            </w:pPr>
          </w:p>
        </w:tc>
        <w:tc>
          <w:tcPr>
            <w:tcW w:w="2940" w:type="dxa"/>
            <w:vAlign w:val="bottom"/>
            <w:vMerge w:val="restart"/>
          </w:tcPr>
          <w:p>
            <w:pPr>
              <w:ind w:left="2060"/>
              <w:spacing w:after="0"/>
              <w:rPr>
                <w:sz w:val="20"/>
                <w:szCs w:val="20"/>
                <w:color w:val="auto"/>
              </w:rPr>
            </w:pPr>
            <w:r>
              <w:rPr>
                <w:rFonts w:ascii="Arial" w:cs="Arial" w:eastAsia="Arial" w:hAnsi="Arial"/>
                <w:sz w:val="16"/>
                <w:szCs w:val="16"/>
                <w:b w:val="1"/>
                <w:bCs w:val="1"/>
                <w:color w:val="262626"/>
              </w:rPr>
              <w:t>Fiscal 2025</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38735</wp:posOffset>
            </wp:positionV>
            <wp:extent cx="55225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p>
      <w:pPr>
        <w:spacing w:after="0" w:line="127"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Henry Samueli, Ph.D.</w:t>
      </w:r>
    </w:p>
    <w:p>
      <w:pPr>
        <w:spacing w:after="0" w:line="58"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(Chair)</w:t>
      </w:r>
    </w:p>
    <w:p>
      <w:pPr>
        <w:spacing w:after="0" w:line="138"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Gayla J. Delly</w:t>
      </w:r>
    </w:p>
    <w:p>
      <w:pPr>
        <w:spacing w:after="0" w:line="138"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Eddy W. Hartenstein</w:t>
      </w:r>
    </w:p>
    <w:p>
      <w:pPr>
        <w:spacing w:after="0" w:line="125"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Hock E. Tan</w:t>
      </w:r>
    </w:p>
    <w:p>
      <w:pPr>
        <w:spacing w:after="0" w:line="138"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Harry L. You</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060" w:type="dxa"/>
            <w:vAlign w:val="bottom"/>
          </w:tcPr>
          <w:p>
            <w:pPr>
              <w:spacing w:after="0"/>
              <w:rPr>
                <w:sz w:val="20"/>
                <w:szCs w:val="20"/>
                <w:color w:val="auto"/>
              </w:rPr>
            </w:pPr>
            <w:r>
              <w:rPr>
                <w:rFonts w:ascii="Arial" w:cs="Arial" w:eastAsia="Arial" w:hAnsi="Arial"/>
                <w:sz w:val="16"/>
                <w:szCs w:val="16"/>
                <w:color w:val="262626"/>
              </w:rPr>
              <w:t>Review and approve, subject to specified limitations:</w:t>
            </w:r>
          </w:p>
        </w:tc>
        <w:tc>
          <w:tcPr>
            <w:tcW w:w="1420" w:type="dxa"/>
            <w:vAlign w:val="bottom"/>
          </w:tcPr>
          <w:p>
            <w:pPr>
              <w:jc w:val="right"/>
              <w:spacing w:after="0"/>
              <w:rPr>
                <w:sz w:val="20"/>
                <w:szCs w:val="20"/>
                <w:color w:val="auto"/>
              </w:rPr>
            </w:pPr>
            <w:r>
              <w:rPr>
                <w:rFonts w:ascii="Arial" w:cs="Arial" w:eastAsia="Arial" w:hAnsi="Arial"/>
                <w:sz w:val="16"/>
                <w:szCs w:val="16"/>
                <w:color w:val="262626"/>
              </w:rPr>
              <w:t>0</w:t>
            </w:r>
          </w:p>
        </w:tc>
      </w:tr>
    </w:tbl>
    <w:p>
      <w:pPr>
        <w:spacing w:after="0" w:line="149" w:lineRule="exact"/>
        <w:rPr>
          <w:sz w:val="20"/>
          <w:szCs w:val="20"/>
          <w:color w:val="auto"/>
        </w:rPr>
      </w:pPr>
    </w:p>
    <w:p>
      <w:pPr>
        <w:ind w:left="500" w:hanging="251"/>
        <w:spacing w:after="0"/>
        <w:tabs>
          <w:tab w:leader="none" w:pos="500" w:val="left"/>
        </w:tabs>
        <w:numPr>
          <w:ilvl w:val="0"/>
          <w:numId w:val="9"/>
        </w:numPr>
        <w:rPr>
          <w:rFonts w:ascii="Arial" w:cs="Arial" w:eastAsia="Arial" w:hAnsi="Arial"/>
          <w:sz w:val="16"/>
          <w:szCs w:val="16"/>
          <w:color w:val="262626"/>
        </w:rPr>
      </w:pPr>
      <w:r>
        <w:rPr>
          <w:rFonts w:ascii="Arial" w:cs="Arial" w:eastAsia="Arial" w:hAnsi="Arial"/>
          <w:sz w:val="16"/>
          <w:szCs w:val="16"/>
          <w:color w:val="262626"/>
        </w:rPr>
        <w:t>investments, acquisitions, dispositions and capital expenditures</w:t>
      </w:r>
    </w:p>
    <w:p>
      <w:pPr>
        <w:spacing w:after="0" w:line="191" w:lineRule="exact"/>
        <w:rPr>
          <w:rFonts w:ascii="Arial" w:cs="Arial" w:eastAsia="Arial" w:hAnsi="Arial"/>
          <w:sz w:val="16"/>
          <w:szCs w:val="16"/>
          <w:color w:val="262626"/>
        </w:rPr>
      </w:pPr>
    </w:p>
    <w:p>
      <w:pPr>
        <w:jc w:val="both"/>
        <w:ind w:left="500" w:right="1159" w:hanging="251"/>
        <w:spacing w:after="0" w:line="352" w:lineRule="auto"/>
        <w:tabs>
          <w:tab w:leader="none" w:pos="500" w:val="left"/>
        </w:tabs>
        <w:numPr>
          <w:ilvl w:val="0"/>
          <w:numId w:val="9"/>
        </w:numPr>
        <w:rPr>
          <w:rFonts w:ascii="Arial" w:cs="Arial" w:eastAsia="Arial" w:hAnsi="Arial"/>
          <w:sz w:val="16"/>
          <w:szCs w:val="16"/>
          <w:color w:val="262626"/>
        </w:rPr>
      </w:pPr>
      <w:r>
        <w:rPr>
          <w:rFonts w:ascii="Arial" w:cs="Arial" w:eastAsia="Arial" w:hAnsi="Arial"/>
          <w:sz w:val="16"/>
          <w:szCs w:val="16"/>
          <w:color w:val="262626"/>
        </w:rPr>
        <w:t>new or incremental debt financings or borrowings, or amendments thereto, or refinancings thereof, including convertible debt, bond financing and commercial paper</w:t>
      </w:r>
    </w:p>
    <w:p>
      <w:pPr>
        <w:spacing w:after="0" w:line="62" w:lineRule="exact"/>
        <w:rPr>
          <w:rFonts w:ascii="Arial" w:cs="Arial" w:eastAsia="Arial" w:hAnsi="Arial"/>
          <w:sz w:val="16"/>
          <w:szCs w:val="16"/>
          <w:color w:val="262626"/>
        </w:rPr>
      </w:pPr>
    </w:p>
    <w:p>
      <w:pPr>
        <w:ind w:left="500" w:hanging="251"/>
        <w:spacing w:after="0"/>
        <w:tabs>
          <w:tab w:leader="none" w:pos="500" w:val="left"/>
        </w:tabs>
        <w:numPr>
          <w:ilvl w:val="0"/>
          <w:numId w:val="9"/>
        </w:numPr>
        <w:rPr>
          <w:rFonts w:ascii="Arial" w:cs="Arial" w:eastAsia="Arial" w:hAnsi="Arial"/>
          <w:sz w:val="16"/>
          <w:szCs w:val="16"/>
          <w:color w:val="262626"/>
        </w:rPr>
      </w:pPr>
      <w:r>
        <w:rPr>
          <w:rFonts w:ascii="Arial" w:cs="Arial" w:eastAsia="Arial" w:hAnsi="Arial"/>
          <w:sz w:val="16"/>
          <w:szCs w:val="16"/>
          <w:color w:val="262626"/>
        </w:rPr>
        <w:t>treasury, cash management and other banking matters</w:t>
      </w:r>
    </w:p>
    <w:p>
      <w:pPr>
        <w:spacing w:after="0" w:line="192" w:lineRule="exact"/>
        <w:rPr>
          <w:sz w:val="20"/>
          <w:szCs w:val="20"/>
          <w:color w:val="auto"/>
        </w:rPr>
      </w:pPr>
    </w:p>
    <w:p>
      <w:pPr>
        <w:sectPr>
          <w:pgSz w:w="11900" w:h="16838" w:orient="portrait"/>
          <w:cols w:equalWidth="0" w:num="2">
            <w:col w:w="2820" w:space="260"/>
            <w:col w:w="7059"/>
          </w:cols>
          <w:pgMar w:left="320" w:top="480" w:right="1440" w:bottom="1440" w:gutter="0" w:footer="0" w:header="0"/>
          <w:type w:val="continuous"/>
        </w:sectPr>
      </w:pPr>
    </w:p>
    <w:p>
      <w:pPr>
        <w:ind w:left="3080" w:right="1159"/>
        <w:spacing w:after="0" w:line="371" w:lineRule="auto"/>
        <w:rPr>
          <w:sz w:val="20"/>
          <w:szCs w:val="20"/>
          <w:color w:val="auto"/>
        </w:rPr>
      </w:pPr>
      <w:r>
        <w:rPr>
          <w:rFonts w:ascii="Arial" w:cs="Arial" w:eastAsia="Arial" w:hAnsi="Arial"/>
          <w:sz w:val="16"/>
          <w:szCs w:val="16"/>
          <w:color w:val="262626"/>
        </w:rPr>
        <w:t>Review and provide recommendations to our Board on matters requiring full Board approval, including:</w:t>
      </w:r>
    </w:p>
    <w:p>
      <w:pPr>
        <w:spacing w:after="0" w:line="62" w:lineRule="exact"/>
        <w:rPr>
          <w:sz w:val="20"/>
          <w:szCs w:val="20"/>
          <w:color w:val="auto"/>
        </w:rPr>
      </w:pPr>
    </w:p>
    <w:p>
      <w:pPr>
        <w:ind w:left="3580" w:right="1159" w:hanging="251"/>
        <w:spacing w:after="0" w:line="353" w:lineRule="auto"/>
        <w:tabs>
          <w:tab w:leader="none" w:pos="3580" w:val="left"/>
        </w:tabs>
        <w:numPr>
          <w:ilvl w:val="0"/>
          <w:numId w:val="10"/>
        </w:numPr>
        <w:rPr>
          <w:rFonts w:ascii="Arial" w:cs="Arial" w:eastAsia="Arial" w:hAnsi="Arial"/>
          <w:sz w:val="16"/>
          <w:szCs w:val="16"/>
          <w:color w:val="262626"/>
        </w:rPr>
      </w:pPr>
      <w:r>
        <w:rPr>
          <w:rFonts w:ascii="Arial" w:cs="Arial" w:eastAsia="Arial" w:hAnsi="Arial"/>
          <w:sz w:val="16"/>
          <w:szCs w:val="16"/>
          <w:color w:val="262626"/>
        </w:rPr>
        <w:t>business opportunities, strategies and proposals, and other strategic matters</w:t>
      </w:r>
    </w:p>
    <w:p>
      <w:pPr>
        <w:spacing w:after="0" w:line="76" w:lineRule="exact"/>
        <w:rPr>
          <w:rFonts w:ascii="Arial" w:cs="Arial" w:eastAsia="Arial" w:hAnsi="Arial"/>
          <w:sz w:val="16"/>
          <w:szCs w:val="16"/>
          <w:color w:val="262626"/>
        </w:rPr>
      </w:pPr>
    </w:p>
    <w:p>
      <w:pPr>
        <w:ind w:left="3580" w:right="1159" w:hanging="251"/>
        <w:spacing w:after="0" w:line="353" w:lineRule="auto"/>
        <w:tabs>
          <w:tab w:leader="none" w:pos="3580" w:val="left"/>
        </w:tabs>
        <w:numPr>
          <w:ilvl w:val="0"/>
          <w:numId w:val="10"/>
        </w:numPr>
        <w:rPr>
          <w:rFonts w:ascii="Arial" w:cs="Arial" w:eastAsia="Arial" w:hAnsi="Arial"/>
          <w:sz w:val="16"/>
          <w:szCs w:val="16"/>
          <w:color w:val="262626"/>
        </w:rPr>
      </w:pPr>
      <w:r>
        <w:rPr>
          <w:rFonts w:ascii="Arial" w:cs="Arial" w:eastAsia="Arial" w:hAnsi="Arial"/>
          <w:sz w:val="16"/>
          <w:szCs w:val="16"/>
          <w:color w:val="262626"/>
        </w:rPr>
        <w:t>business plans, annual budgets, targets, operational plans, capital structure and dividend policy</w:t>
      </w:r>
    </w:p>
    <w:p>
      <w:pPr>
        <w:spacing w:after="0" w:line="76" w:lineRule="exact"/>
        <w:rPr>
          <w:rFonts w:ascii="Arial" w:cs="Arial" w:eastAsia="Arial" w:hAnsi="Arial"/>
          <w:sz w:val="16"/>
          <w:szCs w:val="16"/>
          <w:color w:val="262626"/>
        </w:rPr>
      </w:pPr>
    </w:p>
    <w:p>
      <w:pPr>
        <w:ind w:left="3580" w:hanging="251"/>
        <w:spacing w:after="0"/>
        <w:tabs>
          <w:tab w:leader="none" w:pos="3580" w:val="left"/>
        </w:tabs>
        <w:numPr>
          <w:ilvl w:val="0"/>
          <w:numId w:val="10"/>
        </w:numPr>
        <w:rPr>
          <w:rFonts w:ascii="Arial" w:cs="Arial" w:eastAsia="Arial" w:hAnsi="Arial"/>
          <w:sz w:val="16"/>
          <w:szCs w:val="16"/>
          <w:color w:val="262626"/>
        </w:rPr>
      </w:pPr>
      <w:r>
        <w:rPr>
          <w:rFonts w:ascii="Arial" w:cs="Arial" w:eastAsia="Arial" w:hAnsi="Arial"/>
          <w:sz w:val="16"/>
          <w:szCs w:val="16"/>
          <w:color w:val="262626"/>
        </w:rPr>
        <w:t>proposed transactions that exceed their approval thresholds</w:t>
      </w:r>
    </w:p>
    <w:p>
      <w:pPr>
        <w:spacing w:after="0" w:line="191" w:lineRule="exact"/>
        <w:rPr>
          <w:rFonts w:ascii="Arial" w:cs="Arial" w:eastAsia="Arial" w:hAnsi="Arial"/>
          <w:sz w:val="16"/>
          <w:szCs w:val="16"/>
          <w:color w:val="262626"/>
        </w:rPr>
      </w:pPr>
    </w:p>
    <w:p>
      <w:pPr>
        <w:ind w:left="3580" w:hanging="251"/>
        <w:spacing w:after="0"/>
        <w:tabs>
          <w:tab w:leader="none" w:pos="3580" w:val="left"/>
        </w:tabs>
        <w:numPr>
          <w:ilvl w:val="0"/>
          <w:numId w:val="10"/>
        </w:numPr>
        <w:rPr>
          <w:rFonts w:ascii="Arial" w:cs="Arial" w:eastAsia="Arial" w:hAnsi="Arial"/>
          <w:sz w:val="16"/>
          <w:szCs w:val="16"/>
          <w:color w:val="262626"/>
        </w:rPr>
      </w:pPr>
      <w:r>
        <w:rPr>
          <w:rFonts w:ascii="Arial" w:cs="Arial" w:eastAsia="Arial" w:hAnsi="Arial"/>
          <w:sz w:val="16"/>
          <w:szCs w:val="16"/>
          <w:color w:val="262626"/>
        </w:rPr>
        <w:t>efficient organization and management structure of Broadcom</w:t>
      </w:r>
    </w:p>
    <w:p>
      <w:pPr>
        <w:spacing w:after="0" w:line="189" w:lineRule="exact"/>
        <w:rPr>
          <w:sz w:val="20"/>
          <w:szCs w:val="20"/>
          <w:color w:val="auto"/>
        </w:rPr>
      </w:pPr>
    </w:p>
    <w:p>
      <w:pPr>
        <w:jc w:val="right"/>
        <w:ind w:right="159"/>
        <w:spacing w:after="0"/>
        <w:rPr>
          <w:sz w:val="20"/>
          <w:szCs w:val="20"/>
          <w:color w:val="auto"/>
        </w:rPr>
      </w:pPr>
      <w:r>
        <w:rPr>
          <w:rFonts w:ascii="Arial" w:cs="Arial" w:eastAsia="Arial" w:hAnsi="Arial"/>
          <w:sz w:val="15"/>
          <w:szCs w:val="15"/>
          <w:color w:val="262626"/>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DIRECTOR COMPENSATION</w:t>
      </w:r>
    </w:p>
    <w:p>
      <w:pPr>
        <w:spacing w:after="0" w:line="200"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On an annual basis, the Compensation Committee reviews the non-employee director compensation, with input from its independent compensation consultant regarding market practice and the competitiveness of the non-employee director compensation. Our Board approves any changes to the non-employee director compensation after considering the recommendations of the Compensation Committee and based on its own review. Our non-employee directors receive cash and equity compensation in consideration for their service on our Board, as set forth in more detail below. Our non-employee directors do not participate in any company pension plan or deferred compensation plan. We do not compensate Mr. Tan for his service on our Board or any committee of our Board.</w:t>
      </w:r>
    </w:p>
    <w:p>
      <w:pPr>
        <w:spacing w:after="0" w:line="138"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Cash Compensation</w:t>
      </w:r>
    </w:p>
    <w:p>
      <w:pPr>
        <w:spacing w:after="0" w:line="175"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For fiscal 2025, our non-employee directors were entitled to receive the following annual cash compensation, payable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40005</wp:posOffset>
            </wp:positionV>
            <wp:extent cx="55225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63"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6080" w:type="dxa"/>
            <w:vAlign w:val="bottom"/>
          </w:tcPr>
          <w:p>
            <w:pPr>
              <w:spacing w:after="0"/>
              <w:rPr>
                <w:sz w:val="20"/>
                <w:szCs w:val="20"/>
                <w:color w:val="auto"/>
              </w:rPr>
            </w:pPr>
            <w:r>
              <w:rPr>
                <w:rFonts w:ascii="Arial" w:cs="Arial" w:eastAsia="Arial" w:hAnsi="Arial"/>
                <w:sz w:val="16"/>
                <w:szCs w:val="16"/>
                <w:b w:val="1"/>
                <w:bCs w:val="1"/>
                <w:color w:val="262626"/>
              </w:rPr>
              <w:t>Pay Component</w:t>
            </w:r>
          </w:p>
        </w:tc>
        <w:tc>
          <w:tcPr>
            <w:tcW w:w="2620" w:type="dxa"/>
            <w:vAlign w:val="bottom"/>
          </w:tcPr>
          <w:p>
            <w:pPr>
              <w:jc w:val="center"/>
              <w:ind w:left="1419"/>
              <w:spacing w:after="0"/>
              <w:rPr>
                <w:sz w:val="20"/>
                <w:szCs w:val="20"/>
                <w:color w:val="auto"/>
              </w:rPr>
            </w:pPr>
            <w:r>
              <w:rPr>
                <w:rFonts w:ascii="Arial" w:cs="Arial" w:eastAsia="Arial" w:hAnsi="Arial"/>
                <w:sz w:val="16"/>
                <w:szCs w:val="16"/>
                <w:b w:val="1"/>
                <w:bCs w:val="1"/>
                <w:color w:val="262626"/>
              </w:rPr>
              <w:t>Annual Fees</w:t>
            </w:r>
          </w:p>
        </w:tc>
      </w:tr>
      <w:tr>
        <w:trPr>
          <w:trHeight w:val="61"/>
        </w:trPr>
        <w:tc>
          <w:tcPr>
            <w:tcW w:w="6080" w:type="dxa"/>
            <w:vAlign w:val="bottom"/>
            <w:tcBorders>
              <w:bottom w:val="single" w:sz="8" w:color="CF0A2C"/>
            </w:tcBorders>
          </w:tcPr>
          <w:p>
            <w:pPr>
              <w:spacing w:after="0"/>
              <w:rPr>
                <w:sz w:val="5"/>
                <w:szCs w:val="5"/>
                <w:color w:val="auto"/>
              </w:rPr>
            </w:pPr>
          </w:p>
        </w:tc>
        <w:tc>
          <w:tcPr>
            <w:tcW w:w="2620" w:type="dxa"/>
            <w:vAlign w:val="bottom"/>
            <w:tcBorders>
              <w:bottom w:val="single" w:sz="8" w:color="CF0A2C"/>
            </w:tcBorders>
          </w:tcPr>
          <w:p>
            <w:pPr>
              <w:spacing w:after="0"/>
              <w:rPr>
                <w:sz w:val="5"/>
                <w:szCs w:val="5"/>
                <w:color w:val="auto"/>
              </w:rPr>
            </w:pPr>
          </w:p>
        </w:tc>
      </w:tr>
      <w:tr>
        <w:trPr>
          <w:trHeight w:val="314"/>
        </w:trPr>
        <w:tc>
          <w:tcPr>
            <w:tcW w:w="6080" w:type="dxa"/>
            <w:vAlign w:val="bottom"/>
          </w:tcPr>
          <w:p>
            <w:pPr>
              <w:spacing w:after="0"/>
              <w:rPr>
                <w:sz w:val="20"/>
                <w:szCs w:val="20"/>
                <w:color w:val="auto"/>
              </w:rPr>
            </w:pPr>
            <w:r>
              <w:rPr>
                <w:rFonts w:ascii="Arial" w:cs="Arial" w:eastAsia="Arial" w:hAnsi="Arial"/>
                <w:sz w:val="16"/>
                <w:szCs w:val="16"/>
                <w:color w:val="262626"/>
              </w:rPr>
              <w:t>Annual Retainer (payable to all non-employee directors)</w:t>
            </w:r>
          </w:p>
        </w:tc>
        <w:tc>
          <w:tcPr>
            <w:tcW w:w="2620" w:type="dxa"/>
            <w:vAlign w:val="bottom"/>
          </w:tcPr>
          <w:p>
            <w:pPr>
              <w:jc w:val="center"/>
              <w:ind w:left="1419"/>
              <w:spacing w:after="0"/>
              <w:rPr>
                <w:sz w:val="20"/>
                <w:szCs w:val="20"/>
                <w:color w:val="auto"/>
              </w:rPr>
            </w:pPr>
            <w:r>
              <w:rPr>
                <w:rFonts w:ascii="Arial" w:cs="Arial" w:eastAsia="Arial" w:hAnsi="Arial"/>
                <w:sz w:val="16"/>
                <w:szCs w:val="16"/>
                <w:color w:val="262626"/>
              </w:rPr>
              <w:t>$105,000</w:t>
            </w:r>
          </w:p>
        </w:tc>
      </w:tr>
      <w:tr>
        <w:trPr>
          <w:trHeight w:val="362"/>
        </w:trPr>
        <w:tc>
          <w:tcPr>
            <w:tcW w:w="6080" w:type="dxa"/>
            <w:vAlign w:val="bottom"/>
          </w:tcPr>
          <w:p>
            <w:pPr>
              <w:spacing w:after="0"/>
              <w:rPr>
                <w:sz w:val="20"/>
                <w:szCs w:val="20"/>
                <w:color w:val="auto"/>
              </w:rPr>
            </w:pPr>
            <w:r>
              <w:rPr>
                <w:rFonts w:ascii="Arial" w:cs="Arial" w:eastAsia="Arial" w:hAnsi="Arial"/>
                <w:sz w:val="16"/>
                <w:szCs w:val="16"/>
                <w:color w:val="262626"/>
              </w:rPr>
              <w:t>Additional Fees:</w:t>
            </w:r>
          </w:p>
        </w:tc>
        <w:tc>
          <w:tcPr>
            <w:tcW w:w="2620" w:type="dxa"/>
            <w:vAlign w:val="bottom"/>
          </w:tcPr>
          <w:p>
            <w:pPr>
              <w:spacing w:after="0"/>
              <w:rPr>
                <w:sz w:val="24"/>
                <w:szCs w:val="24"/>
                <w:color w:val="auto"/>
              </w:rPr>
            </w:pPr>
          </w:p>
        </w:tc>
      </w:tr>
      <w:tr>
        <w:trPr>
          <w:trHeight w:val="362"/>
        </w:trPr>
        <w:tc>
          <w:tcPr>
            <w:tcW w:w="6080" w:type="dxa"/>
            <w:vAlign w:val="bottom"/>
          </w:tcPr>
          <w:p>
            <w:pPr>
              <w:ind w:left="240"/>
              <w:spacing w:after="0"/>
              <w:rPr>
                <w:sz w:val="20"/>
                <w:szCs w:val="20"/>
                <w:color w:val="auto"/>
              </w:rPr>
            </w:pPr>
            <w:r>
              <w:rPr>
                <w:rFonts w:ascii="Arial" w:cs="Arial" w:eastAsia="Arial" w:hAnsi="Arial"/>
                <w:sz w:val="16"/>
                <w:szCs w:val="16"/>
                <w:color w:val="262626"/>
              </w:rPr>
              <w:t>Independent Chairman of the Board</w:t>
            </w:r>
          </w:p>
        </w:tc>
        <w:tc>
          <w:tcPr>
            <w:tcW w:w="2620" w:type="dxa"/>
            <w:vAlign w:val="bottom"/>
          </w:tcPr>
          <w:p>
            <w:pPr>
              <w:jc w:val="center"/>
              <w:ind w:left="1419"/>
              <w:spacing w:after="0"/>
              <w:rPr>
                <w:sz w:val="20"/>
                <w:szCs w:val="20"/>
                <w:color w:val="auto"/>
              </w:rPr>
            </w:pPr>
            <w:r>
              <w:rPr>
                <w:rFonts w:ascii="Arial" w:cs="Arial" w:eastAsia="Arial" w:hAnsi="Arial"/>
                <w:sz w:val="16"/>
                <w:szCs w:val="16"/>
                <w:color w:val="262626"/>
              </w:rPr>
              <w:t>$175,000</w:t>
            </w:r>
          </w:p>
        </w:tc>
      </w:tr>
      <w:tr>
        <w:trPr>
          <w:trHeight w:val="362"/>
        </w:trPr>
        <w:tc>
          <w:tcPr>
            <w:tcW w:w="6080" w:type="dxa"/>
            <w:vAlign w:val="bottom"/>
          </w:tcPr>
          <w:p>
            <w:pPr>
              <w:ind w:left="240"/>
              <w:spacing w:after="0"/>
              <w:rPr>
                <w:sz w:val="20"/>
                <w:szCs w:val="20"/>
                <w:color w:val="auto"/>
              </w:rPr>
            </w:pPr>
            <w:r>
              <w:rPr>
                <w:rFonts w:ascii="Arial" w:cs="Arial" w:eastAsia="Arial" w:hAnsi="Arial"/>
                <w:sz w:val="16"/>
                <w:szCs w:val="16"/>
                <w:color w:val="262626"/>
              </w:rPr>
              <w:t>Lead Independent Director</w:t>
            </w:r>
          </w:p>
        </w:tc>
        <w:tc>
          <w:tcPr>
            <w:tcW w:w="2620" w:type="dxa"/>
            <w:vAlign w:val="bottom"/>
          </w:tcPr>
          <w:p>
            <w:pPr>
              <w:jc w:val="center"/>
              <w:ind w:left="1419"/>
              <w:spacing w:after="0"/>
              <w:rPr>
                <w:sz w:val="20"/>
                <w:szCs w:val="20"/>
                <w:color w:val="auto"/>
              </w:rPr>
            </w:pPr>
            <w:r>
              <w:rPr>
                <w:rFonts w:ascii="Arial" w:cs="Arial" w:eastAsia="Arial" w:hAnsi="Arial"/>
                <w:sz w:val="16"/>
                <w:szCs w:val="16"/>
                <w:color w:val="262626"/>
              </w:rPr>
              <w:t>$100,000</w:t>
            </w:r>
          </w:p>
        </w:tc>
      </w:tr>
      <w:tr>
        <w:trPr>
          <w:trHeight w:val="362"/>
        </w:trPr>
        <w:tc>
          <w:tcPr>
            <w:tcW w:w="6080" w:type="dxa"/>
            <w:vAlign w:val="bottom"/>
          </w:tcPr>
          <w:p>
            <w:pPr>
              <w:ind w:left="240"/>
              <w:spacing w:after="0"/>
              <w:rPr>
                <w:sz w:val="20"/>
                <w:szCs w:val="20"/>
                <w:color w:val="auto"/>
              </w:rPr>
            </w:pPr>
            <w:r>
              <w:rPr>
                <w:rFonts w:ascii="Arial" w:cs="Arial" w:eastAsia="Arial" w:hAnsi="Arial"/>
                <w:sz w:val="16"/>
                <w:szCs w:val="16"/>
                <w:color w:val="262626"/>
              </w:rPr>
              <w:t>Chair of the Audit Committee</w:t>
            </w:r>
          </w:p>
        </w:tc>
        <w:tc>
          <w:tcPr>
            <w:tcW w:w="2620" w:type="dxa"/>
            <w:vAlign w:val="bottom"/>
          </w:tcPr>
          <w:p>
            <w:pPr>
              <w:jc w:val="center"/>
              <w:ind w:left="1419"/>
              <w:spacing w:after="0"/>
              <w:rPr>
                <w:sz w:val="20"/>
                <w:szCs w:val="20"/>
                <w:color w:val="auto"/>
              </w:rPr>
            </w:pPr>
            <w:r>
              <w:rPr>
                <w:rFonts w:ascii="Arial" w:cs="Arial" w:eastAsia="Arial" w:hAnsi="Arial"/>
                <w:sz w:val="16"/>
                <w:szCs w:val="16"/>
                <w:color w:val="262626"/>
              </w:rPr>
              <w:t>$  45,000</w:t>
            </w:r>
          </w:p>
        </w:tc>
      </w:tr>
      <w:tr>
        <w:trPr>
          <w:trHeight w:val="362"/>
        </w:trPr>
        <w:tc>
          <w:tcPr>
            <w:tcW w:w="6080" w:type="dxa"/>
            <w:vAlign w:val="bottom"/>
          </w:tcPr>
          <w:p>
            <w:pPr>
              <w:ind w:left="240"/>
              <w:spacing w:after="0"/>
              <w:rPr>
                <w:sz w:val="20"/>
                <w:szCs w:val="20"/>
                <w:color w:val="auto"/>
              </w:rPr>
            </w:pPr>
            <w:r>
              <w:rPr>
                <w:rFonts w:ascii="Arial" w:cs="Arial" w:eastAsia="Arial" w:hAnsi="Arial"/>
                <w:sz w:val="16"/>
                <w:szCs w:val="16"/>
                <w:color w:val="262626"/>
              </w:rPr>
              <w:t>Chair of the Compensation Committee</w:t>
            </w:r>
          </w:p>
        </w:tc>
        <w:tc>
          <w:tcPr>
            <w:tcW w:w="2620" w:type="dxa"/>
            <w:vAlign w:val="bottom"/>
          </w:tcPr>
          <w:p>
            <w:pPr>
              <w:jc w:val="center"/>
              <w:ind w:left="1419"/>
              <w:spacing w:after="0"/>
              <w:rPr>
                <w:sz w:val="20"/>
                <w:szCs w:val="20"/>
                <w:color w:val="auto"/>
              </w:rPr>
            </w:pPr>
            <w:r>
              <w:rPr>
                <w:rFonts w:ascii="Arial" w:cs="Arial" w:eastAsia="Arial" w:hAnsi="Arial"/>
                <w:sz w:val="16"/>
                <w:szCs w:val="16"/>
                <w:color w:val="262626"/>
              </w:rPr>
              <w:t>$  30,000</w:t>
            </w:r>
          </w:p>
        </w:tc>
      </w:tr>
      <w:tr>
        <w:trPr>
          <w:trHeight w:val="362"/>
        </w:trPr>
        <w:tc>
          <w:tcPr>
            <w:tcW w:w="6080" w:type="dxa"/>
            <w:vAlign w:val="bottom"/>
          </w:tcPr>
          <w:p>
            <w:pPr>
              <w:ind w:left="240"/>
              <w:spacing w:after="0"/>
              <w:rPr>
                <w:sz w:val="20"/>
                <w:szCs w:val="20"/>
                <w:color w:val="auto"/>
              </w:rPr>
            </w:pPr>
            <w:r>
              <w:rPr>
                <w:rFonts w:ascii="Arial" w:cs="Arial" w:eastAsia="Arial" w:hAnsi="Arial"/>
                <w:sz w:val="16"/>
                <w:szCs w:val="16"/>
                <w:color w:val="262626"/>
              </w:rPr>
              <w:t>Chair of the NCG Committee</w:t>
            </w:r>
          </w:p>
        </w:tc>
        <w:tc>
          <w:tcPr>
            <w:tcW w:w="2620" w:type="dxa"/>
            <w:vAlign w:val="bottom"/>
          </w:tcPr>
          <w:p>
            <w:pPr>
              <w:jc w:val="center"/>
              <w:ind w:left="1419"/>
              <w:spacing w:after="0"/>
              <w:rPr>
                <w:sz w:val="20"/>
                <w:szCs w:val="20"/>
                <w:color w:val="auto"/>
              </w:rPr>
            </w:pPr>
            <w:r>
              <w:rPr>
                <w:rFonts w:ascii="Arial" w:cs="Arial" w:eastAsia="Arial" w:hAnsi="Arial"/>
                <w:sz w:val="16"/>
                <w:szCs w:val="16"/>
                <w:color w:val="262626"/>
              </w:rPr>
              <w:t>$  27,500</w:t>
            </w:r>
          </w:p>
        </w:tc>
      </w:tr>
      <w:tr>
        <w:trPr>
          <w:trHeight w:val="362"/>
        </w:trPr>
        <w:tc>
          <w:tcPr>
            <w:tcW w:w="6080" w:type="dxa"/>
            <w:vAlign w:val="bottom"/>
          </w:tcPr>
          <w:p>
            <w:pPr>
              <w:ind w:left="240"/>
              <w:spacing w:after="0"/>
              <w:rPr>
                <w:sz w:val="20"/>
                <w:szCs w:val="20"/>
                <w:color w:val="auto"/>
              </w:rPr>
            </w:pPr>
            <w:r>
              <w:rPr>
                <w:rFonts w:ascii="Arial" w:cs="Arial" w:eastAsia="Arial" w:hAnsi="Arial"/>
                <w:sz w:val="16"/>
                <w:szCs w:val="16"/>
                <w:color w:val="262626"/>
              </w:rPr>
              <w:t>Member of the Audit Committee (other than Chair)</w:t>
            </w:r>
          </w:p>
        </w:tc>
        <w:tc>
          <w:tcPr>
            <w:tcW w:w="2620" w:type="dxa"/>
            <w:vAlign w:val="bottom"/>
          </w:tcPr>
          <w:p>
            <w:pPr>
              <w:jc w:val="center"/>
              <w:ind w:left="1419"/>
              <w:spacing w:after="0"/>
              <w:rPr>
                <w:sz w:val="20"/>
                <w:szCs w:val="20"/>
                <w:color w:val="auto"/>
              </w:rPr>
            </w:pPr>
            <w:r>
              <w:rPr>
                <w:rFonts w:ascii="Arial" w:cs="Arial" w:eastAsia="Arial" w:hAnsi="Arial"/>
                <w:sz w:val="16"/>
                <w:szCs w:val="16"/>
                <w:color w:val="262626"/>
              </w:rPr>
              <w:t>$  15,000</w:t>
            </w:r>
          </w:p>
        </w:tc>
      </w:tr>
      <w:tr>
        <w:trPr>
          <w:trHeight w:val="362"/>
        </w:trPr>
        <w:tc>
          <w:tcPr>
            <w:tcW w:w="6080" w:type="dxa"/>
            <w:vAlign w:val="bottom"/>
          </w:tcPr>
          <w:p>
            <w:pPr>
              <w:ind w:left="240"/>
              <w:spacing w:after="0"/>
              <w:rPr>
                <w:sz w:val="20"/>
                <w:szCs w:val="20"/>
                <w:color w:val="auto"/>
              </w:rPr>
            </w:pPr>
            <w:r>
              <w:rPr>
                <w:rFonts w:ascii="Arial" w:cs="Arial" w:eastAsia="Arial" w:hAnsi="Arial"/>
                <w:sz w:val="16"/>
                <w:szCs w:val="16"/>
                <w:color w:val="262626"/>
              </w:rPr>
              <w:t>Member of the Compensation Committee (other than Chair)</w:t>
            </w:r>
          </w:p>
        </w:tc>
        <w:tc>
          <w:tcPr>
            <w:tcW w:w="2620" w:type="dxa"/>
            <w:vAlign w:val="bottom"/>
          </w:tcPr>
          <w:p>
            <w:pPr>
              <w:jc w:val="center"/>
              <w:ind w:left="1419"/>
              <w:spacing w:after="0"/>
              <w:rPr>
                <w:sz w:val="20"/>
                <w:szCs w:val="20"/>
                <w:color w:val="auto"/>
              </w:rPr>
            </w:pPr>
            <w:r>
              <w:rPr>
                <w:rFonts w:ascii="Arial" w:cs="Arial" w:eastAsia="Arial" w:hAnsi="Arial"/>
                <w:sz w:val="16"/>
                <w:szCs w:val="16"/>
                <w:color w:val="262626"/>
              </w:rPr>
              <w:t>$  10,000</w:t>
            </w:r>
          </w:p>
        </w:tc>
      </w:tr>
      <w:tr>
        <w:trPr>
          <w:trHeight w:val="362"/>
        </w:trPr>
        <w:tc>
          <w:tcPr>
            <w:tcW w:w="6080" w:type="dxa"/>
            <w:vAlign w:val="bottom"/>
          </w:tcPr>
          <w:p>
            <w:pPr>
              <w:ind w:left="240"/>
              <w:spacing w:after="0"/>
              <w:rPr>
                <w:sz w:val="20"/>
                <w:szCs w:val="20"/>
                <w:color w:val="auto"/>
              </w:rPr>
            </w:pPr>
            <w:r>
              <w:rPr>
                <w:rFonts w:ascii="Arial" w:cs="Arial" w:eastAsia="Arial" w:hAnsi="Arial"/>
                <w:sz w:val="16"/>
                <w:szCs w:val="16"/>
                <w:color w:val="262626"/>
              </w:rPr>
              <w:t>Member of the NCG Committee (other than Chair)</w:t>
            </w:r>
          </w:p>
        </w:tc>
        <w:tc>
          <w:tcPr>
            <w:tcW w:w="2620" w:type="dxa"/>
            <w:vAlign w:val="bottom"/>
          </w:tcPr>
          <w:p>
            <w:pPr>
              <w:jc w:val="center"/>
              <w:ind w:left="1419"/>
              <w:spacing w:after="0"/>
              <w:rPr>
                <w:sz w:val="20"/>
                <w:szCs w:val="20"/>
                <w:color w:val="auto"/>
              </w:rPr>
            </w:pPr>
            <w:r>
              <w:rPr>
                <w:rFonts w:ascii="Arial" w:cs="Arial" w:eastAsia="Arial" w:hAnsi="Arial"/>
                <w:sz w:val="16"/>
                <w:szCs w:val="16"/>
                <w:color w:val="262626"/>
              </w:rPr>
              <w:t>$  10,000</w:t>
            </w:r>
          </w:p>
        </w:tc>
      </w:tr>
    </w:tbl>
    <w:p>
      <w:pPr>
        <w:spacing w:after="0" w:line="216" w:lineRule="exact"/>
        <w:rPr>
          <w:sz w:val="20"/>
          <w:szCs w:val="20"/>
          <w:color w:val="auto"/>
        </w:rPr>
      </w:pPr>
    </w:p>
    <w:p>
      <w:pPr>
        <w:jc w:val="both"/>
        <w:ind w:left="1280" w:right="179"/>
        <w:spacing w:after="0" w:line="352" w:lineRule="auto"/>
        <w:rPr>
          <w:sz w:val="20"/>
          <w:szCs w:val="20"/>
          <w:color w:val="auto"/>
        </w:rPr>
      </w:pPr>
      <w:r>
        <w:rPr>
          <w:rFonts w:ascii="Arial" w:cs="Arial" w:eastAsia="Arial" w:hAnsi="Arial"/>
          <w:sz w:val="16"/>
          <w:szCs w:val="16"/>
          <w:color w:val="262626"/>
        </w:rPr>
        <w:t>In addition, we reimburse or pay non-employee directors for travel and other out-of-pocket expenses related to their attendance at Board and committee meetings, the annual meeting of stockholders and other Board-related travel undertaken at our request.</w:t>
      </w:r>
    </w:p>
    <w:p>
      <w:pPr>
        <w:spacing w:after="0" w:line="122"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Equity Compensation</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For fiscal 2025, our non-employee directors were also entitled to receive the following equity awards:</w:t>
      </w:r>
    </w:p>
    <w:p>
      <w:pPr>
        <w:spacing w:after="0" w:line="192" w:lineRule="exact"/>
        <w:rPr>
          <w:sz w:val="20"/>
          <w:szCs w:val="20"/>
          <w:color w:val="auto"/>
        </w:rPr>
      </w:pPr>
    </w:p>
    <w:p>
      <w:pPr>
        <w:jc w:val="both"/>
        <w:ind w:left="1860" w:right="179" w:hanging="249"/>
        <w:spacing w:after="0" w:line="343" w:lineRule="auto"/>
        <w:tabs>
          <w:tab w:leader="none" w:pos="1860" w:val="left"/>
        </w:tabs>
        <w:numPr>
          <w:ilvl w:val="0"/>
          <w:numId w:val="11"/>
        </w:numPr>
        <w:rPr>
          <w:rFonts w:ascii="Arial" w:cs="Arial" w:eastAsia="Arial" w:hAnsi="Arial"/>
          <w:sz w:val="16"/>
          <w:szCs w:val="16"/>
          <w:color w:val="262626"/>
        </w:rPr>
      </w:pPr>
      <w:r>
        <w:rPr>
          <w:rFonts w:ascii="Arial" w:cs="Arial" w:eastAsia="Arial" w:hAnsi="Arial"/>
          <w:sz w:val="16"/>
          <w:szCs w:val="16"/>
          <w:color w:val="262626"/>
        </w:rPr>
        <w:t>upon the initial appointment to our Board, an initial RSU award using a target value of $275,000, prorated based on the expected portion of a year to be served between the time of such director’s appointment and the anticipated date of our annual meeting of stockholders immediately following the director’s appointment; and</w:t>
      </w:r>
    </w:p>
    <w:p>
      <w:pPr>
        <w:spacing w:after="0" w:line="83" w:lineRule="exact"/>
        <w:rPr>
          <w:rFonts w:ascii="Arial" w:cs="Arial" w:eastAsia="Arial" w:hAnsi="Arial"/>
          <w:sz w:val="16"/>
          <w:szCs w:val="16"/>
          <w:color w:val="262626"/>
        </w:rPr>
      </w:pPr>
    </w:p>
    <w:p>
      <w:pPr>
        <w:ind w:left="1860" w:right="179" w:hanging="249"/>
        <w:spacing w:after="0" w:line="353" w:lineRule="auto"/>
        <w:tabs>
          <w:tab w:leader="none" w:pos="1860" w:val="left"/>
        </w:tabs>
        <w:numPr>
          <w:ilvl w:val="0"/>
          <w:numId w:val="11"/>
        </w:numPr>
        <w:rPr>
          <w:rFonts w:ascii="Arial" w:cs="Arial" w:eastAsia="Arial" w:hAnsi="Arial"/>
          <w:sz w:val="16"/>
          <w:szCs w:val="16"/>
          <w:color w:val="262626"/>
        </w:rPr>
      </w:pPr>
      <w:r>
        <w:rPr>
          <w:rFonts w:ascii="Arial" w:cs="Arial" w:eastAsia="Arial" w:hAnsi="Arial"/>
          <w:sz w:val="16"/>
          <w:szCs w:val="16"/>
          <w:color w:val="262626"/>
        </w:rPr>
        <w:t>an annual RSU award using a target value of $275,000, to be granted on the date of the annual meeting of stockholders, subject to the director’s re-election at such meeting.</w:t>
      </w:r>
    </w:p>
    <w:p>
      <w:pPr>
        <w:spacing w:after="0" w:line="90" w:lineRule="exact"/>
        <w:rPr>
          <w:sz w:val="20"/>
          <w:szCs w:val="20"/>
          <w:color w:val="auto"/>
        </w:rPr>
      </w:pPr>
    </w:p>
    <w:p>
      <w:pPr>
        <w:jc w:val="both"/>
        <w:ind w:left="1280" w:right="159"/>
        <w:spacing w:after="0" w:line="337" w:lineRule="auto"/>
        <w:rPr>
          <w:sz w:val="20"/>
          <w:szCs w:val="20"/>
          <w:color w:val="auto"/>
        </w:rPr>
      </w:pPr>
      <w:r>
        <w:rPr>
          <w:rFonts w:ascii="Arial" w:cs="Arial" w:eastAsia="Arial" w:hAnsi="Arial"/>
          <w:sz w:val="16"/>
          <w:szCs w:val="16"/>
          <w:color w:val="262626"/>
        </w:rPr>
        <w:t>To determine the number of shares of Broadcom common stock granted pursuant to such awards, the value of the award is divided by the average closing price quoted on the Nasdaq Global Select Market over 30 calendar days immediately preceding the grant date. These RSU awards vest in full on the earlier of (i) the first anniversary of the grant date or (ii) the date on which the annual meeting of stockholders immediately following the grant date is held, subject to the director’s continued service on our Board.</w:t>
      </w:r>
    </w:p>
    <w:p>
      <w:pPr>
        <w:spacing w:after="0" w:line="104"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In December 2025, the Compensation Committee and its independent compensation consultant recommended to our Board, and our Board approved, increasing the equity compensation granted to our non-employee directors such that our non-employee directors will be entitled to receive an initial RSU award and an annual RSU award, each with a target value of $295,000, subject to the same terms and conditions as described above.</w:t>
      </w:r>
    </w:p>
    <w:p>
      <w:pPr>
        <w:sectPr>
          <w:pgSz w:w="11900" w:h="16838" w:orient="portrait"/>
          <w:cols w:equalWidth="0" w:num="1">
            <w:col w:w="10139"/>
          </w:cols>
          <w:pgMar w:left="320" w:top="480" w:right="1440" w:bottom="1440" w:gutter="0" w:footer="0" w:header="0"/>
        </w:sectPr>
      </w:pPr>
    </w:p>
    <w:p>
      <w:pPr>
        <w:spacing w:after="0" w:line="85"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85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Director Compensation for Fiscal 2025</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262626"/>
        </w:rPr>
        <w:t>The following table sets forth the compensation earned by our non-employee directors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190500</wp:posOffset>
            </wp:positionV>
            <wp:extent cx="55225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373" w:lineRule="exact"/>
        <w:rPr>
          <w:sz w:val="20"/>
          <w:szCs w:val="20"/>
          <w:color w:val="auto"/>
        </w:rPr>
      </w:pPr>
    </w:p>
    <w:tbl>
      <w:tblPr>
        <w:tblLayout w:type="fixed"/>
        <w:tblInd w:w="1280" w:type="dxa"/>
        <w:tblCellMar>
          <w:top w:w="0" w:type="dxa"/>
          <w:left w:w="0" w:type="dxa"/>
          <w:bottom w:w="0" w:type="dxa"/>
          <w:right w:w="0" w:type="dxa"/>
        </w:tblCellMar>
      </w:tblPr>
      <w:tr>
        <w:trPr>
          <w:trHeight w:val="201"/>
        </w:trPr>
        <w:tc>
          <w:tcPr>
            <w:tcW w:w="3440" w:type="dxa"/>
            <w:vAlign w:val="bottom"/>
          </w:tcPr>
          <w:p>
            <w:pPr>
              <w:spacing w:after="0"/>
              <w:rPr>
                <w:sz w:val="17"/>
                <w:szCs w:val="17"/>
                <w:color w:val="auto"/>
              </w:rPr>
            </w:pPr>
          </w:p>
        </w:tc>
        <w:tc>
          <w:tcPr>
            <w:tcW w:w="3320" w:type="dxa"/>
            <w:vAlign w:val="bottom"/>
          </w:tcPr>
          <w:p>
            <w:pPr>
              <w:jc w:val="center"/>
              <w:ind w:left="1559"/>
              <w:spacing w:after="0"/>
              <w:rPr>
                <w:sz w:val="20"/>
                <w:szCs w:val="20"/>
                <w:color w:val="auto"/>
              </w:rPr>
            </w:pPr>
            <w:r>
              <w:rPr>
                <w:rFonts w:ascii="Arial" w:cs="Arial" w:eastAsia="Arial" w:hAnsi="Arial"/>
                <w:sz w:val="16"/>
                <w:szCs w:val="16"/>
                <w:b w:val="1"/>
                <w:bCs w:val="1"/>
                <w:color w:val="262626"/>
              </w:rPr>
              <w:t>Fees Earned or</w:t>
            </w:r>
          </w:p>
        </w:tc>
        <w:tc>
          <w:tcPr>
            <w:tcW w:w="1180" w:type="dxa"/>
            <w:vAlign w:val="bottom"/>
          </w:tcPr>
          <w:p>
            <w:pPr>
              <w:jc w:val="right"/>
              <w:ind w:right="240"/>
              <w:spacing w:after="0"/>
              <w:rPr>
                <w:sz w:val="20"/>
                <w:szCs w:val="20"/>
                <w:color w:val="auto"/>
              </w:rPr>
            </w:pPr>
            <w:r>
              <w:rPr>
                <w:rFonts w:ascii="Arial" w:cs="Arial" w:eastAsia="Arial" w:hAnsi="Arial"/>
                <w:sz w:val="16"/>
                <w:szCs w:val="16"/>
                <w:b w:val="1"/>
                <w:bCs w:val="1"/>
                <w:color w:val="262626"/>
              </w:rPr>
              <w:t>Stock</w:t>
            </w:r>
          </w:p>
        </w:tc>
        <w:tc>
          <w:tcPr>
            <w:tcW w:w="7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262626"/>
              </w:rPr>
              <w:t>Total</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3320" w:type="dxa"/>
            <w:vAlign w:val="bottom"/>
          </w:tcPr>
          <w:p>
            <w:pPr>
              <w:jc w:val="center"/>
              <w:ind w:left="1559"/>
              <w:spacing w:after="0"/>
              <w:rPr>
                <w:sz w:val="20"/>
                <w:szCs w:val="20"/>
                <w:color w:val="auto"/>
              </w:rPr>
            </w:pPr>
            <w:r>
              <w:rPr>
                <w:rFonts w:ascii="Arial" w:cs="Arial" w:eastAsia="Arial" w:hAnsi="Arial"/>
                <w:sz w:val="16"/>
                <w:szCs w:val="16"/>
                <w:b w:val="1"/>
                <w:bCs w:val="1"/>
                <w:color w:val="262626"/>
                <w:w w:val="99"/>
              </w:rPr>
              <w:t>Paid in Cash</w:t>
            </w:r>
          </w:p>
        </w:tc>
        <w:tc>
          <w:tcPr>
            <w:tcW w:w="1180" w:type="dxa"/>
            <w:vAlign w:val="bottom"/>
          </w:tcPr>
          <w:p>
            <w:pPr>
              <w:jc w:val="right"/>
              <w:ind w:right="100"/>
              <w:spacing w:after="0" w:line="188" w:lineRule="exact"/>
              <w:rPr>
                <w:sz w:val="20"/>
                <w:szCs w:val="20"/>
                <w:color w:val="auto"/>
              </w:rPr>
            </w:pPr>
            <w:r>
              <w:rPr>
                <w:rFonts w:ascii="Arial" w:cs="Arial" w:eastAsia="Arial" w:hAnsi="Arial"/>
                <w:sz w:val="14"/>
                <w:szCs w:val="14"/>
                <w:b w:val="1"/>
                <w:bCs w:val="1"/>
                <w:color w:val="262626"/>
              </w:rPr>
              <w:t>Awards</w:t>
            </w:r>
            <w:r>
              <w:rPr>
                <w:rFonts w:ascii="Arial" w:cs="Arial" w:eastAsia="Arial" w:hAnsi="Arial"/>
                <w:sz w:val="21"/>
                <w:szCs w:val="21"/>
                <w:b w:val="1"/>
                <w:bCs w:val="1"/>
                <w:color w:val="262626"/>
                <w:vertAlign w:val="superscript"/>
              </w:rPr>
              <w:t>(1)</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440" w:type="dxa"/>
            <w:vAlign w:val="bottom"/>
          </w:tcPr>
          <w:p>
            <w:pPr>
              <w:spacing w:after="0"/>
              <w:rPr>
                <w:sz w:val="20"/>
                <w:szCs w:val="20"/>
                <w:color w:val="auto"/>
              </w:rPr>
            </w:pPr>
            <w:r>
              <w:rPr>
                <w:rFonts w:ascii="Arial" w:cs="Arial" w:eastAsia="Arial" w:hAnsi="Arial"/>
                <w:sz w:val="16"/>
                <w:szCs w:val="16"/>
                <w:b w:val="1"/>
                <w:bCs w:val="1"/>
                <w:color w:val="262626"/>
              </w:rPr>
              <w:t>Name</w:t>
            </w:r>
          </w:p>
        </w:tc>
        <w:tc>
          <w:tcPr>
            <w:tcW w:w="3320" w:type="dxa"/>
            <w:vAlign w:val="bottom"/>
          </w:tcPr>
          <w:p>
            <w:pPr>
              <w:jc w:val="center"/>
              <w:ind w:left="1559"/>
              <w:spacing w:after="0"/>
              <w:rPr>
                <w:sz w:val="20"/>
                <w:szCs w:val="20"/>
                <w:color w:val="auto"/>
              </w:rPr>
            </w:pPr>
            <w:r>
              <w:rPr>
                <w:rFonts w:ascii="Arial" w:cs="Arial" w:eastAsia="Arial" w:hAnsi="Arial"/>
                <w:sz w:val="16"/>
                <w:szCs w:val="16"/>
                <w:b w:val="1"/>
                <w:bCs w:val="1"/>
                <w:color w:val="262626"/>
              </w:rPr>
              <w:t>($)</w:t>
            </w:r>
          </w:p>
        </w:tc>
        <w:tc>
          <w:tcPr>
            <w:tcW w:w="1180" w:type="dxa"/>
            <w:vAlign w:val="bottom"/>
          </w:tcPr>
          <w:p>
            <w:pPr>
              <w:jc w:val="right"/>
              <w:ind w:right="360"/>
              <w:spacing w:after="0"/>
              <w:rPr>
                <w:sz w:val="20"/>
                <w:szCs w:val="20"/>
                <w:color w:val="auto"/>
              </w:rPr>
            </w:pPr>
            <w:r>
              <w:rPr>
                <w:rFonts w:ascii="Arial" w:cs="Arial" w:eastAsia="Arial" w:hAnsi="Arial"/>
                <w:sz w:val="16"/>
                <w:szCs w:val="16"/>
                <w:b w:val="1"/>
                <w:bCs w:val="1"/>
                <w:color w:val="262626"/>
              </w:rPr>
              <w:t>($)</w:t>
            </w: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262626"/>
              </w:rPr>
              <w:t>($)</w:t>
            </w:r>
          </w:p>
        </w:tc>
        <w:tc>
          <w:tcPr>
            <w:tcW w:w="0" w:type="dxa"/>
            <w:vAlign w:val="bottom"/>
          </w:tcPr>
          <w:p>
            <w:pPr>
              <w:spacing w:after="0"/>
              <w:rPr>
                <w:sz w:val="1"/>
                <w:szCs w:val="1"/>
                <w:color w:val="auto"/>
              </w:rPr>
            </w:pPr>
          </w:p>
        </w:tc>
      </w:tr>
      <w:tr>
        <w:trPr>
          <w:trHeight w:val="101"/>
        </w:trPr>
        <w:tc>
          <w:tcPr>
            <w:tcW w:w="3440" w:type="dxa"/>
            <w:vAlign w:val="bottom"/>
            <w:tcBorders>
              <w:bottom w:val="single" w:sz="8" w:color="CF0A2C"/>
            </w:tcBorders>
          </w:tcPr>
          <w:p>
            <w:pPr>
              <w:spacing w:after="0"/>
              <w:rPr>
                <w:sz w:val="8"/>
                <w:szCs w:val="8"/>
                <w:color w:val="auto"/>
              </w:rPr>
            </w:pPr>
          </w:p>
        </w:tc>
        <w:tc>
          <w:tcPr>
            <w:tcW w:w="3320" w:type="dxa"/>
            <w:vAlign w:val="bottom"/>
            <w:tcBorders>
              <w:bottom w:val="single" w:sz="8" w:color="CF0A2C"/>
            </w:tcBorders>
          </w:tcPr>
          <w:p>
            <w:pPr>
              <w:spacing w:after="0"/>
              <w:rPr>
                <w:sz w:val="8"/>
                <w:szCs w:val="8"/>
                <w:color w:val="auto"/>
              </w:rPr>
            </w:pPr>
          </w:p>
        </w:tc>
        <w:tc>
          <w:tcPr>
            <w:tcW w:w="1180" w:type="dxa"/>
            <w:vAlign w:val="bottom"/>
            <w:tcBorders>
              <w:bottom w:val="single" w:sz="8" w:color="CF0A2C"/>
            </w:tcBorders>
          </w:tcPr>
          <w:p>
            <w:pPr>
              <w:spacing w:after="0"/>
              <w:rPr>
                <w:sz w:val="8"/>
                <w:szCs w:val="8"/>
                <w:color w:val="auto"/>
              </w:rPr>
            </w:pPr>
          </w:p>
        </w:tc>
        <w:tc>
          <w:tcPr>
            <w:tcW w:w="760" w:type="dxa"/>
            <w:vAlign w:val="bottom"/>
            <w:tcBorders>
              <w:bottom w:val="single" w:sz="8" w:color="CF0A2C"/>
            </w:tcBorders>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3440" w:type="dxa"/>
            <w:vAlign w:val="bottom"/>
          </w:tcPr>
          <w:p>
            <w:pPr>
              <w:spacing w:after="0"/>
              <w:rPr>
                <w:sz w:val="20"/>
                <w:szCs w:val="20"/>
                <w:color w:val="auto"/>
              </w:rPr>
            </w:pPr>
            <w:r>
              <w:rPr>
                <w:rFonts w:ascii="Arial" w:cs="Arial" w:eastAsia="Arial" w:hAnsi="Arial"/>
                <w:sz w:val="16"/>
                <w:szCs w:val="16"/>
                <w:color w:val="262626"/>
              </w:rPr>
              <w:t>Diane M. Bryant</w:t>
            </w:r>
          </w:p>
        </w:tc>
        <w:tc>
          <w:tcPr>
            <w:tcW w:w="3320" w:type="dxa"/>
            <w:vAlign w:val="bottom"/>
          </w:tcPr>
          <w:p>
            <w:pPr>
              <w:jc w:val="right"/>
              <w:ind w:right="439"/>
              <w:spacing w:after="0"/>
              <w:rPr>
                <w:sz w:val="20"/>
                <w:szCs w:val="20"/>
                <w:color w:val="auto"/>
              </w:rPr>
            </w:pPr>
            <w:r>
              <w:rPr>
                <w:rFonts w:ascii="Arial" w:cs="Arial" w:eastAsia="Arial" w:hAnsi="Arial"/>
                <w:sz w:val="16"/>
                <w:szCs w:val="16"/>
                <w:color w:val="262626"/>
              </w:rPr>
              <w:t>115,000</w:t>
            </w:r>
          </w:p>
        </w:tc>
        <w:tc>
          <w:tcPr>
            <w:tcW w:w="1180" w:type="dxa"/>
            <w:vAlign w:val="bottom"/>
          </w:tcPr>
          <w:p>
            <w:pPr>
              <w:jc w:val="right"/>
              <w:ind w:right="100"/>
              <w:spacing w:after="0"/>
              <w:rPr>
                <w:sz w:val="20"/>
                <w:szCs w:val="20"/>
                <w:color w:val="auto"/>
              </w:rPr>
            </w:pPr>
            <w:r>
              <w:rPr>
                <w:rFonts w:ascii="Arial" w:cs="Arial" w:eastAsia="Arial" w:hAnsi="Arial"/>
                <w:sz w:val="16"/>
                <w:szCs w:val="16"/>
                <w:color w:val="262626"/>
              </w:rPr>
              <w:t>262,568</w:t>
            </w:r>
          </w:p>
        </w:tc>
        <w:tc>
          <w:tcPr>
            <w:tcW w:w="760" w:type="dxa"/>
            <w:vAlign w:val="bottom"/>
          </w:tcPr>
          <w:p>
            <w:pPr>
              <w:jc w:val="right"/>
              <w:spacing w:after="0"/>
              <w:rPr>
                <w:sz w:val="20"/>
                <w:szCs w:val="20"/>
                <w:color w:val="auto"/>
              </w:rPr>
            </w:pPr>
            <w:r>
              <w:rPr>
                <w:rFonts w:ascii="Arial" w:cs="Arial" w:eastAsia="Arial" w:hAnsi="Arial"/>
                <w:sz w:val="16"/>
                <w:szCs w:val="16"/>
                <w:color w:val="262626"/>
              </w:rPr>
              <w:t>377,568</w:t>
            </w:r>
          </w:p>
        </w:tc>
        <w:tc>
          <w:tcPr>
            <w:tcW w:w="0" w:type="dxa"/>
            <w:vAlign w:val="bottom"/>
          </w:tcPr>
          <w:p>
            <w:pPr>
              <w:spacing w:after="0"/>
              <w:rPr>
                <w:sz w:val="1"/>
                <w:szCs w:val="1"/>
                <w:color w:val="auto"/>
              </w:rPr>
            </w:pPr>
          </w:p>
        </w:tc>
      </w:tr>
      <w:tr>
        <w:trPr>
          <w:trHeight w:val="389"/>
        </w:trPr>
        <w:tc>
          <w:tcPr>
            <w:tcW w:w="3440" w:type="dxa"/>
            <w:vAlign w:val="bottom"/>
          </w:tcPr>
          <w:p>
            <w:pPr>
              <w:spacing w:after="0"/>
              <w:rPr>
                <w:sz w:val="20"/>
                <w:szCs w:val="20"/>
                <w:color w:val="auto"/>
              </w:rPr>
            </w:pPr>
            <w:r>
              <w:rPr>
                <w:rFonts w:ascii="Arial" w:cs="Arial" w:eastAsia="Arial" w:hAnsi="Arial"/>
                <w:sz w:val="16"/>
                <w:szCs w:val="16"/>
                <w:color w:val="262626"/>
              </w:rPr>
              <w:t>Gayla J. Delly</w:t>
            </w:r>
          </w:p>
        </w:tc>
        <w:tc>
          <w:tcPr>
            <w:tcW w:w="3320" w:type="dxa"/>
            <w:vAlign w:val="bottom"/>
          </w:tcPr>
          <w:p>
            <w:pPr>
              <w:jc w:val="right"/>
              <w:ind w:right="439"/>
              <w:spacing w:after="0"/>
              <w:rPr>
                <w:sz w:val="20"/>
                <w:szCs w:val="20"/>
                <w:color w:val="auto"/>
              </w:rPr>
            </w:pPr>
            <w:r>
              <w:rPr>
                <w:rFonts w:ascii="Arial" w:cs="Arial" w:eastAsia="Arial" w:hAnsi="Arial"/>
                <w:sz w:val="16"/>
                <w:szCs w:val="16"/>
                <w:color w:val="262626"/>
              </w:rPr>
              <w:t>158,750</w:t>
            </w:r>
          </w:p>
        </w:tc>
        <w:tc>
          <w:tcPr>
            <w:tcW w:w="1180" w:type="dxa"/>
            <w:vAlign w:val="bottom"/>
          </w:tcPr>
          <w:p>
            <w:pPr>
              <w:jc w:val="right"/>
              <w:ind w:right="100"/>
              <w:spacing w:after="0"/>
              <w:rPr>
                <w:sz w:val="20"/>
                <w:szCs w:val="20"/>
                <w:color w:val="auto"/>
              </w:rPr>
            </w:pPr>
            <w:r>
              <w:rPr>
                <w:rFonts w:ascii="Arial" w:cs="Arial" w:eastAsia="Arial" w:hAnsi="Arial"/>
                <w:sz w:val="16"/>
                <w:szCs w:val="16"/>
                <w:color w:val="262626"/>
              </w:rPr>
              <w:t>262,568</w:t>
            </w:r>
          </w:p>
        </w:tc>
        <w:tc>
          <w:tcPr>
            <w:tcW w:w="760" w:type="dxa"/>
            <w:vAlign w:val="bottom"/>
          </w:tcPr>
          <w:p>
            <w:pPr>
              <w:jc w:val="right"/>
              <w:spacing w:after="0"/>
              <w:rPr>
                <w:sz w:val="20"/>
                <w:szCs w:val="20"/>
                <w:color w:val="auto"/>
              </w:rPr>
            </w:pPr>
            <w:r>
              <w:rPr>
                <w:rFonts w:ascii="Arial" w:cs="Arial" w:eastAsia="Arial" w:hAnsi="Arial"/>
                <w:sz w:val="16"/>
                <w:szCs w:val="16"/>
                <w:color w:val="262626"/>
              </w:rPr>
              <w:t>421,318</w:t>
            </w:r>
          </w:p>
        </w:tc>
        <w:tc>
          <w:tcPr>
            <w:tcW w:w="0" w:type="dxa"/>
            <w:vAlign w:val="bottom"/>
          </w:tcPr>
          <w:p>
            <w:pPr>
              <w:spacing w:after="0"/>
              <w:rPr>
                <w:sz w:val="1"/>
                <w:szCs w:val="1"/>
                <w:color w:val="auto"/>
              </w:rPr>
            </w:pPr>
          </w:p>
        </w:tc>
      </w:tr>
      <w:tr>
        <w:trPr>
          <w:trHeight w:val="362"/>
        </w:trPr>
        <w:tc>
          <w:tcPr>
            <w:tcW w:w="3440" w:type="dxa"/>
            <w:vAlign w:val="bottom"/>
          </w:tcPr>
          <w:p>
            <w:pPr>
              <w:spacing w:after="0"/>
              <w:rPr>
                <w:sz w:val="20"/>
                <w:szCs w:val="20"/>
                <w:color w:val="auto"/>
              </w:rPr>
            </w:pPr>
            <w:r>
              <w:rPr>
                <w:rFonts w:ascii="Arial" w:cs="Arial" w:eastAsia="Arial" w:hAnsi="Arial"/>
                <w:sz w:val="16"/>
                <w:szCs w:val="16"/>
                <w:color w:val="262626"/>
              </w:rPr>
              <w:t>Kenneth Y. Hao</w:t>
            </w:r>
          </w:p>
        </w:tc>
        <w:tc>
          <w:tcPr>
            <w:tcW w:w="3320" w:type="dxa"/>
            <w:vAlign w:val="bottom"/>
          </w:tcPr>
          <w:p>
            <w:pPr>
              <w:jc w:val="right"/>
              <w:ind w:right="439"/>
              <w:spacing w:after="0"/>
              <w:rPr>
                <w:sz w:val="20"/>
                <w:szCs w:val="20"/>
                <w:color w:val="auto"/>
              </w:rPr>
            </w:pPr>
            <w:r>
              <w:rPr>
                <w:rFonts w:ascii="Arial" w:cs="Arial" w:eastAsia="Arial" w:hAnsi="Arial"/>
                <w:sz w:val="16"/>
                <w:szCs w:val="16"/>
                <w:color w:val="262626"/>
              </w:rPr>
              <w:t>105,000</w:t>
            </w:r>
          </w:p>
        </w:tc>
        <w:tc>
          <w:tcPr>
            <w:tcW w:w="1180" w:type="dxa"/>
            <w:vAlign w:val="bottom"/>
          </w:tcPr>
          <w:p>
            <w:pPr>
              <w:jc w:val="right"/>
              <w:ind w:right="100"/>
              <w:spacing w:after="0"/>
              <w:rPr>
                <w:sz w:val="20"/>
                <w:szCs w:val="20"/>
                <w:color w:val="auto"/>
              </w:rPr>
            </w:pPr>
            <w:r>
              <w:rPr>
                <w:rFonts w:ascii="Arial" w:cs="Arial" w:eastAsia="Arial" w:hAnsi="Arial"/>
                <w:sz w:val="16"/>
                <w:szCs w:val="16"/>
                <w:color w:val="262626"/>
              </w:rPr>
              <w:t>262,568</w:t>
            </w:r>
          </w:p>
        </w:tc>
        <w:tc>
          <w:tcPr>
            <w:tcW w:w="760" w:type="dxa"/>
            <w:vAlign w:val="bottom"/>
          </w:tcPr>
          <w:p>
            <w:pPr>
              <w:jc w:val="right"/>
              <w:spacing w:after="0"/>
              <w:rPr>
                <w:sz w:val="20"/>
                <w:szCs w:val="20"/>
                <w:color w:val="auto"/>
              </w:rPr>
            </w:pPr>
            <w:r>
              <w:rPr>
                <w:rFonts w:ascii="Arial" w:cs="Arial" w:eastAsia="Arial" w:hAnsi="Arial"/>
                <w:sz w:val="16"/>
                <w:szCs w:val="16"/>
                <w:color w:val="262626"/>
              </w:rPr>
              <w:t>367,568</w:t>
            </w:r>
          </w:p>
        </w:tc>
        <w:tc>
          <w:tcPr>
            <w:tcW w:w="0" w:type="dxa"/>
            <w:vAlign w:val="bottom"/>
          </w:tcPr>
          <w:p>
            <w:pPr>
              <w:spacing w:after="0"/>
              <w:rPr>
                <w:sz w:val="1"/>
                <w:szCs w:val="1"/>
                <w:color w:val="auto"/>
              </w:rPr>
            </w:pPr>
          </w:p>
        </w:tc>
      </w:tr>
      <w:tr>
        <w:trPr>
          <w:trHeight w:val="362"/>
        </w:trPr>
        <w:tc>
          <w:tcPr>
            <w:tcW w:w="3440" w:type="dxa"/>
            <w:vAlign w:val="bottom"/>
          </w:tcPr>
          <w:p>
            <w:pPr>
              <w:spacing w:after="0"/>
              <w:rPr>
                <w:sz w:val="20"/>
                <w:szCs w:val="20"/>
                <w:color w:val="auto"/>
              </w:rPr>
            </w:pPr>
            <w:r>
              <w:rPr>
                <w:rFonts w:ascii="Arial" w:cs="Arial" w:eastAsia="Arial" w:hAnsi="Arial"/>
                <w:sz w:val="16"/>
                <w:szCs w:val="16"/>
                <w:color w:val="262626"/>
              </w:rPr>
              <w:t>Eddy W. Hartenstein</w:t>
            </w:r>
          </w:p>
        </w:tc>
        <w:tc>
          <w:tcPr>
            <w:tcW w:w="3320" w:type="dxa"/>
            <w:vAlign w:val="bottom"/>
          </w:tcPr>
          <w:p>
            <w:pPr>
              <w:jc w:val="right"/>
              <w:ind w:right="439"/>
              <w:spacing w:after="0"/>
              <w:rPr>
                <w:sz w:val="20"/>
                <w:szCs w:val="20"/>
                <w:color w:val="auto"/>
              </w:rPr>
            </w:pPr>
            <w:r>
              <w:rPr>
                <w:rFonts w:ascii="Arial" w:cs="Arial" w:eastAsia="Arial" w:hAnsi="Arial"/>
                <w:sz w:val="16"/>
                <w:szCs w:val="16"/>
                <w:color w:val="262626"/>
              </w:rPr>
              <w:t>241,875</w:t>
            </w:r>
          </w:p>
        </w:tc>
        <w:tc>
          <w:tcPr>
            <w:tcW w:w="1180" w:type="dxa"/>
            <w:vAlign w:val="bottom"/>
          </w:tcPr>
          <w:p>
            <w:pPr>
              <w:jc w:val="right"/>
              <w:ind w:right="100"/>
              <w:spacing w:after="0"/>
              <w:rPr>
                <w:sz w:val="20"/>
                <w:szCs w:val="20"/>
                <w:color w:val="auto"/>
              </w:rPr>
            </w:pPr>
            <w:r>
              <w:rPr>
                <w:rFonts w:ascii="Arial" w:cs="Arial" w:eastAsia="Arial" w:hAnsi="Arial"/>
                <w:sz w:val="16"/>
                <w:szCs w:val="16"/>
                <w:color w:val="262626"/>
              </w:rPr>
              <w:t>262,568</w:t>
            </w:r>
          </w:p>
        </w:tc>
        <w:tc>
          <w:tcPr>
            <w:tcW w:w="760" w:type="dxa"/>
            <w:vAlign w:val="bottom"/>
          </w:tcPr>
          <w:p>
            <w:pPr>
              <w:jc w:val="right"/>
              <w:spacing w:after="0"/>
              <w:rPr>
                <w:sz w:val="20"/>
                <w:szCs w:val="20"/>
                <w:color w:val="auto"/>
              </w:rPr>
            </w:pPr>
            <w:r>
              <w:rPr>
                <w:rFonts w:ascii="Arial" w:cs="Arial" w:eastAsia="Arial" w:hAnsi="Arial"/>
                <w:sz w:val="16"/>
                <w:szCs w:val="16"/>
                <w:color w:val="262626"/>
              </w:rPr>
              <w:t>504,443</w:t>
            </w:r>
          </w:p>
        </w:tc>
        <w:tc>
          <w:tcPr>
            <w:tcW w:w="0" w:type="dxa"/>
            <w:vAlign w:val="bottom"/>
          </w:tcPr>
          <w:p>
            <w:pPr>
              <w:spacing w:after="0"/>
              <w:rPr>
                <w:sz w:val="1"/>
                <w:szCs w:val="1"/>
                <w:color w:val="auto"/>
              </w:rPr>
            </w:pPr>
          </w:p>
        </w:tc>
      </w:tr>
      <w:tr>
        <w:trPr>
          <w:trHeight w:val="362"/>
        </w:trPr>
        <w:tc>
          <w:tcPr>
            <w:tcW w:w="3440" w:type="dxa"/>
            <w:vAlign w:val="bottom"/>
          </w:tcPr>
          <w:p>
            <w:pPr>
              <w:spacing w:after="0"/>
              <w:rPr>
                <w:sz w:val="20"/>
                <w:szCs w:val="20"/>
                <w:color w:val="auto"/>
              </w:rPr>
            </w:pPr>
            <w:r>
              <w:rPr>
                <w:rFonts w:ascii="Arial" w:cs="Arial" w:eastAsia="Arial" w:hAnsi="Arial"/>
                <w:sz w:val="16"/>
                <w:szCs w:val="16"/>
                <w:color w:val="262626"/>
              </w:rPr>
              <w:t>Check Kian Low</w:t>
            </w:r>
          </w:p>
        </w:tc>
        <w:tc>
          <w:tcPr>
            <w:tcW w:w="3320" w:type="dxa"/>
            <w:vAlign w:val="bottom"/>
          </w:tcPr>
          <w:p>
            <w:pPr>
              <w:jc w:val="right"/>
              <w:ind w:right="439"/>
              <w:spacing w:after="0"/>
              <w:rPr>
                <w:sz w:val="20"/>
                <w:szCs w:val="20"/>
                <w:color w:val="auto"/>
              </w:rPr>
            </w:pPr>
            <w:r>
              <w:rPr>
                <w:rFonts w:ascii="Arial" w:cs="Arial" w:eastAsia="Arial" w:hAnsi="Arial"/>
                <w:sz w:val="16"/>
                <w:szCs w:val="16"/>
                <w:color w:val="262626"/>
              </w:rPr>
              <w:t>125,000</w:t>
            </w:r>
          </w:p>
        </w:tc>
        <w:tc>
          <w:tcPr>
            <w:tcW w:w="1180" w:type="dxa"/>
            <w:vAlign w:val="bottom"/>
          </w:tcPr>
          <w:p>
            <w:pPr>
              <w:jc w:val="right"/>
              <w:ind w:right="100"/>
              <w:spacing w:after="0"/>
              <w:rPr>
                <w:sz w:val="20"/>
                <w:szCs w:val="20"/>
                <w:color w:val="auto"/>
              </w:rPr>
            </w:pPr>
            <w:r>
              <w:rPr>
                <w:rFonts w:ascii="Arial" w:cs="Arial" w:eastAsia="Arial" w:hAnsi="Arial"/>
                <w:sz w:val="16"/>
                <w:szCs w:val="16"/>
                <w:color w:val="262626"/>
              </w:rPr>
              <w:t>262,568</w:t>
            </w:r>
          </w:p>
        </w:tc>
        <w:tc>
          <w:tcPr>
            <w:tcW w:w="760" w:type="dxa"/>
            <w:vAlign w:val="bottom"/>
          </w:tcPr>
          <w:p>
            <w:pPr>
              <w:jc w:val="right"/>
              <w:spacing w:after="0"/>
              <w:rPr>
                <w:sz w:val="20"/>
                <w:szCs w:val="20"/>
                <w:color w:val="auto"/>
              </w:rPr>
            </w:pPr>
            <w:r>
              <w:rPr>
                <w:rFonts w:ascii="Arial" w:cs="Arial" w:eastAsia="Arial" w:hAnsi="Arial"/>
                <w:sz w:val="16"/>
                <w:szCs w:val="16"/>
                <w:color w:val="262626"/>
              </w:rPr>
              <w:t>387,568</w:t>
            </w:r>
          </w:p>
        </w:tc>
        <w:tc>
          <w:tcPr>
            <w:tcW w:w="0" w:type="dxa"/>
            <w:vAlign w:val="bottom"/>
          </w:tcPr>
          <w:p>
            <w:pPr>
              <w:spacing w:after="0"/>
              <w:rPr>
                <w:sz w:val="1"/>
                <w:szCs w:val="1"/>
                <w:color w:val="auto"/>
              </w:rPr>
            </w:pPr>
          </w:p>
        </w:tc>
      </w:tr>
      <w:tr>
        <w:trPr>
          <w:trHeight w:val="362"/>
        </w:trPr>
        <w:tc>
          <w:tcPr>
            <w:tcW w:w="3440" w:type="dxa"/>
            <w:vAlign w:val="bottom"/>
          </w:tcPr>
          <w:p>
            <w:pPr>
              <w:spacing w:after="0"/>
              <w:rPr>
                <w:sz w:val="20"/>
                <w:szCs w:val="20"/>
                <w:color w:val="auto"/>
              </w:rPr>
            </w:pPr>
            <w:r>
              <w:rPr>
                <w:rFonts w:ascii="Arial" w:cs="Arial" w:eastAsia="Arial" w:hAnsi="Arial"/>
                <w:sz w:val="16"/>
                <w:szCs w:val="16"/>
                <w:color w:val="262626"/>
              </w:rPr>
              <w:t>Justine F. Page</w:t>
            </w:r>
          </w:p>
        </w:tc>
        <w:tc>
          <w:tcPr>
            <w:tcW w:w="3320" w:type="dxa"/>
            <w:vAlign w:val="bottom"/>
          </w:tcPr>
          <w:p>
            <w:pPr>
              <w:jc w:val="right"/>
              <w:ind w:right="439"/>
              <w:spacing w:after="0"/>
              <w:rPr>
                <w:sz w:val="20"/>
                <w:szCs w:val="20"/>
                <w:color w:val="auto"/>
              </w:rPr>
            </w:pPr>
            <w:r>
              <w:rPr>
                <w:rFonts w:ascii="Arial" w:cs="Arial" w:eastAsia="Arial" w:hAnsi="Arial"/>
                <w:sz w:val="16"/>
                <w:szCs w:val="16"/>
                <w:color w:val="262626"/>
              </w:rPr>
              <w:t>120,000</w:t>
            </w:r>
          </w:p>
        </w:tc>
        <w:tc>
          <w:tcPr>
            <w:tcW w:w="1180" w:type="dxa"/>
            <w:vAlign w:val="bottom"/>
          </w:tcPr>
          <w:p>
            <w:pPr>
              <w:jc w:val="right"/>
              <w:ind w:right="100"/>
              <w:spacing w:after="0"/>
              <w:rPr>
                <w:sz w:val="20"/>
                <w:szCs w:val="20"/>
                <w:color w:val="auto"/>
              </w:rPr>
            </w:pPr>
            <w:r>
              <w:rPr>
                <w:rFonts w:ascii="Arial" w:cs="Arial" w:eastAsia="Arial" w:hAnsi="Arial"/>
                <w:sz w:val="16"/>
                <w:szCs w:val="16"/>
                <w:color w:val="262626"/>
              </w:rPr>
              <w:t>262,568</w:t>
            </w:r>
          </w:p>
        </w:tc>
        <w:tc>
          <w:tcPr>
            <w:tcW w:w="760" w:type="dxa"/>
            <w:vAlign w:val="bottom"/>
          </w:tcPr>
          <w:p>
            <w:pPr>
              <w:jc w:val="right"/>
              <w:spacing w:after="0"/>
              <w:rPr>
                <w:sz w:val="20"/>
                <w:szCs w:val="20"/>
                <w:color w:val="auto"/>
              </w:rPr>
            </w:pPr>
            <w:r>
              <w:rPr>
                <w:rFonts w:ascii="Arial" w:cs="Arial" w:eastAsia="Arial" w:hAnsi="Arial"/>
                <w:sz w:val="16"/>
                <w:szCs w:val="16"/>
                <w:color w:val="262626"/>
              </w:rPr>
              <w:t>382,568</w:t>
            </w:r>
          </w:p>
        </w:tc>
        <w:tc>
          <w:tcPr>
            <w:tcW w:w="0" w:type="dxa"/>
            <w:vAlign w:val="bottom"/>
          </w:tcPr>
          <w:p>
            <w:pPr>
              <w:spacing w:after="0"/>
              <w:rPr>
                <w:sz w:val="1"/>
                <w:szCs w:val="1"/>
                <w:color w:val="auto"/>
              </w:rPr>
            </w:pPr>
          </w:p>
        </w:tc>
      </w:tr>
      <w:tr>
        <w:trPr>
          <w:trHeight w:val="362"/>
        </w:trPr>
        <w:tc>
          <w:tcPr>
            <w:tcW w:w="3440" w:type="dxa"/>
            <w:vAlign w:val="bottom"/>
          </w:tcPr>
          <w:p>
            <w:pPr>
              <w:spacing w:after="0"/>
              <w:rPr>
                <w:sz w:val="20"/>
                <w:szCs w:val="20"/>
                <w:color w:val="auto"/>
              </w:rPr>
            </w:pPr>
            <w:r>
              <w:rPr>
                <w:rFonts w:ascii="Arial" w:cs="Arial" w:eastAsia="Arial" w:hAnsi="Arial"/>
                <w:sz w:val="16"/>
                <w:szCs w:val="16"/>
                <w:color w:val="262626"/>
              </w:rPr>
              <w:t>Henry Samueli, Ph.D.</w:t>
            </w:r>
          </w:p>
        </w:tc>
        <w:tc>
          <w:tcPr>
            <w:tcW w:w="3320" w:type="dxa"/>
            <w:vAlign w:val="bottom"/>
          </w:tcPr>
          <w:p>
            <w:pPr>
              <w:jc w:val="right"/>
              <w:ind w:right="439"/>
              <w:spacing w:after="0"/>
              <w:rPr>
                <w:sz w:val="20"/>
                <w:szCs w:val="20"/>
                <w:color w:val="auto"/>
              </w:rPr>
            </w:pPr>
            <w:r>
              <w:rPr>
                <w:rFonts w:ascii="Arial" w:cs="Arial" w:eastAsia="Arial" w:hAnsi="Arial"/>
                <w:sz w:val="16"/>
                <w:szCs w:val="16"/>
                <w:color w:val="262626"/>
              </w:rPr>
              <w:t>273,750</w:t>
            </w:r>
          </w:p>
        </w:tc>
        <w:tc>
          <w:tcPr>
            <w:tcW w:w="1180" w:type="dxa"/>
            <w:vAlign w:val="bottom"/>
          </w:tcPr>
          <w:p>
            <w:pPr>
              <w:jc w:val="right"/>
              <w:ind w:right="100"/>
              <w:spacing w:after="0"/>
              <w:rPr>
                <w:sz w:val="20"/>
                <w:szCs w:val="20"/>
                <w:color w:val="auto"/>
              </w:rPr>
            </w:pPr>
            <w:r>
              <w:rPr>
                <w:rFonts w:ascii="Arial" w:cs="Arial" w:eastAsia="Arial" w:hAnsi="Arial"/>
                <w:sz w:val="16"/>
                <w:szCs w:val="16"/>
                <w:color w:val="262626"/>
              </w:rPr>
              <w:t>262,568</w:t>
            </w:r>
          </w:p>
        </w:tc>
        <w:tc>
          <w:tcPr>
            <w:tcW w:w="760" w:type="dxa"/>
            <w:vAlign w:val="bottom"/>
          </w:tcPr>
          <w:p>
            <w:pPr>
              <w:jc w:val="right"/>
              <w:spacing w:after="0"/>
              <w:rPr>
                <w:sz w:val="20"/>
                <w:szCs w:val="20"/>
                <w:color w:val="auto"/>
              </w:rPr>
            </w:pPr>
            <w:r>
              <w:rPr>
                <w:rFonts w:ascii="Arial" w:cs="Arial" w:eastAsia="Arial" w:hAnsi="Arial"/>
                <w:sz w:val="16"/>
                <w:szCs w:val="16"/>
                <w:color w:val="262626"/>
              </w:rPr>
              <w:t>536,318</w:t>
            </w:r>
          </w:p>
        </w:tc>
        <w:tc>
          <w:tcPr>
            <w:tcW w:w="0" w:type="dxa"/>
            <w:vAlign w:val="bottom"/>
          </w:tcPr>
          <w:p>
            <w:pPr>
              <w:spacing w:after="0"/>
              <w:rPr>
                <w:sz w:val="1"/>
                <w:szCs w:val="1"/>
                <w:color w:val="auto"/>
              </w:rPr>
            </w:pPr>
          </w:p>
        </w:tc>
      </w:tr>
      <w:tr>
        <w:trPr>
          <w:trHeight w:val="362"/>
        </w:trPr>
        <w:tc>
          <w:tcPr>
            <w:tcW w:w="3440" w:type="dxa"/>
            <w:vAlign w:val="bottom"/>
          </w:tcPr>
          <w:p>
            <w:pPr>
              <w:spacing w:after="0"/>
              <w:rPr>
                <w:sz w:val="20"/>
                <w:szCs w:val="20"/>
                <w:color w:val="auto"/>
              </w:rPr>
            </w:pPr>
            <w:r>
              <w:rPr>
                <w:rFonts w:ascii="Arial" w:cs="Arial" w:eastAsia="Arial" w:hAnsi="Arial"/>
                <w:sz w:val="16"/>
                <w:szCs w:val="16"/>
                <w:color w:val="262626"/>
              </w:rPr>
              <w:t>Harry L. You</w:t>
            </w:r>
          </w:p>
        </w:tc>
        <w:tc>
          <w:tcPr>
            <w:tcW w:w="3320" w:type="dxa"/>
            <w:vAlign w:val="bottom"/>
          </w:tcPr>
          <w:p>
            <w:pPr>
              <w:jc w:val="right"/>
              <w:ind w:right="439"/>
              <w:spacing w:after="0"/>
              <w:rPr>
                <w:sz w:val="20"/>
                <w:szCs w:val="20"/>
                <w:color w:val="auto"/>
              </w:rPr>
            </w:pPr>
            <w:r>
              <w:rPr>
                <w:rFonts w:ascii="Arial" w:cs="Arial" w:eastAsia="Arial" w:hAnsi="Arial"/>
                <w:sz w:val="16"/>
                <w:szCs w:val="16"/>
                <w:color w:val="262626"/>
              </w:rPr>
              <w:t>150,000</w:t>
            </w:r>
          </w:p>
        </w:tc>
        <w:tc>
          <w:tcPr>
            <w:tcW w:w="1180" w:type="dxa"/>
            <w:vAlign w:val="bottom"/>
          </w:tcPr>
          <w:p>
            <w:pPr>
              <w:jc w:val="right"/>
              <w:ind w:right="100"/>
              <w:spacing w:after="0"/>
              <w:rPr>
                <w:sz w:val="20"/>
                <w:szCs w:val="20"/>
                <w:color w:val="auto"/>
              </w:rPr>
            </w:pPr>
            <w:r>
              <w:rPr>
                <w:rFonts w:ascii="Arial" w:cs="Arial" w:eastAsia="Arial" w:hAnsi="Arial"/>
                <w:sz w:val="16"/>
                <w:szCs w:val="16"/>
                <w:color w:val="262626"/>
              </w:rPr>
              <w:t>262,568</w:t>
            </w:r>
          </w:p>
        </w:tc>
        <w:tc>
          <w:tcPr>
            <w:tcW w:w="760" w:type="dxa"/>
            <w:vAlign w:val="bottom"/>
          </w:tcPr>
          <w:p>
            <w:pPr>
              <w:jc w:val="right"/>
              <w:spacing w:after="0"/>
              <w:rPr>
                <w:sz w:val="20"/>
                <w:szCs w:val="20"/>
                <w:color w:val="auto"/>
              </w:rPr>
            </w:pPr>
            <w:r>
              <w:rPr>
                <w:rFonts w:ascii="Arial" w:cs="Arial" w:eastAsia="Arial" w:hAnsi="Arial"/>
                <w:sz w:val="16"/>
                <w:szCs w:val="16"/>
                <w:color w:val="262626"/>
              </w:rPr>
              <w:t>412,568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128905</wp:posOffset>
            </wp:positionV>
            <wp:extent cx="4343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241" w:lineRule="exact"/>
        <w:rPr>
          <w:sz w:val="20"/>
          <w:szCs w:val="20"/>
          <w:color w:val="auto"/>
        </w:rPr>
      </w:pPr>
    </w:p>
    <w:p>
      <w:pPr>
        <w:jc w:val="both"/>
        <w:ind w:left="1620" w:right="159" w:hanging="344"/>
        <w:spacing w:after="0" w:line="341" w:lineRule="auto"/>
        <w:tabs>
          <w:tab w:leader="none" w:pos="1620" w:val="left"/>
        </w:tabs>
        <w:numPr>
          <w:ilvl w:val="0"/>
          <w:numId w:val="12"/>
        </w:numPr>
        <w:rPr>
          <w:rFonts w:ascii="Arial" w:cs="Arial" w:eastAsia="Arial" w:hAnsi="Arial"/>
          <w:sz w:val="14"/>
          <w:szCs w:val="14"/>
          <w:color w:val="262626"/>
        </w:rPr>
      </w:pPr>
      <w:r>
        <w:rPr>
          <w:rFonts w:ascii="Arial" w:cs="Arial" w:eastAsia="Arial" w:hAnsi="Arial"/>
          <w:sz w:val="14"/>
          <w:szCs w:val="14"/>
          <w:color w:val="262626"/>
        </w:rPr>
        <w:t>Represents the grant date fair value of an RSU award for 1,602 shares of Broadcom common stock granted to each director on April 21, 2025 following his or her election to our Board at the 2025 annual meeting and calculated in accordance with Accounting Standards Codification Topic Number 718 (“ASC 718”).</w:t>
      </w:r>
    </w:p>
    <w:p>
      <w:pPr>
        <w:spacing w:after="0" w:line="25" w:lineRule="exact"/>
        <w:rPr>
          <w:rFonts w:ascii="Arial" w:cs="Arial" w:eastAsia="Arial" w:hAnsi="Arial"/>
          <w:sz w:val="14"/>
          <w:szCs w:val="14"/>
          <w:color w:val="262626"/>
        </w:rPr>
      </w:pPr>
    </w:p>
    <w:p>
      <w:pPr>
        <w:ind w:left="1620" w:right="179"/>
        <w:spacing w:after="0" w:line="362" w:lineRule="auto"/>
        <w:rPr>
          <w:rFonts w:ascii="Arial" w:cs="Arial" w:eastAsia="Arial" w:hAnsi="Arial"/>
          <w:sz w:val="14"/>
          <w:szCs w:val="14"/>
          <w:color w:val="262626"/>
        </w:rPr>
      </w:pPr>
      <w:r>
        <w:rPr>
          <w:rFonts w:ascii="Arial" w:cs="Arial" w:eastAsia="Arial" w:hAnsi="Arial"/>
          <w:sz w:val="14"/>
          <w:szCs w:val="14"/>
          <w:color w:val="262626"/>
        </w:rPr>
        <w:t>The table below shows the aggregate number of shares of Broadcom common stock underlying outstanding RSU awards held by our non-employee directors as of November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46990</wp:posOffset>
            </wp:positionV>
            <wp:extent cx="30937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93720" cy="8255"/>
                    </a:xfrm>
                    <a:prstGeom prst="rect">
                      <a:avLst/>
                    </a:prstGeom>
                    <a:noFill/>
                  </pic:spPr>
                </pic:pic>
              </a:graphicData>
            </a:graphic>
          </wp:anchor>
        </w:drawing>
      </w:r>
    </w:p>
    <w:p>
      <w:pPr>
        <w:spacing w:after="0" w:line="98"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40" w:type="dxa"/>
            <w:vAlign w:val="bottom"/>
          </w:tcPr>
          <w:p>
            <w:pPr>
              <w:jc w:val="center"/>
              <w:ind w:left="1028"/>
              <w:spacing w:after="0"/>
              <w:rPr>
                <w:sz w:val="20"/>
                <w:szCs w:val="20"/>
                <w:color w:val="auto"/>
              </w:rPr>
            </w:pPr>
            <w:r>
              <w:rPr>
                <w:rFonts w:ascii="Arial" w:cs="Arial" w:eastAsia="Arial" w:hAnsi="Arial"/>
                <w:sz w:val="14"/>
                <w:szCs w:val="14"/>
                <w:b w:val="1"/>
                <w:bCs w:val="1"/>
                <w:color w:val="262626"/>
              </w:rPr>
              <w:t>Number of Shares</w:t>
            </w:r>
          </w:p>
        </w:tc>
      </w:tr>
      <w:tr>
        <w:trPr>
          <w:trHeight w:val="195"/>
        </w:trPr>
        <w:tc>
          <w:tcPr>
            <w:tcW w:w="2860" w:type="dxa"/>
            <w:vAlign w:val="bottom"/>
            <w:gridSpan w:val="2"/>
          </w:tcPr>
          <w:p>
            <w:pPr>
              <w:spacing w:after="0"/>
              <w:rPr>
                <w:sz w:val="20"/>
                <w:szCs w:val="20"/>
                <w:color w:val="auto"/>
              </w:rPr>
            </w:pPr>
            <w:r>
              <w:rPr>
                <w:rFonts w:ascii="Arial" w:cs="Arial" w:eastAsia="Arial" w:hAnsi="Arial"/>
                <w:sz w:val="14"/>
                <w:szCs w:val="14"/>
                <w:b w:val="1"/>
                <w:bCs w:val="1"/>
                <w:color w:val="262626"/>
              </w:rPr>
              <w:t>      Name</w:t>
            </w:r>
          </w:p>
        </w:tc>
        <w:tc>
          <w:tcPr>
            <w:tcW w:w="2340" w:type="dxa"/>
            <w:vAlign w:val="bottom"/>
          </w:tcPr>
          <w:p>
            <w:pPr>
              <w:jc w:val="center"/>
              <w:ind w:left="1028"/>
              <w:spacing w:after="0"/>
              <w:rPr>
                <w:sz w:val="20"/>
                <w:szCs w:val="20"/>
                <w:color w:val="auto"/>
              </w:rPr>
            </w:pPr>
            <w:r>
              <w:rPr>
                <w:rFonts w:ascii="Arial" w:cs="Arial" w:eastAsia="Arial" w:hAnsi="Arial"/>
                <w:sz w:val="14"/>
                <w:szCs w:val="14"/>
                <w:b w:val="1"/>
                <w:bCs w:val="1"/>
                <w:color w:val="262626"/>
              </w:rPr>
              <w:t>Underlying RSUs</w:t>
            </w:r>
          </w:p>
        </w:tc>
      </w:tr>
      <w:tr>
        <w:trPr>
          <w:trHeight w:val="82"/>
        </w:trPr>
        <w:tc>
          <w:tcPr>
            <w:tcW w:w="340" w:type="dxa"/>
            <w:vAlign w:val="bottom"/>
          </w:tcPr>
          <w:p>
            <w:pPr>
              <w:spacing w:after="0"/>
              <w:rPr>
                <w:sz w:val="7"/>
                <w:szCs w:val="7"/>
                <w:color w:val="auto"/>
              </w:rPr>
            </w:pPr>
          </w:p>
        </w:tc>
        <w:tc>
          <w:tcPr>
            <w:tcW w:w="2520" w:type="dxa"/>
            <w:vAlign w:val="bottom"/>
            <w:tcBorders>
              <w:bottom w:val="single" w:sz="8" w:color="CF0A2C"/>
            </w:tcBorders>
          </w:tcPr>
          <w:p>
            <w:pPr>
              <w:spacing w:after="0"/>
              <w:rPr>
                <w:sz w:val="7"/>
                <w:szCs w:val="7"/>
                <w:color w:val="auto"/>
              </w:rPr>
            </w:pPr>
          </w:p>
        </w:tc>
        <w:tc>
          <w:tcPr>
            <w:tcW w:w="2340" w:type="dxa"/>
            <w:vAlign w:val="bottom"/>
            <w:tcBorders>
              <w:bottom w:val="single" w:sz="8" w:color="CF0A2C"/>
            </w:tcBorders>
          </w:tcPr>
          <w:p>
            <w:pPr>
              <w:spacing w:after="0"/>
              <w:rPr>
                <w:sz w:val="7"/>
                <w:szCs w:val="7"/>
                <w:color w:val="auto"/>
              </w:rPr>
            </w:pPr>
          </w:p>
        </w:tc>
      </w:tr>
      <w:tr>
        <w:trPr>
          <w:trHeight w:val="254"/>
        </w:trPr>
        <w:tc>
          <w:tcPr>
            <w:tcW w:w="340" w:type="dxa"/>
            <w:vAlign w:val="bottom"/>
          </w:tcPr>
          <w:p>
            <w:pPr>
              <w:spacing w:after="0"/>
              <w:rPr>
                <w:sz w:val="22"/>
                <w:szCs w:val="22"/>
                <w:color w:val="auto"/>
              </w:rPr>
            </w:pPr>
          </w:p>
        </w:tc>
        <w:tc>
          <w:tcPr>
            <w:tcW w:w="2520" w:type="dxa"/>
            <w:vAlign w:val="bottom"/>
          </w:tcPr>
          <w:p>
            <w:pPr>
              <w:ind w:left="40"/>
              <w:spacing w:after="0"/>
              <w:rPr>
                <w:sz w:val="20"/>
                <w:szCs w:val="20"/>
                <w:color w:val="auto"/>
              </w:rPr>
            </w:pPr>
            <w:r>
              <w:rPr>
                <w:rFonts w:ascii="Arial" w:cs="Arial" w:eastAsia="Arial" w:hAnsi="Arial"/>
                <w:sz w:val="14"/>
                <w:szCs w:val="14"/>
                <w:color w:val="262626"/>
              </w:rPr>
              <w:t>Diane M. Bryant</w:t>
            </w:r>
          </w:p>
        </w:tc>
        <w:tc>
          <w:tcPr>
            <w:tcW w:w="2340" w:type="dxa"/>
            <w:vAlign w:val="bottom"/>
          </w:tcPr>
          <w:p>
            <w:pPr>
              <w:jc w:val="center"/>
              <w:ind w:left="1028"/>
              <w:spacing w:after="0"/>
              <w:rPr>
                <w:sz w:val="20"/>
                <w:szCs w:val="20"/>
                <w:color w:val="auto"/>
              </w:rPr>
            </w:pPr>
            <w:r>
              <w:rPr>
                <w:rFonts w:ascii="Arial" w:cs="Arial" w:eastAsia="Arial" w:hAnsi="Arial"/>
                <w:sz w:val="14"/>
                <w:szCs w:val="14"/>
                <w:color w:val="262626"/>
              </w:rPr>
              <w:t>1,602</w:t>
            </w:r>
          </w:p>
        </w:tc>
      </w:tr>
      <w:tr>
        <w:trPr>
          <w:trHeight w:val="362"/>
        </w:trPr>
        <w:tc>
          <w:tcPr>
            <w:tcW w:w="340" w:type="dxa"/>
            <w:vAlign w:val="bottom"/>
          </w:tcPr>
          <w:p>
            <w:pPr>
              <w:spacing w:after="0"/>
              <w:rPr>
                <w:sz w:val="24"/>
                <w:szCs w:val="24"/>
                <w:color w:val="auto"/>
              </w:rPr>
            </w:pPr>
          </w:p>
        </w:tc>
        <w:tc>
          <w:tcPr>
            <w:tcW w:w="2520" w:type="dxa"/>
            <w:vAlign w:val="bottom"/>
          </w:tcPr>
          <w:p>
            <w:pPr>
              <w:ind w:left="40"/>
              <w:spacing w:after="0"/>
              <w:rPr>
                <w:sz w:val="20"/>
                <w:szCs w:val="20"/>
                <w:color w:val="auto"/>
              </w:rPr>
            </w:pPr>
            <w:r>
              <w:rPr>
                <w:rFonts w:ascii="Arial" w:cs="Arial" w:eastAsia="Arial" w:hAnsi="Arial"/>
                <w:sz w:val="14"/>
                <w:szCs w:val="14"/>
                <w:color w:val="262626"/>
              </w:rPr>
              <w:t>Gayla J. Delly</w:t>
            </w:r>
          </w:p>
        </w:tc>
        <w:tc>
          <w:tcPr>
            <w:tcW w:w="2340" w:type="dxa"/>
            <w:vAlign w:val="bottom"/>
          </w:tcPr>
          <w:p>
            <w:pPr>
              <w:jc w:val="center"/>
              <w:ind w:left="1028"/>
              <w:spacing w:after="0"/>
              <w:rPr>
                <w:sz w:val="20"/>
                <w:szCs w:val="20"/>
                <w:color w:val="auto"/>
              </w:rPr>
            </w:pPr>
            <w:r>
              <w:rPr>
                <w:rFonts w:ascii="Arial" w:cs="Arial" w:eastAsia="Arial" w:hAnsi="Arial"/>
                <w:sz w:val="14"/>
                <w:szCs w:val="14"/>
                <w:color w:val="262626"/>
              </w:rPr>
              <w:t>1,602</w:t>
            </w:r>
          </w:p>
        </w:tc>
      </w:tr>
      <w:tr>
        <w:trPr>
          <w:trHeight w:val="336"/>
        </w:trPr>
        <w:tc>
          <w:tcPr>
            <w:tcW w:w="340" w:type="dxa"/>
            <w:vAlign w:val="bottom"/>
          </w:tcPr>
          <w:p>
            <w:pPr>
              <w:spacing w:after="0"/>
              <w:rPr>
                <w:sz w:val="24"/>
                <w:szCs w:val="24"/>
                <w:color w:val="auto"/>
              </w:rPr>
            </w:pPr>
          </w:p>
        </w:tc>
        <w:tc>
          <w:tcPr>
            <w:tcW w:w="2520" w:type="dxa"/>
            <w:vAlign w:val="bottom"/>
          </w:tcPr>
          <w:p>
            <w:pPr>
              <w:ind w:left="40"/>
              <w:spacing w:after="0"/>
              <w:rPr>
                <w:sz w:val="20"/>
                <w:szCs w:val="20"/>
                <w:color w:val="auto"/>
              </w:rPr>
            </w:pPr>
            <w:r>
              <w:rPr>
                <w:rFonts w:ascii="Arial" w:cs="Arial" w:eastAsia="Arial" w:hAnsi="Arial"/>
                <w:sz w:val="14"/>
                <w:szCs w:val="14"/>
                <w:color w:val="262626"/>
              </w:rPr>
              <w:t>Kenneth Y. Hao</w:t>
            </w:r>
          </w:p>
        </w:tc>
        <w:tc>
          <w:tcPr>
            <w:tcW w:w="2340" w:type="dxa"/>
            <w:vAlign w:val="bottom"/>
          </w:tcPr>
          <w:p>
            <w:pPr>
              <w:jc w:val="center"/>
              <w:ind w:left="1028"/>
              <w:spacing w:after="0"/>
              <w:rPr>
                <w:sz w:val="20"/>
                <w:szCs w:val="20"/>
                <w:color w:val="auto"/>
              </w:rPr>
            </w:pPr>
            <w:r>
              <w:rPr>
                <w:rFonts w:ascii="Arial" w:cs="Arial" w:eastAsia="Arial" w:hAnsi="Arial"/>
                <w:sz w:val="14"/>
                <w:szCs w:val="14"/>
                <w:color w:val="262626"/>
              </w:rPr>
              <w:t>1,602</w:t>
            </w:r>
          </w:p>
        </w:tc>
      </w:tr>
      <w:tr>
        <w:trPr>
          <w:trHeight w:val="336"/>
        </w:trPr>
        <w:tc>
          <w:tcPr>
            <w:tcW w:w="340" w:type="dxa"/>
            <w:vAlign w:val="bottom"/>
          </w:tcPr>
          <w:p>
            <w:pPr>
              <w:spacing w:after="0"/>
              <w:rPr>
                <w:sz w:val="24"/>
                <w:szCs w:val="24"/>
                <w:color w:val="auto"/>
              </w:rPr>
            </w:pPr>
          </w:p>
        </w:tc>
        <w:tc>
          <w:tcPr>
            <w:tcW w:w="2520" w:type="dxa"/>
            <w:vAlign w:val="bottom"/>
          </w:tcPr>
          <w:p>
            <w:pPr>
              <w:ind w:left="40"/>
              <w:spacing w:after="0"/>
              <w:rPr>
                <w:sz w:val="20"/>
                <w:szCs w:val="20"/>
                <w:color w:val="auto"/>
              </w:rPr>
            </w:pPr>
            <w:r>
              <w:rPr>
                <w:rFonts w:ascii="Arial" w:cs="Arial" w:eastAsia="Arial" w:hAnsi="Arial"/>
                <w:sz w:val="14"/>
                <w:szCs w:val="14"/>
                <w:color w:val="262626"/>
              </w:rPr>
              <w:t>Eddy W. Hartenstein</w:t>
            </w:r>
          </w:p>
        </w:tc>
        <w:tc>
          <w:tcPr>
            <w:tcW w:w="2340" w:type="dxa"/>
            <w:vAlign w:val="bottom"/>
          </w:tcPr>
          <w:p>
            <w:pPr>
              <w:jc w:val="center"/>
              <w:ind w:left="1028"/>
              <w:spacing w:after="0"/>
              <w:rPr>
                <w:sz w:val="20"/>
                <w:szCs w:val="20"/>
                <w:color w:val="auto"/>
              </w:rPr>
            </w:pPr>
            <w:r>
              <w:rPr>
                <w:rFonts w:ascii="Arial" w:cs="Arial" w:eastAsia="Arial" w:hAnsi="Arial"/>
                <w:sz w:val="14"/>
                <w:szCs w:val="14"/>
                <w:color w:val="262626"/>
              </w:rPr>
              <w:t>1,602</w:t>
            </w:r>
          </w:p>
        </w:tc>
      </w:tr>
      <w:tr>
        <w:trPr>
          <w:trHeight w:val="336"/>
        </w:trPr>
        <w:tc>
          <w:tcPr>
            <w:tcW w:w="340" w:type="dxa"/>
            <w:vAlign w:val="bottom"/>
          </w:tcPr>
          <w:p>
            <w:pPr>
              <w:spacing w:after="0"/>
              <w:rPr>
                <w:sz w:val="24"/>
                <w:szCs w:val="24"/>
                <w:color w:val="auto"/>
              </w:rPr>
            </w:pPr>
          </w:p>
        </w:tc>
        <w:tc>
          <w:tcPr>
            <w:tcW w:w="2520" w:type="dxa"/>
            <w:vAlign w:val="bottom"/>
          </w:tcPr>
          <w:p>
            <w:pPr>
              <w:ind w:left="40"/>
              <w:spacing w:after="0"/>
              <w:rPr>
                <w:sz w:val="20"/>
                <w:szCs w:val="20"/>
                <w:color w:val="auto"/>
              </w:rPr>
            </w:pPr>
            <w:r>
              <w:rPr>
                <w:rFonts w:ascii="Arial" w:cs="Arial" w:eastAsia="Arial" w:hAnsi="Arial"/>
                <w:sz w:val="14"/>
                <w:szCs w:val="14"/>
                <w:color w:val="262626"/>
              </w:rPr>
              <w:t>Check Kian Low</w:t>
            </w:r>
          </w:p>
        </w:tc>
        <w:tc>
          <w:tcPr>
            <w:tcW w:w="2340" w:type="dxa"/>
            <w:vAlign w:val="bottom"/>
          </w:tcPr>
          <w:p>
            <w:pPr>
              <w:jc w:val="center"/>
              <w:ind w:left="1028"/>
              <w:spacing w:after="0"/>
              <w:rPr>
                <w:sz w:val="20"/>
                <w:szCs w:val="20"/>
                <w:color w:val="auto"/>
              </w:rPr>
            </w:pPr>
            <w:r>
              <w:rPr>
                <w:rFonts w:ascii="Arial" w:cs="Arial" w:eastAsia="Arial" w:hAnsi="Arial"/>
                <w:sz w:val="14"/>
                <w:szCs w:val="14"/>
                <w:color w:val="262626"/>
              </w:rPr>
              <w:t>1,602</w:t>
            </w:r>
          </w:p>
        </w:tc>
      </w:tr>
      <w:tr>
        <w:trPr>
          <w:trHeight w:val="336"/>
        </w:trPr>
        <w:tc>
          <w:tcPr>
            <w:tcW w:w="340" w:type="dxa"/>
            <w:vAlign w:val="bottom"/>
          </w:tcPr>
          <w:p>
            <w:pPr>
              <w:spacing w:after="0"/>
              <w:rPr>
                <w:sz w:val="24"/>
                <w:szCs w:val="24"/>
                <w:color w:val="auto"/>
              </w:rPr>
            </w:pPr>
          </w:p>
        </w:tc>
        <w:tc>
          <w:tcPr>
            <w:tcW w:w="2520" w:type="dxa"/>
            <w:vAlign w:val="bottom"/>
          </w:tcPr>
          <w:p>
            <w:pPr>
              <w:ind w:left="40"/>
              <w:spacing w:after="0"/>
              <w:rPr>
                <w:sz w:val="20"/>
                <w:szCs w:val="20"/>
                <w:color w:val="auto"/>
              </w:rPr>
            </w:pPr>
            <w:r>
              <w:rPr>
                <w:rFonts w:ascii="Arial" w:cs="Arial" w:eastAsia="Arial" w:hAnsi="Arial"/>
                <w:sz w:val="14"/>
                <w:szCs w:val="14"/>
                <w:color w:val="262626"/>
              </w:rPr>
              <w:t>Justine F. Page</w:t>
            </w:r>
          </w:p>
        </w:tc>
        <w:tc>
          <w:tcPr>
            <w:tcW w:w="2340" w:type="dxa"/>
            <w:vAlign w:val="bottom"/>
          </w:tcPr>
          <w:p>
            <w:pPr>
              <w:jc w:val="center"/>
              <w:ind w:left="1028"/>
              <w:spacing w:after="0"/>
              <w:rPr>
                <w:sz w:val="20"/>
                <w:szCs w:val="20"/>
                <w:color w:val="auto"/>
              </w:rPr>
            </w:pPr>
            <w:r>
              <w:rPr>
                <w:rFonts w:ascii="Arial" w:cs="Arial" w:eastAsia="Arial" w:hAnsi="Arial"/>
                <w:sz w:val="14"/>
                <w:szCs w:val="14"/>
                <w:color w:val="262626"/>
              </w:rPr>
              <w:t>1,602</w:t>
            </w:r>
          </w:p>
        </w:tc>
      </w:tr>
      <w:tr>
        <w:trPr>
          <w:trHeight w:val="336"/>
        </w:trPr>
        <w:tc>
          <w:tcPr>
            <w:tcW w:w="340" w:type="dxa"/>
            <w:vAlign w:val="bottom"/>
          </w:tcPr>
          <w:p>
            <w:pPr>
              <w:spacing w:after="0"/>
              <w:rPr>
                <w:sz w:val="24"/>
                <w:szCs w:val="24"/>
                <w:color w:val="auto"/>
              </w:rPr>
            </w:pPr>
          </w:p>
        </w:tc>
        <w:tc>
          <w:tcPr>
            <w:tcW w:w="2520" w:type="dxa"/>
            <w:vAlign w:val="bottom"/>
          </w:tcPr>
          <w:p>
            <w:pPr>
              <w:ind w:left="40"/>
              <w:spacing w:after="0"/>
              <w:rPr>
                <w:sz w:val="20"/>
                <w:szCs w:val="20"/>
                <w:color w:val="auto"/>
              </w:rPr>
            </w:pPr>
            <w:r>
              <w:rPr>
                <w:rFonts w:ascii="Arial" w:cs="Arial" w:eastAsia="Arial" w:hAnsi="Arial"/>
                <w:sz w:val="14"/>
                <w:szCs w:val="14"/>
                <w:color w:val="262626"/>
              </w:rPr>
              <w:t>Henry Samueli, Ph.D.</w:t>
            </w:r>
          </w:p>
        </w:tc>
        <w:tc>
          <w:tcPr>
            <w:tcW w:w="2340" w:type="dxa"/>
            <w:vAlign w:val="bottom"/>
          </w:tcPr>
          <w:p>
            <w:pPr>
              <w:jc w:val="center"/>
              <w:ind w:left="1028"/>
              <w:spacing w:after="0"/>
              <w:rPr>
                <w:sz w:val="20"/>
                <w:szCs w:val="20"/>
                <w:color w:val="auto"/>
              </w:rPr>
            </w:pPr>
            <w:r>
              <w:rPr>
                <w:rFonts w:ascii="Arial" w:cs="Arial" w:eastAsia="Arial" w:hAnsi="Arial"/>
                <w:sz w:val="14"/>
                <w:szCs w:val="14"/>
                <w:color w:val="262626"/>
              </w:rPr>
              <w:t>1,602</w:t>
            </w:r>
          </w:p>
        </w:tc>
      </w:tr>
      <w:tr>
        <w:trPr>
          <w:trHeight w:val="336"/>
        </w:trPr>
        <w:tc>
          <w:tcPr>
            <w:tcW w:w="340" w:type="dxa"/>
            <w:vAlign w:val="bottom"/>
          </w:tcPr>
          <w:p>
            <w:pPr>
              <w:spacing w:after="0"/>
              <w:rPr>
                <w:sz w:val="24"/>
                <w:szCs w:val="24"/>
                <w:color w:val="auto"/>
              </w:rPr>
            </w:pPr>
          </w:p>
        </w:tc>
        <w:tc>
          <w:tcPr>
            <w:tcW w:w="2520" w:type="dxa"/>
            <w:vAlign w:val="bottom"/>
          </w:tcPr>
          <w:p>
            <w:pPr>
              <w:ind w:left="40"/>
              <w:spacing w:after="0"/>
              <w:rPr>
                <w:sz w:val="20"/>
                <w:szCs w:val="20"/>
                <w:color w:val="auto"/>
              </w:rPr>
            </w:pPr>
            <w:r>
              <w:rPr>
                <w:rFonts w:ascii="Arial" w:cs="Arial" w:eastAsia="Arial" w:hAnsi="Arial"/>
                <w:sz w:val="14"/>
                <w:szCs w:val="14"/>
                <w:color w:val="262626"/>
              </w:rPr>
              <w:t>Harry L. You</w:t>
            </w:r>
          </w:p>
        </w:tc>
        <w:tc>
          <w:tcPr>
            <w:tcW w:w="2340" w:type="dxa"/>
            <w:vAlign w:val="bottom"/>
          </w:tcPr>
          <w:p>
            <w:pPr>
              <w:jc w:val="center"/>
              <w:ind w:left="1028"/>
              <w:spacing w:after="0"/>
              <w:rPr>
                <w:sz w:val="20"/>
                <w:szCs w:val="20"/>
                <w:color w:val="auto"/>
              </w:rPr>
            </w:pPr>
            <w:r>
              <w:rPr>
                <w:rFonts w:ascii="Arial" w:cs="Arial" w:eastAsia="Arial" w:hAnsi="Arial"/>
                <w:sz w:val="14"/>
                <w:szCs w:val="14"/>
                <w:color w:val="262626"/>
              </w:rPr>
              <w:t>1,602</w:t>
            </w:r>
          </w:p>
        </w:tc>
      </w:tr>
    </w:tbl>
    <w:p>
      <w:pPr>
        <w:spacing w:after="0" w:line="111"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jc w:val="center"/>
        <w:ind w:right="-1100"/>
        <w:spacing w:after="0"/>
        <w:rPr>
          <w:sz w:val="20"/>
          <w:szCs w:val="20"/>
          <w:color w:val="auto"/>
        </w:rPr>
      </w:pPr>
      <w:r>
        <w:rPr>
          <w:rFonts w:ascii="Arial" w:cs="Arial" w:eastAsia="Arial" w:hAnsi="Arial"/>
          <w:sz w:val="25"/>
          <w:szCs w:val="25"/>
          <w:color w:val="CF0A2C"/>
        </w:rPr>
        <w:t>PROPOSAL 1:</w:t>
      </w:r>
    </w:p>
    <w:p>
      <w:pPr>
        <w:spacing w:after="0" w:line="115" w:lineRule="exact"/>
        <w:rPr>
          <w:sz w:val="20"/>
          <w:szCs w:val="20"/>
          <w:color w:val="auto"/>
        </w:rPr>
      </w:pPr>
    </w:p>
    <w:p>
      <w:pPr>
        <w:ind w:left="4020"/>
        <w:spacing w:after="0"/>
        <w:rPr>
          <w:sz w:val="20"/>
          <w:szCs w:val="20"/>
          <w:color w:val="auto"/>
        </w:rPr>
      </w:pPr>
      <w:r>
        <w:rPr>
          <w:rFonts w:ascii="Arial" w:cs="Arial" w:eastAsia="Arial" w:hAnsi="Arial"/>
          <w:sz w:val="25"/>
          <w:szCs w:val="25"/>
          <w:color w:val="CF0A2C"/>
        </w:rPr>
        <w:t>ELECTION OF DIRECTORS</w:t>
      </w:r>
    </w:p>
    <w:p>
      <w:pPr>
        <w:spacing w:after="0" w:line="22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DIRECTOR NOMINEES</w:t>
      </w:r>
    </w:p>
    <w:p>
      <w:pPr>
        <w:spacing w:after="0" w:line="160" w:lineRule="exact"/>
        <w:rPr>
          <w:sz w:val="20"/>
          <w:szCs w:val="20"/>
          <w:color w:val="auto"/>
        </w:rPr>
      </w:pPr>
    </w:p>
    <w:p>
      <w:pPr>
        <w:jc w:val="both"/>
        <w:ind w:left="1280" w:right="159"/>
        <w:spacing w:after="0" w:line="337" w:lineRule="auto"/>
        <w:rPr>
          <w:sz w:val="20"/>
          <w:szCs w:val="20"/>
          <w:color w:val="auto"/>
        </w:rPr>
      </w:pPr>
      <w:r>
        <w:rPr>
          <w:rFonts w:ascii="Arial" w:cs="Arial" w:eastAsia="Arial" w:hAnsi="Arial"/>
          <w:sz w:val="16"/>
          <w:szCs w:val="16"/>
          <w:color w:val="262626"/>
        </w:rPr>
        <w:t>Our Board is currently comprised of nine directors and our directors are to be elected each year at the annual meeting of stockholders. As Mr. Hartenstein is not standing for re-election, his term will end at the Annual Meeting and the size of our Board will be reduced to eight directors. Upon the recommendation of the NCG Committee, our Board nominated the eight individuals below for election as directors, all of whom are currently directors of our Board. Stockholders may not vote their proxies for a greater number of persons than the number of director nominees provided below.</w:t>
      </w:r>
    </w:p>
    <w:p>
      <w:pPr>
        <w:spacing w:after="0" w:line="104"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Our Board expects that each of the director nominees will be available to serve as a director. In the event a director nominee resigns or otherwise becomes unwilling or unable to serve after the mailing of the Internet Notice but before the Annual Meeting, our intention would be to make a public announcement of such resignation and either reduce the size of our Board or appoint a substitute nominee, in accordance with our Amended and Restated Bylaws (the “Bylaws”). If we reduce the size of our Board, this would reduce the number of nominees to be elected at the Annual Meeting and the votes received for such director would not be counted. In the event that we instead propose to elect a substitute nominee at the Annual Meeting to fill any such vacancy, it is intended that the shares represented by the proxy will be voted for such substitute nominee.</w:t>
      </w:r>
    </w:p>
    <w:p>
      <w:pPr>
        <w:spacing w:after="0" w:line="105"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Our Board believes that each director nominee has the experience, qualifications, integrity and understanding of our business and industries required for service on our Board. The demographic background of the director nominees includes ethnicity (four directors) and gender (three directors). Our Board believes that the director nominees collectively reflect an appropriate mix of tenure, skill sets, backgrounds and perspectives, experience and qualifications that are relevant to Broadcom’s business strategy and governance. Our Board, in consultation with the NCG Committee, also believes that each director nominee has demonstrated the willingness and the ability to dedicate sufficient time and attention to fulfill the responsibilities required as a director and that any service with other public companies does not and will not impact service on our Board.</w:t>
      </w:r>
    </w:p>
    <w:p>
      <w:pPr>
        <w:spacing w:after="0" w:line="13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Director Qualifications,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102870</wp:posOffset>
            </wp:positionV>
            <wp:extent cx="55225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95"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3140" w:type="dxa"/>
            <w:vAlign w:val="bottom"/>
          </w:tcPr>
          <w:p>
            <w:pPr>
              <w:spacing w:after="0"/>
              <w:rPr>
                <w:sz w:val="20"/>
                <w:szCs w:val="20"/>
                <w:color w:val="auto"/>
              </w:rPr>
            </w:pPr>
            <w:r>
              <w:rPr>
                <w:rFonts w:ascii="Arial" w:cs="Arial" w:eastAsia="Arial" w:hAnsi="Arial"/>
                <w:sz w:val="16"/>
                <w:szCs w:val="16"/>
                <w:b w:val="1"/>
                <w:bCs w:val="1"/>
                <w:color w:val="262626"/>
              </w:rPr>
              <w:t>Qualifications &amp; Skills</w:t>
            </w:r>
          </w:p>
        </w:tc>
        <w:tc>
          <w:tcPr>
            <w:tcW w:w="1280" w:type="dxa"/>
            <w:vAlign w:val="bottom"/>
          </w:tcPr>
          <w:p>
            <w:pPr>
              <w:jc w:val="center"/>
              <w:ind w:left="559"/>
              <w:spacing w:after="0"/>
              <w:rPr>
                <w:sz w:val="20"/>
                <w:szCs w:val="20"/>
                <w:color w:val="auto"/>
              </w:rPr>
            </w:pPr>
            <w:r>
              <w:rPr>
                <w:rFonts w:ascii="Arial" w:cs="Arial" w:eastAsia="Arial" w:hAnsi="Arial"/>
                <w:sz w:val="16"/>
                <w:szCs w:val="16"/>
                <w:b w:val="1"/>
                <w:bCs w:val="1"/>
                <w:color w:val="262626"/>
              </w:rPr>
              <w:t>Bryant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262626"/>
              </w:rPr>
              <w:t>Delly</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262626"/>
                <w:w w:val="99"/>
              </w:rPr>
              <w:t>Hao</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262626"/>
                <w:w w:val="99"/>
              </w:rPr>
              <w:t>Low</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262626"/>
                <w:w w:val="99"/>
              </w:rPr>
              <w:t>Page</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262626"/>
              </w:rPr>
              <w:t>Samueli</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262626"/>
                <w:w w:val="98"/>
              </w:rPr>
              <w:t>Tan</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262626"/>
                <w:w w:val="99"/>
              </w:rPr>
              <w:t>You</w:t>
            </w:r>
          </w:p>
        </w:tc>
      </w:tr>
      <w:tr>
        <w:trPr>
          <w:trHeight w:val="47"/>
        </w:trPr>
        <w:tc>
          <w:tcPr>
            <w:tcW w:w="3140" w:type="dxa"/>
            <w:vAlign w:val="bottom"/>
            <w:tcBorders>
              <w:bottom w:val="single" w:sz="8" w:color="CF0A2C"/>
            </w:tcBorders>
          </w:tcPr>
          <w:p>
            <w:pPr>
              <w:spacing w:after="0"/>
              <w:rPr>
                <w:sz w:val="4"/>
                <w:szCs w:val="4"/>
                <w:color w:val="auto"/>
              </w:rPr>
            </w:pPr>
          </w:p>
        </w:tc>
        <w:tc>
          <w:tcPr>
            <w:tcW w:w="1280" w:type="dxa"/>
            <w:vAlign w:val="bottom"/>
            <w:tcBorders>
              <w:bottom w:val="single" w:sz="8" w:color="CF0A2C"/>
            </w:tcBorders>
          </w:tcPr>
          <w:p>
            <w:pPr>
              <w:spacing w:after="0"/>
              <w:rPr>
                <w:sz w:val="4"/>
                <w:szCs w:val="4"/>
                <w:color w:val="auto"/>
              </w:rPr>
            </w:pPr>
          </w:p>
        </w:tc>
        <w:tc>
          <w:tcPr>
            <w:tcW w:w="600" w:type="dxa"/>
            <w:vAlign w:val="bottom"/>
            <w:tcBorders>
              <w:bottom w:val="single" w:sz="8" w:color="CF0A2C"/>
            </w:tcBorders>
          </w:tcPr>
          <w:p>
            <w:pPr>
              <w:spacing w:after="0"/>
              <w:rPr>
                <w:sz w:val="4"/>
                <w:szCs w:val="4"/>
                <w:color w:val="auto"/>
              </w:rPr>
            </w:pPr>
          </w:p>
        </w:tc>
        <w:tc>
          <w:tcPr>
            <w:tcW w:w="580" w:type="dxa"/>
            <w:vAlign w:val="bottom"/>
            <w:tcBorders>
              <w:bottom w:val="single" w:sz="8" w:color="CF0A2C"/>
            </w:tcBorders>
          </w:tcPr>
          <w:p>
            <w:pPr>
              <w:spacing w:after="0"/>
              <w:rPr>
                <w:sz w:val="4"/>
                <w:szCs w:val="4"/>
                <w:color w:val="auto"/>
              </w:rPr>
            </w:pPr>
          </w:p>
        </w:tc>
        <w:tc>
          <w:tcPr>
            <w:tcW w:w="600" w:type="dxa"/>
            <w:vAlign w:val="bottom"/>
            <w:tcBorders>
              <w:bottom w:val="single" w:sz="8" w:color="CF0A2C"/>
            </w:tcBorders>
          </w:tcPr>
          <w:p>
            <w:pPr>
              <w:spacing w:after="0"/>
              <w:rPr>
                <w:sz w:val="4"/>
                <w:szCs w:val="4"/>
                <w:color w:val="auto"/>
              </w:rPr>
            </w:pPr>
          </w:p>
        </w:tc>
        <w:tc>
          <w:tcPr>
            <w:tcW w:w="580" w:type="dxa"/>
            <w:vAlign w:val="bottom"/>
            <w:tcBorders>
              <w:bottom w:val="single" w:sz="8" w:color="CF0A2C"/>
            </w:tcBorders>
          </w:tcPr>
          <w:p>
            <w:pPr>
              <w:spacing w:after="0"/>
              <w:rPr>
                <w:sz w:val="4"/>
                <w:szCs w:val="4"/>
                <w:color w:val="auto"/>
              </w:rPr>
            </w:pPr>
          </w:p>
        </w:tc>
        <w:tc>
          <w:tcPr>
            <w:tcW w:w="800" w:type="dxa"/>
            <w:vAlign w:val="bottom"/>
            <w:tcBorders>
              <w:bottom w:val="single" w:sz="8" w:color="CF0A2C"/>
            </w:tcBorders>
          </w:tcPr>
          <w:p>
            <w:pPr>
              <w:spacing w:after="0"/>
              <w:rPr>
                <w:sz w:val="4"/>
                <w:szCs w:val="4"/>
                <w:color w:val="auto"/>
              </w:rPr>
            </w:pPr>
          </w:p>
        </w:tc>
        <w:tc>
          <w:tcPr>
            <w:tcW w:w="540" w:type="dxa"/>
            <w:vAlign w:val="bottom"/>
            <w:tcBorders>
              <w:bottom w:val="single" w:sz="8" w:color="CF0A2C"/>
            </w:tcBorders>
          </w:tcPr>
          <w:p>
            <w:pPr>
              <w:spacing w:after="0"/>
              <w:rPr>
                <w:sz w:val="4"/>
                <w:szCs w:val="4"/>
                <w:color w:val="auto"/>
              </w:rPr>
            </w:pPr>
          </w:p>
        </w:tc>
        <w:tc>
          <w:tcPr>
            <w:tcW w:w="580" w:type="dxa"/>
            <w:vAlign w:val="bottom"/>
            <w:tcBorders>
              <w:bottom w:val="single" w:sz="8" w:color="CF0A2C"/>
            </w:tcBorders>
          </w:tcPr>
          <w:p>
            <w:pPr>
              <w:spacing w:after="0"/>
              <w:rPr>
                <w:sz w:val="4"/>
                <w:szCs w:val="4"/>
                <w:color w:val="auto"/>
              </w:rPr>
            </w:pPr>
          </w:p>
        </w:tc>
      </w:tr>
      <w:tr>
        <w:trPr>
          <w:trHeight w:val="269"/>
        </w:trPr>
        <w:tc>
          <w:tcPr>
            <w:tcW w:w="3140" w:type="dxa"/>
            <w:vAlign w:val="bottom"/>
          </w:tcPr>
          <w:p>
            <w:pPr>
              <w:spacing w:after="0"/>
              <w:rPr>
                <w:sz w:val="20"/>
                <w:szCs w:val="20"/>
                <w:color w:val="auto"/>
              </w:rPr>
            </w:pPr>
            <w:r>
              <w:rPr>
                <w:rFonts w:ascii="Arial" w:cs="Arial" w:eastAsia="Arial" w:hAnsi="Arial"/>
                <w:sz w:val="16"/>
                <w:szCs w:val="16"/>
                <w:color w:val="262626"/>
              </w:rPr>
              <w:t>Business Development &amp; Strategy</w:t>
            </w:r>
          </w:p>
        </w:tc>
        <w:tc>
          <w:tcPr>
            <w:tcW w:w="1280" w:type="dxa"/>
            <w:vAlign w:val="bottom"/>
          </w:tcPr>
          <w:p>
            <w:pPr>
              <w:jc w:val="center"/>
              <w:ind w:left="539"/>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74"/>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80" w:type="dxa"/>
            <w:vAlign w:val="bottom"/>
          </w:tcPr>
          <w:p>
            <w:pPr>
              <w:spacing w:after="0"/>
              <w:rPr>
                <w:sz w:val="23"/>
                <w:szCs w:val="23"/>
                <w:color w:val="auto"/>
              </w:rPr>
            </w:pPr>
          </w:p>
        </w:tc>
        <w:tc>
          <w:tcPr>
            <w:tcW w:w="8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r>
      <w:tr>
        <w:trPr>
          <w:trHeight w:val="336"/>
        </w:trPr>
        <w:tc>
          <w:tcPr>
            <w:tcW w:w="3140" w:type="dxa"/>
            <w:vAlign w:val="bottom"/>
          </w:tcPr>
          <w:p>
            <w:pPr>
              <w:spacing w:after="0"/>
              <w:rPr>
                <w:sz w:val="20"/>
                <w:szCs w:val="20"/>
                <w:color w:val="auto"/>
              </w:rPr>
            </w:pPr>
            <w:r>
              <w:rPr>
                <w:rFonts w:ascii="Arial" w:cs="Arial" w:eastAsia="Arial" w:hAnsi="Arial"/>
                <w:sz w:val="16"/>
                <w:szCs w:val="16"/>
                <w:color w:val="262626"/>
              </w:rPr>
              <w:t>Cybersecurity</w:t>
            </w:r>
          </w:p>
        </w:tc>
        <w:tc>
          <w:tcPr>
            <w:tcW w:w="1280" w:type="dxa"/>
            <w:vAlign w:val="bottom"/>
          </w:tcPr>
          <w:p>
            <w:pPr>
              <w:jc w:val="center"/>
              <w:ind w:left="539"/>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spacing w:after="0"/>
              <w:rPr>
                <w:sz w:val="24"/>
                <w:szCs w:val="24"/>
                <w:color w:val="auto"/>
              </w:rPr>
            </w:pP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r>
      <w:tr>
        <w:trPr>
          <w:trHeight w:val="336"/>
        </w:trPr>
        <w:tc>
          <w:tcPr>
            <w:tcW w:w="3140" w:type="dxa"/>
            <w:vAlign w:val="bottom"/>
          </w:tcPr>
          <w:p>
            <w:pPr>
              <w:spacing w:after="0"/>
              <w:rPr>
                <w:sz w:val="20"/>
                <w:szCs w:val="20"/>
                <w:color w:val="auto"/>
              </w:rPr>
            </w:pPr>
            <w:r>
              <w:rPr>
                <w:rFonts w:ascii="Arial" w:cs="Arial" w:eastAsia="Arial" w:hAnsi="Arial"/>
                <w:sz w:val="16"/>
                <w:szCs w:val="16"/>
                <w:color w:val="262626"/>
              </w:rPr>
              <w:t>Executive Leadership</w:t>
            </w:r>
          </w:p>
        </w:tc>
        <w:tc>
          <w:tcPr>
            <w:tcW w:w="1280" w:type="dxa"/>
            <w:vAlign w:val="bottom"/>
          </w:tcPr>
          <w:p>
            <w:pPr>
              <w:jc w:val="center"/>
              <w:ind w:left="539"/>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74"/>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8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r>
      <w:tr>
        <w:trPr>
          <w:trHeight w:val="336"/>
        </w:trPr>
        <w:tc>
          <w:tcPr>
            <w:tcW w:w="3140" w:type="dxa"/>
            <w:vAlign w:val="bottom"/>
          </w:tcPr>
          <w:p>
            <w:pPr>
              <w:spacing w:after="0"/>
              <w:rPr>
                <w:sz w:val="20"/>
                <w:szCs w:val="20"/>
                <w:color w:val="auto"/>
              </w:rPr>
            </w:pPr>
            <w:r>
              <w:rPr>
                <w:rFonts w:ascii="Arial" w:cs="Arial" w:eastAsia="Arial" w:hAnsi="Arial"/>
                <w:sz w:val="16"/>
                <w:szCs w:val="16"/>
                <w:color w:val="262626"/>
              </w:rPr>
              <w:t>Finance/Accounting</w:t>
            </w:r>
          </w:p>
        </w:tc>
        <w:tc>
          <w:tcPr>
            <w:tcW w:w="1280" w:type="dxa"/>
            <w:vAlign w:val="bottom"/>
          </w:tcPr>
          <w:p>
            <w:pPr>
              <w:spacing w:after="0"/>
              <w:rPr>
                <w:sz w:val="24"/>
                <w:szCs w:val="24"/>
                <w:color w:val="auto"/>
              </w:rPr>
            </w:pP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74"/>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800" w:type="dxa"/>
            <w:vAlign w:val="bottom"/>
          </w:tcPr>
          <w:p>
            <w:pPr>
              <w:spacing w:after="0"/>
              <w:rPr>
                <w:sz w:val="24"/>
                <w:szCs w:val="24"/>
                <w:color w:val="auto"/>
              </w:rPr>
            </w:pP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r>
      <w:tr>
        <w:trPr>
          <w:trHeight w:val="336"/>
        </w:trPr>
        <w:tc>
          <w:tcPr>
            <w:tcW w:w="3140" w:type="dxa"/>
            <w:vAlign w:val="bottom"/>
          </w:tcPr>
          <w:p>
            <w:pPr>
              <w:spacing w:after="0"/>
              <w:rPr>
                <w:sz w:val="20"/>
                <w:szCs w:val="20"/>
                <w:color w:val="auto"/>
              </w:rPr>
            </w:pPr>
            <w:r>
              <w:rPr>
                <w:rFonts w:ascii="Arial" w:cs="Arial" w:eastAsia="Arial" w:hAnsi="Arial"/>
                <w:sz w:val="16"/>
                <w:szCs w:val="16"/>
                <w:color w:val="262626"/>
              </w:rPr>
              <w:t>Global Business</w:t>
            </w:r>
          </w:p>
        </w:tc>
        <w:tc>
          <w:tcPr>
            <w:tcW w:w="1280" w:type="dxa"/>
            <w:vAlign w:val="bottom"/>
          </w:tcPr>
          <w:p>
            <w:pPr>
              <w:jc w:val="center"/>
              <w:ind w:left="539"/>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74"/>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8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r>
      <w:tr>
        <w:trPr>
          <w:trHeight w:val="336"/>
        </w:trPr>
        <w:tc>
          <w:tcPr>
            <w:tcW w:w="3140" w:type="dxa"/>
            <w:vAlign w:val="bottom"/>
          </w:tcPr>
          <w:p>
            <w:pPr>
              <w:spacing w:after="0"/>
              <w:rPr>
                <w:sz w:val="20"/>
                <w:szCs w:val="20"/>
                <w:color w:val="auto"/>
              </w:rPr>
            </w:pPr>
            <w:r>
              <w:rPr>
                <w:rFonts w:ascii="Arial" w:cs="Arial" w:eastAsia="Arial" w:hAnsi="Arial"/>
                <w:sz w:val="16"/>
                <w:szCs w:val="16"/>
                <w:color w:val="262626"/>
              </w:rPr>
              <w:t>Manufacturing/Supply Chain</w:t>
            </w:r>
          </w:p>
        </w:tc>
        <w:tc>
          <w:tcPr>
            <w:tcW w:w="1280" w:type="dxa"/>
            <w:vAlign w:val="bottom"/>
          </w:tcPr>
          <w:p>
            <w:pPr>
              <w:jc w:val="center"/>
              <w:ind w:left="539"/>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74"/>
              </w:rPr>
              <w:t>✔</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8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80" w:type="dxa"/>
            <w:vAlign w:val="bottom"/>
          </w:tcPr>
          <w:p>
            <w:pPr>
              <w:spacing w:after="0"/>
              <w:rPr>
                <w:sz w:val="24"/>
                <w:szCs w:val="24"/>
                <w:color w:val="auto"/>
              </w:rPr>
            </w:pPr>
          </w:p>
        </w:tc>
      </w:tr>
      <w:tr>
        <w:trPr>
          <w:trHeight w:val="336"/>
        </w:trPr>
        <w:tc>
          <w:tcPr>
            <w:tcW w:w="3140" w:type="dxa"/>
            <w:vAlign w:val="bottom"/>
          </w:tcPr>
          <w:p>
            <w:pPr>
              <w:spacing w:after="0"/>
              <w:rPr>
                <w:sz w:val="20"/>
                <w:szCs w:val="20"/>
                <w:color w:val="auto"/>
              </w:rPr>
            </w:pPr>
            <w:r>
              <w:rPr>
                <w:rFonts w:ascii="Arial" w:cs="Arial" w:eastAsia="Arial" w:hAnsi="Arial"/>
                <w:sz w:val="16"/>
                <w:szCs w:val="16"/>
                <w:color w:val="262626"/>
              </w:rPr>
              <w:t>Semiconductor</w:t>
            </w:r>
          </w:p>
        </w:tc>
        <w:tc>
          <w:tcPr>
            <w:tcW w:w="1280" w:type="dxa"/>
            <w:vAlign w:val="bottom"/>
          </w:tcPr>
          <w:p>
            <w:pPr>
              <w:jc w:val="center"/>
              <w:ind w:left="539"/>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74"/>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spacing w:after="0"/>
              <w:rPr>
                <w:sz w:val="24"/>
                <w:szCs w:val="24"/>
                <w:color w:val="auto"/>
              </w:rPr>
            </w:pP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8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80" w:type="dxa"/>
            <w:vAlign w:val="bottom"/>
          </w:tcPr>
          <w:p>
            <w:pPr>
              <w:spacing w:after="0"/>
              <w:rPr>
                <w:sz w:val="24"/>
                <w:szCs w:val="24"/>
                <w:color w:val="auto"/>
              </w:rPr>
            </w:pPr>
          </w:p>
        </w:tc>
      </w:tr>
      <w:tr>
        <w:trPr>
          <w:trHeight w:val="336"/>
        </w:trPr>
        <w:tc>
          <w:tcPr>
            <w:tcW w:w="3140" w:type="dxa"/>
            <w:vAlign w:val="bottom"/>
          </w:tcPr>
          <w:p>
            <w:pPr>
              <w:spacing w:after="0"/>
              <w:rPr>
                <w:sz w:val="20"/>
                <w:szCs w:val="20"/>
                <w:color w:val="auto"/>
              </w:rPr>
            </w:pPr>
            <w:r>
              <w:rPr>
                <w:rFonts w:ascii="Arial" w:cs="Arial" w:eastAsia="Arial" w:hAnsi="Arial"/>
                <w:sz w:val="16"/>
                <w:szCs w:val="16"/>
                <w:color w:val="262626"/>
              </w:rPr>
              <w:t>Software/Cloud Computing</w:t>
            </w:r>
          </w:p>
        </w:tc>
        <w:tc>
          <w:tcPr>
            <w:tcW w:w="1280" w:type="dxa"/>
            <w:vAlign w:val="bottom"/>
          </w:tcPr>
          <w:p>
            <w:pPr>
              <w:jc w:val="center"/>
              <w:ind w:left="539"/>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spacing w:after="0"/>
              <w:rPr>
                <w:sz w:val="24"/>
                <w:szCs w:val="24"/>
                <w:color w:val="auto"/>
              </w:rPr>
            </w:pP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r>
      <w:tr>
        <w:trPr>
          <w:trHeight w:val="336"/>
        </w:trPr>
        <w:tc>
          <w:tcPr>
            <w:tcW w:w="3140" w:type="dxa"/>
            <w:vAlign w:val="bottom"/>
          </w:tcPr>
          <w:p>
            <w:pPr>
              <w:spacing w:after="0"/>
              <w:rPr>
                <w:sz w:val="20"/>
                <w:szCs w:val="20"/>
                <w:color w:val="auto"/>
              </w:rPr>
            </w:pPr>
            <w:r>
              <w:rPr>
                <w:rFonts w:ascii="Arial" w:cs="Arial" w:eastAsia="Arial" w:hAnsi="Arial"/>
                <w:sz w:val="16"/>
                <w:szCs w:val="16"/>
                <w:color w:val="262626"/>
              </w:rPr>
              <w:t>Technology/Innovation</w:t>
            </w:r>
          </w:p>
        </w:tc>
        <w:tc>
          <w:tcPr>
            <w:tcW w:w="1280" w:type="dxa"/>
            <w:vAlign w:val="bottom"/>
          </w:tcPr>
          <w:p>
            <w:pPr>
              <w:jc w:val="center"/>
              <w:ind w:left="539"/>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74"/>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262626"/>
                <w:w w:val="87"/>
              </w:rPr>
              <w:t>✔</w:t>
            </w:r>
          </w:p>
        </w:tc>
      </w:tr>
      <w:tr>
        <w:trPr>
          <w:trHeight w:val="87"/>
        </w:trPr>
        <w:tc>
          <w:tcPr>
            <w:tcW w:w="3140" w:type="dxa"/>
            <w:vAlign w:val="bottom"/>
            <w:tcBorders>
              <w:bottom w:val="single" w:sz="8" w:color="CF0A2C"/>
            </w:tcBorders>
          </w:tcPr>
          <w:p>
            <w:pPr>
              <w:spacing w:after="0"/>
              <w:rPr>
                <w:sz w:val="7"/>
                <w:szCs w:val="7"/>
                <w:color w:val="auto"/>
              </w:rPr>
            </w:pPr>
          </w:p>
        </w:tc>
        <w:tc>
          <w:tcPr>
            <w:tcW w:w="1280" w:type="dxa"/>
            <w:vAlign w:val="bottom"/>
            <w:tcBorders>
              <w:bottom w:val="single" w:sz="8" w:color="CF0A2C"/>
            </w:tcBorders>
          </w:tcPr>
          <w:p>
            <w:pPr>
              <w:spacing w:after="0"/>
              <w:rPr>
                <w:sz w:val="7"/>
                <w:szCs w:val="7"/>
                <w:color w:val="auto"/>
              </w:rPr>
            </w:pPr>
          </w:p>
        </w:tc>
        <w:tc>
          <w:tcPr>
            <w:tcW w:w="600" w:type="dxa"/>
            <w:vAlign w:val="bottom"/>
            <w:tcBorders>
              <w:bottom w:val="single" w:sz="8" w:color="CF0A2C"/>
            </w:tcBorders>
          </w:tcPr>
          <w:p>
            <w:pPr>
              <w:spacing w:after="0"/>
              <w:rPr>
                <w:sz w:val="7"/>
                <w:szCs w:val="7"/>
                <w:color w:val="auto"/>
              </w:rPr>
            </w:pPr>
          </w:p>
        </w:tc>
        <w:tc>
          <w:tcPr>
            <w:tcW w:w="580" w:type="dxa"/>
            <w:vAlign w:val="bottom"/>
            <w:tcBorders>
              <w:bottom w:val="single" w:sz="8" w:color="CF0A2C"/>
            </w:tcBorders>
          </w:tcPr>
          <w:p>
            <w:pPr>
              <w:spacing w:after="0"/>
              <w:rPr>
                <w:sz w:val="7"/>
                <w:szCs w:val="7"/>
                <w:color w:val="auto"/>
              </w:rPr>
            </w:pPr>
          </w:p>
        </w:tc>
        <w:tc>
          <w:tcPr>
            <w:tcW w:w="600" w:type="dxa"/>
            <w:vAlign w:val="bottom"/>
            <w:tcBorders>
              <w:bottom w:val="single" w:sz="8" w:color="CF0A2C"/>
            </w:tcBorders>
          </w:tcPr>
          <w:p>
            <w:pPr>
              <w:spacing w:after="0"/>
              <w:rPr>
                <w:sz w:val="7"/>
                <w:szCs w:val="7"/>
                <w:color w:val="auto"/>
              </w:rPr>
            </w:pPr>
          </w:p>
        </w:tc>
        <w:tc>
          <w:tcPr>
            <w:tcW w:w="580" w:type="dxa"/>
            <w:vAlign w:val="bottom"/>
            <w:tcBorders>
              <w:bottom w:val="single" w:sz="8" w:color="CF0A2C"/>
            </w:tcBorders>
          </w:tcPr>
          <w:p>
            <w:pPr>
              <w:spacing w:after="0"/>
              <w:rPr>
                <w:sz w:val="7"/>
                <w:szCs w:val="7"/>
                <w:color w:val="auto"/>
              </w:rPr>
            </w:pPr>
          </w:p>
        </w:tc>
        <w:tc>
          <w:tcPr>
            <w:tcW w:w="800" w:type="dxa"/>
            <w:vAlign w:val="bottom"/>
            <w:tcBorders>
              <w:bottom w:val="single" w:sz="8" w:color="CF0A2C"/>
            </w:tcBorders>
          </w:tcPr>
          <w:p>
            <w:pPr>
              <w:spacing w:after="0"/>
              <w:rPr>
                <w:sz w:val="7"/>
                <w:szCs w:val="7"/>
                <w:color w:val="auto"/>
              </w:rPr>
            </w:pPr>
          </w:p>
        </w:tc>
        <w:tc>
          <w:tcPr>
            <w:tcW w:w="540" w:type="dxa"/>
            <w:vAlign w:val="bottom"/>
            <w:tcBorders>
              <w:bottom w:val="single" w:sz="8" w:color="CF0A2C"/>
            </w:tcBorders>
          </w:tcPr>
          <w:p>
            <w:pPr>
              <w:spacing w:after="0"/>
              <w:rPr>
                <w:sz w:val="7"/>
                <w:szCs w:val="7"/>
                <w:color w:val="auto"/>
              </w:rPr>
            </w:pPr>
          </w:p>
        </w:tc>
        <w:tc>
          <w:tcPr>
            <w:tcW w:w="580" w:type="dxa"/>
            <w:vAlign w:val="bottom"/>
            <w:tcBorders>
              <w:bottom w:val="single" w:sz="8" w:color="CF0A2C"/>
            </w:tcBorders>
          </w:tcPr>
          <w:p>
            <w:pPr>
              <w:spacing w:after="0"/>
              <w:rPr>
                <w:sz w:val="7"/>
                <w:szCs w:val="7"/>
                <w:color w:val="auto"/>
              </w:rPr>
            </w:pPr>
          </w:p>
        </w:tc>
      </w:tr>
      <w:tr>
        <w:trPr>
          <w:trHeight w:val="323"/>
        </w:trPr>
        <w:tc>
          <w:tcPr>
            <w:tcW w:w="3140" w:type="dxa"/>
            <w:vAlign w:val="bottom"/>
          </w:tcPr>
          <w:p>
            <w:pPr>
              <w:spacing w:after="0"/>
              <w:rPr>
                <w:sz w:val="20"/>
                <w:szCs w:val="20"/>
                <w:color w:val="auto"/>
              </w:rPr>
            </w:pPr>
            <w:r>
              <w:rPr>
                <w:rFonts w:ascii="Arial" w:cs="Arial" w:eastAsia="Arial" w:hAnsi="Arial"/>
                <w:sz w:val="15"/>
                <w:szCs w:val="15"/>
                <w:color w:val="262626"/>
              </w:rPr>
              <w:t>18</w:t>
            </w: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-114935</wp:posOffset>
            </wp:positionV>
            <wp:extent cx="605155" cy="85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The biographical information of each director nominee provided below is as of 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181610</wp:posOffset>
            </wp:positionV>
            <wp:extent cx="55225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387"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Diane M.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79375</wp:posOffset>
            </wp:positionV>
            <wp:extent cx="55225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66" w:lineRule="exact"/>
        <w:rPr>
          <w:sz w:val="20"/>
          <w:szCs w:val="20"/>
          <w:color w:val="auto"/>
        </w:rPr>
      </w:pPr>
    </w:p>
    <w:p>
      <w:pPr>
        <w:jc w:val="right"/>
        <w:ind w:right="1119"/>
        <w:spacing w:after="0"/>
        <w:tabs>
          <w:tab w:leader="none" w:pos="1460" w:val="left"/>
        </w:tabs>
        <w:rPr>
          <w:sz w:val="20"/>
          <w:szCs w:val="20"/>
          <w:color w:val="auto"/>
        </w:rPr>
      </w:pPr>
      <w:r>
        <w:rPr>
          <w:rFonts w:ascii="Arial" w:cs="Arial" w:eastAsia="Arial" w:hAnsi="Arial"/>
          <w:sz w:val="16"/>
          <w:szCs w:val="16"/>
          <w:b w:val="1"/>
          <w:bCs w:val="1"/>
          <w:color w:val="262626"/>
        </w:rPr>
        <w:t xml:space="preserve">Director Since: </w:t>
      </w:r>
      <w:r>
        <w:rPr>
          <w:rFonts w:ascii="Arial" w:cs="Arial" w:eastAsia="Arial" w:hAnsi="Arial"/>
          <w:sz w:val="16"/>
          <w:szCs w:val="16"/>
          <w:color w:val="262626"/>
        </w:rPr>
        <w:t>2019</w:t>
      </w:r>
      <w:r>
        <w:rPr>
          <w:sz w:val="20"/>
          <w:szCs w:val="20"/>
          <w:color w:val="auto"/>
        </w:rPr>
        <w:tab/>
      </w:r>
      <w:r>
        <w:rPr>
          <w:rFonts w:ascii="Arial" w:cs="Arial" w:eastAsia="Arial" w:hAnsi="Arial"/>
          <w:sz w:val="16"/>
          <w:szCs w:val="16"/>
          <w:b w:val="1"/>
          <w:bCs w:val="1"/>
          <w:color w:val="262626"/>
        </w:rPr>
        <w:t>Board Committees:</w:t>
      </w:r>
    </w:p>
    <w:p>
      <w:pPr>
        <w:spacing w:after="0" w:line="71" w:lineRule="exact"/>
        <w:rPr>
          <w:sz w:val="20"/>
          <w:szCs w:val="20"/>
          <w:color w:val="auto"/>
        </w:rPr>
      </w:pPr>
    </w:p>
    <w:p>
      <w:pPr>
        <w:ind w:left="1280"/>
        <w:spacing w:after="0"/>
        <w:tabs>
          <w:tab w:leader="none" w:pos="7600" w:val="left"/>
        </w:tabs>
        <w:rPr>
          <w:sz w:val="20"/>
          <w:szCs w:val="20"/>
          <w:color w:val="auto"/>
        </w:rPr>
      </w:pPr>
      <w:r>
        <w:rPr>
          <w:rFonts w:ascii="Arial" w:cs="Arial" w:eastAsia="Arial" w:hAnsi="Arial"/>
          <w:sz w:val="16"/>
          <w:szCs w:val="16"/>
          <w:color w:val="262626"/>
        </w:rPr>
        <w:t>Independent Director</w:t>
      </w:r>
      <w:r>
        <w:rPr>
          <w:sz w:val="20"/>
          <w:szCs w:val="20"/>
          <w:color w:val="auto"/>
        </w:rPr>
        <w:tab/>
      </w:r>
      <w:r>
        <w:rPr>
          <w:rFonts w:ascii="Arial" w:cs="Arial" w:eastAsia="Arial" w:hAnsi="Arial"/>
          <w:sz w:val="16"/>
          <w:szCs w:val="16"/>
          <w:color w:val="262626"/>
        </w:rPr>
        <w:t>•  Compensation</w:t>
      </w:r>
    </w:p>
    <w:p>
      <w:pPr>
        <w:spacing w:after="0" w:line="313"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63</w:t>
      </w:r>
    </w:p>
    <w:p>
      <w:pPr>
        <w:sectPr>
          <w:pgSz w:w="11900" w:h="16838" w:orient="portrait"/>
          <w:cols w:equalWidth="0" w:num="1">
            <w:col w:w="10139"/>
          </w:cols>
          <w:pgMar w:left="320" w:top="480" w:right="1440" w:bottom="1440" w:gutter="0" w:footer="0" w:header="0"/>
        </w:sectPr>
      </w:pPr>
    </w:p>
    <w:p>
      <w:pPr>
        <w:spacing w:after="0" w:line="299" w:lineRule="exact"/>
        <w:rPr>
          <w:sz w:val="20"/>
          <w:szCs w:val="20"/>
          <w:color w:val="auto"/>
        </w:rPr>
      </w:pPr>
    </w:p>
    <w:p>
      <w:pPr>
        <w:jc w:val="both"/>
        <w:ind w:left="1280"/>
        <w:spacing w:after="0" w:line="331" w:lineRule="auto"/>
        <w:rPr>
          <w:sz w:val="20"/>
          <w:szCs w:val="20"/>
          <w:color w:val="auto"/>
        </w:rPr>
      </w:pPr>
      <w:r>
        <w:rPr>
          <w:rFonts w:ascii="Arial" w:cs="Arial" w:eastAsia="Arial" w:hAnsi="Arial"/>
          <w:sz w:val="16"/>
          <w:szCs w:val="16"/>
          <w:color w:val="262626"/>
        </w:rPr>
        <w:t>Ms. Bryant served as Chief Executive Officer of NovaSignal Corp., a medical technology and data company specializing in the assessment and management of brain health, from January 2020 to July 2023. She was Chief Operating Officer of Google Cloud at Alphabet Inc. from December 2017 to July 2018. Prior to Alphabet, she held several executive leadership positions at Intel Corporation, including as Group President and Executive Vice President and General Manager of the Data Center Group that develops server, storage and network platforms for the digital services economy and Corporate Vice President and Chief Information Officer. She also serves on the Chancellor’s Board of Advisors at the University of California at Davis.</w:t>
      </w:r>
    </w:p>
    <w:p>
      <w:pPr>
        <w:spacing w:after="0" w:line="214" w:lineRule="exact"/>
        <w:rPr>
          <w:sz w:val="20"/>
          <w:szCs w:val="20"/>
          <w:color w:val="auto"/>
        </w:rPr>
      </w:pPr>
    </w:p>
    <w:p>
      <w:pPr>
        <w:jc w:val="both"/>
        <w:ind w:left="1280"/>
        <w:spacing w:after="0" w:line="343" w:lineRule="auto"/>
        <w:rPr>
          <w:sz w:val="20"/>
          <w:szCs w:val="20"/>
          <w:color w:val="auto"/>
        </w:rPr>
      </w:pPr>
      <w:r>
        <w:rPr>
          <w:rFonts w:ascii="Arial" w:cs="Arial" w:eastAsia="Arial" w:hAnsi="Arial"/>
          <w:sz w:val="16"/>
          <w:szCs w:val="16"/>
          <w:color w:val="262626"/>
        </w:rPr>
        <w:t>Ms. Bryant serves as a director of Haemonetics Corporation and Jacobs Solutions Inc. She served as a director of United Technologies Corporation from January 2017 until its acquisition by Raytheon Company in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539115</wp:posOffset>
            </wp:positionV>
            <wp:extent cx="55225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Qualification &amp; Skills:</w:t>
      </w:r>
    </w:p>
    <w:p>
      <w:pPr>
        <w:spacing w:after="0" w:line="71" w:lineRule="exact"/>
        <w:rPr>
          <w:sz w:val="20"/>
          <w:szCs w:val="20"/>
          <w:color w:val="auto"/>
        </w:rPr>
      </w:pPr>
    </w:p>
    <w:p>
      <w:pPr>
        <w:ind w:left="260" w:right="539" w:hanging="176"/>
        <w:spacing w:after="0" w:line="323" w:lineRule="auto"/>
        <w:tabs>
          <w:tab w:leader="none" w:pos="260" w:val="left"/>
        </w:tabs>
        <w:numPr>
          <w:ilvl w:val="0"/>
          <w:numId w:val="13"/>
        </w:numPr>
        <w:rPr>
          <w:rFonts w:ascii="Arial" w:cs="Arial" w:eastAsia="Arial" w:hAnsi="Arial"/>
          <w:sz w:val="16"/>
          <w:szCs w:val="16"/>
          <w:color w:val="262626"/>
        </w:rPr>
      </w:pPr>
      <w:r>
        <w:rPr>
          <w:rFonts w:ascii="Arial" w:cs="Arial" w:eastAsia="Arial" w:hAnsi="Arial"/>
          <w:sz w:val="16"/>
          <w:szCs w:val="16"/>
          <w:color w:val="262626"/>
        </w:rPr>
        <w:t>Business Development &amp; Strategy</w:t>
      </w:r>
    </w:p>
    <w:p>
      <w:pPr>
        <w:spacing w:after="0" w:line="1" w:lineRule="exact"/>
        <w:rPr>
          <w:rFonts w:ascii="Arial" w:cs="Arial" w:eastAsia="Arial" w:hAnsi="Arial"/>
          <w:sz w:val="16"/>
          <w:szCs w:val="16"/>
          <w:color w:val="262626"/>
        </w:rPr>
      </w:pPr>
    </w:p>
    <w:p>
      <w:pPr>
        <w:ind w:left="260" w:hanging="176"/>
        <w:spacing w:after="0"/>
        <w:tabs>
          <w:tab w:leader="none" w:pos="260" w:val="left"/>
        </w:tabs>
        <w:numPr>
          <w:ilvl w:val="0"/>
          <w:numId w:val="13"/>
        </w:numPr>
        <w:rPr>
          <w:rFonts w:ascii="Arial" w:cs="Arial" w:eastAsia="Arial" w:hAnsi="Arial"/>
          <w:sz w:val="16"/>
          <w:szCs w:val="16"/>
          <w:color w:val="262626"/>
        </w:rPr>
      </w:pPr>
      <w:r>
        <w:rPr>
          <w:rFonts w:ascii="Arial" w:cs="Arial" w:eastAsia="Arial" w:hAnsi="Arial"/>
          <w:sz w:val="16"/>
          <w:szCs w:val="16"/>
          <w:color w:val="262626"/>
        </w:rPr>
        <w:t>Cybersecurity</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3"/>
        </w:numPr>
        <w:rPr>
          <w:rFonts w:ascii="Arial" w:cs="Arial" w:eastAsia="Arial" w:hAnsi="Arial"/>
          <w:sz w:val="16"/>
          <w:szCs w:val="16"/>
          <w:color w:val="262626"/>
        </w:rPr>
      </w:pPr>
      <w:r>
        <w:rPr>
          <w:rFonts w:ascii="Arial" w:cs="Arial" w:eastAsia="Arial" w:hAnsi="Arial"/>
          <w:sz w:val="16"/>
          <w:szCs w:val="16"/>
          <w:color w:val="262626"/>
        </w:rPr>
        <w:t>Executive Leadership</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3"/>
        </w:numPr>
        <w:rPr>
          <w:rFonts w:ascii="Arial" w:cs="Arial" w:eastAsia="Arial" w:hAnsi="Arial"/>
          <w:sz w:val="16"/>
          <w:szCs w:val="16"/>
          <w:color w:val="262626"/>
        </w:rPr>
      </w:pPr>
      <w:r>
        <w:rPr>
          <w:rFonts w:ascii="Arial" w:cs="Arial" w:eastAsia="Arial" w:hAnsi="Arial"/>
          <w:sz w:val="16"/>
          <w:szCs w:val="16"/>
          <w:color w:val="262626"/>
        </w:rPr>
        <w:t>Global Business</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3"/>
        </w:numPr>
        <w:rPr>
          <w:rFonts w:ascii="Arial" w:cs="Arial" w:eastAsia="Arial" w:hAnsi="Arial"/>
          <w:sz w:val="16"/>
          <w:szCs w:val="16"/>
          <w:color w:val="262626"/>
        </w:rPr>
      </w:pPr>
      <w:r>
        <w:rPr>
          <w:rFonts w:ascii="Arial" w:cs="Arial" w:eastAsia="Arial" w:hAnsi="Arial"/>
          <w:sz w:val="16"/>
          <w:szCs w:val="16"/>
          <w:color w:val="262626"/>
        </w:rPr>
        <w:t>Manufacturing/Supply Chain</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3"/>
        </w:numPr>
        <w:rPr>
          <w:rFonts w:ascii="Arial" w:cs="Arial" w:eastAsia="Arial" w:hAnsi="Arial"/>
          <w:sz w:val="16"/>
          <w:szCs w:val="16"/>
          <w:color w:val="262626"/>
        </w:rPr>
      </w:pPr>
      <w:r>
        <w:rPr>
          <w:rFonts w:ascii="Arial" w:cs="Arial" w:eastAsia="Arial" w:hAnsi="Arial"/>
          <w:sz w:val="16"/>
          <w:szCs w:val="16"/>
          <w:color w:val="262626"/>
        </w:rPr>
        <w:t>Semiconductor</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3"/>
        </w:numPr>
        <w:rPr>
          <w:rFonts w:ascii="Arial" w:cs="Arial" w:eastAsia="Arial" w:hAnsi="Arial"/>
          <w:sz w:val="16"/>
          <w:szCs w:val="16"/>
          <w:color w:val="262626"/>
        </w:rPr>
      </w:pPr>
      <w:r>
        <w:rPr>
          <w:rFonts w:ascii="Arial" w:cs="Arial" w:eastAsia="Arial" w:hAnsi="Arial"/>
          <w:sz w:val="16"/>
          <w:szCs w:val="16"/>
          <w:color w:val="262626"/>
        </w:rPr>
        <w:t>Software/Cloud Computing</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3"/>
        </w:numPr>
        <w:rPr>
          <w:rFonts w:ascii="Arial" w:cs="Arial" w:eastAsia="Arial" w:hAnsi="Arial"/>
          <w:sz w:val="16"/>
          <w:szCs w:val="16"/>
          <w:color w:val="262626"/>
        </w:rPr>
      </w:pPr>
      <w:r>
        <w:rPr>
          <w:rFonts w:ascii="Arial" w:cs="Arial" w:eastAsia="Arial" w:hAnsi="Arial"/>
          <w:sz w:val="16"/>
          <w:szCs w:val="16"/>
          <w:color w:val="262626"/>
        </w:rPr>
        <w:t>Technology/Innovation</w:t>
      </w:r>
    </w:p>
    <w:p>
      <w:pPr>
        <w:spacing w:after="0" w:line="1301" w:lineRule="exact"/>
        <w:rPr>
          <w:sz w:val="20"/>
          <w:szCs w:val="20"/>
          <w:color w:val="auto"/>
        </w:rPr>
      </w:pPr>
    </w:p>
    <w:p>
      <w:pPr>
        <w:sectPr>
          <w:pgSz w:w="11900" w:h="16838" w:orient="portrait"/>
          <w:cols w:equalWidth="0" w:num="2">
            <w:col w:w="7360" w:space="180"/>
            <w:col w:w="2599"/>
          </w:cols>
          <w:pgMar w:left="320" w:top="48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Gayla J. Delly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79375</wp:posOffset>
            </wp:positionV>
            <wp:extent cx="55225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66"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6"/>
                <w:szCs w:val="16"/>
                <w:b w:val="1"/>
                <w:bCs w:val="1"/>
                <w:color w:val="262626"/>
              </w:rPr>
              <w:t xml:space="preserve">Director Since: </w:t>
            </w:r>
            <w:r>
              <w:rPr>
                <w:rFonts w:ascii="Arial" w:cs="Arial" w:eastAsia="Arial" w:hAnsi="Arial"/>
                <w:sz w:val="16"/>
                <w:szCs w:val="16"/>
                <w:color w:val="262626"/>
              </w:rPr>
              <w:t>2017</w:t>
            </w:r>
          </w:p>
        </w:tc>
        <w:tc>
          <w:tcPr>
            <w:tcW w:w="3840" w:type="dxa"/>
            <w:vAlign w:val="bottom"/>
            <w:gridSpan w:val="2"/>
          </w:tcPr>
          <w:p>
            <w:pPr>
              <w:ind w:left="2360"/>
              <w:spacing w:after="0"/>
              <w:rPr>
                <w:sz w:val="20"/>
                <w:szCs w:val="20"/>
                <w:color w:val="auto"/>
              </w:rPr>
            </w:pPr>
            <w:r>
              <w:rPr>
                <w:rFonts w:ascii="Arial" w:cs="Arial" w:eastAsia="Arial" w:hAnsi="Arial"/>
                <w:sz w:val="16"/>
                <w:szCs w:val="16"/>
                <w:b w:val="1"/>
                <w:bCs w:val="1"/>
                <w:color w:val="262626"/>
                <w:w w:val="98"/>
              </w:rPr>
              <w:t>Board Committees:</w:t>
            </w:r>
          </w:p>
        </w:tc>
      </w:tr>
      <w:tr>
        <w:trPr>
          <w:trHeight w:val="247"/>
        </w:trPr>
        <w:tc>
          <w:tcPr>
            <w:tcW w:w="3900" w:type="dxa"/>
            <w:vAlign w:val="bottom"/>
          </w:tcPr>
          <w:p>
            <w:pPr>
              <w:spacing w:after="0"/>
              <w:rPr>
                <w:sz w:val="20"/>
                <w:szCs w:val="20"/>
                <w:color w:val="auto"/>
              </w:rPr>
            </w:pPr>
            <w:r>
              <w:rPr>
                <w:rFonts w:ascii="Arial" w:cs="Arial" w:eastAsia="Arial" w:hAnsi="Arial"/>
                <w:sz w:val="16"/>
                <w:szCs w:val="16"/>
                <w:color w:val="262626"/>
              </w:rPr>
              <w:t>Independent Director</w:t>
            </w:r>
          </w:p>
        </w:tc>
        <w:tc>
          <w:tcPr>
            <w:tcW w:w="2560" w:type="dxa"/>
            <w:vAlign w:val="bottom"/>
          </w:tcPr>
          <w:p>
            <w:pPr>
              <w:ind w:left="2440"/>
              <w:spacing w:after="0"/>
              <w:rPr>
                <w:sz w:val="20"/>
                <w:szCs w:val="20"/>
                <w:color w:val="auto"/>
              </w:rPr>
            </w:pPr>
            <w:r>
              <w:rPr>
                <w:rFonts w:ascii="Arial" w:cs="Arial" w:eastAsia="Arial" w:hAnsi="Arial"/>
                <w:sz w:val="16"/>
                <w:szCs w:val="16"/>
                <w:color w:val="262626"/>
              </w:rPr>
              <w:t>•</w:t>
            </w:r>
          </w:p>
        </w:tc>
        <w:tc>
          <w:tcPr>
            <w:tcW w:w="1280" w:type="dxa"/>
            <w:vAlign w:val="bottom"/>
          </w:tcPr>
          <w:p>
            <w:pPr>
              <w:ind w:left="60"/>
              <w:spacing w:after="0"/>
              <w:rPr>
                <w:sz w:val="20"/>
                <w:szCs w:val="20"/>
                <w:color w:val="auto"/>
              </w:rPr>
            </w:pPr>
            <w:r>
              <w:rPr>
                <w:rFonts w:ascii="Arial" w:cs="Arial" w:eastAsia="Arial" w:hAnsi="Arial"/>
                <w:sz w:val="16"/>
                <w:szCs w:val="16"/>
                <w:color w:val="262626"/>
              </w:rPr>
              <w:t>Audit (Chair)</w:t>
            </w:r>
          </w:p>
        </w:tc>
      </w:tr>
      <w:tr>
        <w:trPr>
          <w:trHeight w:val="255"/>
        </w:trPr>
        <w:tc>
          <w:tcPr>
            <w:tcW w:w="3900" w:type="dxa"/>
            <w:vAlign w:val="bottom"/>
          </w:tcPr>
          <w:p>
            <w:pPr>
              <w:spacing w:after="0"/>
              <w:rPr>
                <w:sz w:val="22"/>
                <w:szCs w:val="22"/>
                <w:color w:val="auto"/>
              </w:rPr>
            </w:pPr>
          </w:p>
        </w:tc>
        <w:tc>
          <w:tcPr>
            <w:tcW w:w="2560" w:type="dxa"/>
            <w:vAlign w:val="bottom"/>
          </w:tcPr>
          <w:p>
            <w:pPr>
              <w:ind w:left="2440"/>
              <w:spacing w:after="0"/>
              <w:rPr>
                <w:sz w:val="20"/>
                <w:szCs w:val="20"/>
                <w:color w:val="auto"/>
              </w:rPr>
            </w:pPr>
            <w:r>
              <w:rPr>
                <w:rFonts w:ascii="Arial" w:cs="Arial" w:eastAsia="Arial" w:hAnsi="Arial"/>
                <w:sz w:val="16"/>
                <w:szCs w:val="16"/>
                <w:color w:val="262626"/>
              </w:rPr>
              <w:t>•</w:t>
            </w:r>
          </w:p>
        </w:tc>
        <w:tc>
          <w:tcPr>
            <w:tcW w:w="1280" w:type="dxa"/>
            <w:vAlign w:val="bottom"/>
          </w:tcPr>
          <w:p>
            <w:pPr>
              <w:ind w:left="60"/>
              <w:spacing w:after="0"/>
              <w:rPr>
                <w:sz w:val="20"/>
                <w:szCs w:val="20"/>
                <w:color w:val="auto"/>
              </w:rPr>
            </w:pPr>
            <w:r>
              <w:rPr>
                <w:rFonts w:ascii="Arial" w:cs="Arial" w:eastAsia="Arial" w:hAnsi="Arial"/>
                <w:sz w:val="16"/>
                <w:szCs w:val="16"/>
                <w:color w:val="262626"/>
              </w:rPr>
              <w:t>NCG</w:t>
            </w:r>
          </w:p>
        </w:tc>
      </w:tr>
      <w:tr>
        <w:trPr>
          <w:trHeight w:val="255"/>
        </w:trPr>
        <w:tc>
          <w:tcPr>
            <w:tcW w:w="3900" w:type="dxa"/>
            <w:vAlign w:val="bottom"/>
          </w:tcPr>
          <w:p>
            <w:pPr>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66</w:t>
            </w:r>
          </w:p>
        </w:tc>
        <w:tc>
          <w:tcPr>
            <w:tcW w:w="2560" w:type="dxa"/>
            <w:vAlign w:val="bottom"/>
          </w:tcPr>
          <w:p>
            <w:pPr>
              <w:ind w:left="2440"/>
              <w:spacing w:after="0"/>
              <w:rPr>
                <w:sz w:val="20"/>
                <w:szCs w:val="20"/>
                <w:color w:val="auto"/>
              </w:rPr>
            </w:pPr>
            <w:r>
              <w:rPr>
                <w:rFonts w:ascii="Arial" w:cs="Arial" w:eastAsia="Arial" w:hAnsi="Arial"/>
                <w:sz w:val="16"/>
                <w:szCs w:val="16"/>
                <w:color w:val="262626"/>
              </w:rPr>
              <w:t>•</w:t>
            </w:r>
          </w:p>
        </w:tc>
        <w:tc>
          <w:tcPr>
            <w:tcW w:w="1280" w:type="dxa"/>
            <w:vAlign w:val="bottom"/>
          </w:tcPr>
          <w:p>
            <w:pPr>
              <w:ind w:left="60"/>
              <w:spacing w:after="0"/>
              <w:rPr>
                <w:sz w:val="20"/>
                <w:szCs w:val="20"/>
                <w:color w:val="auto"/>
              </w:rPr>
            </w:pPr>
            <w:r>
              <w:rPr>
                <w:rFonts w:ascii="Arial" w:cs="Arial" w:eastAsia="Arial" w:hAnsi="Arial"/>
                <w:sz w:val="16"/>
                <w:szCs w:val="16"/>
                <w:color w:val="262626"/>
              </w:rPr>
              <w:t>Executive</w:t>
            </w:r>
          </w:p>
        </w:tc>
      </w:tr>
    </w:tbl>
    <w:p>
      <w:pPr>
        <w:spacing w:after="0" w:line="269"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6180" w:type="dxa"/>
            <w:vAlign w:val="bottom"/>
          </w:tcPr>
          <w:p>
            <w:pPr>
              <w:spacing w:after="0"/>
              <w:rPr>
                <w:sz w:val="20"/>
                <w:szCs w:val="20"/>
                <w:color w:val="auto"/>
              </w:rPr>
            </w:pPr>
            <w:r>
              <w:rPr>
                <w:rFonts w:ascii="Arial" w:cs="Arial" w:eastAsia="Arial" w:hAnsi="Arial"/>
                <w:sz w:val="16"/>
                <w:szCs w:val="16"/>
                <w:color w:val="262626"/>
              </w:rPr>
              <w:t>Ms. Delly served as President and Chief Executive Officer of Benchmark Electronics</w:t>
            </w:r>
          </w:p>
        </w:tc>
        <w:tc>
          <w:tcPr>
            <w:tcW w:w="2360" w:type="dxa"/>
            <w:vAlign w:val="bottom"/>
            <w:gridSpan w:val="2"/>
          </w:tcPr>
          <w:p>
            <w:pPr>
              <w:ind w:left="80"/>
              <w:spacing w:after="0"/>
              <w:rPr>
                <w:sz w:val="20"/>
                <w:szCs w:val="20"/>
                <w:color w:val="auto"/>
              </w:rPr>
            </w:pPr>
            <w:r>
              <w:rPr>
                <w:rFonts w:ascii="Arial" w:cs="Arial" w:eastAsia="Arial" w:hAnsi="Arial"/>
                <w:sz w:val="16"/>
                <w:szCs w:val="16"/>
                <w:b w:val="1"/>
                <w:bCs w:val="1"/>
                <w:color w:val="262626"/>
              </w:rPr>
              <w:t>Qualification &amp; Skills:</w:t>
            </w:r>
          </w:p>
        </w:tc>
      </w:tr>
      <w:tr>
        <w:trPr>
          <w:trHeight w:val="247"/>
        </w:trPr>
        <w:tc>
          <w:tcPr>
            <w:tcW w:w="6180" w:type="dxa"/>
            <w:vAlign w:val="bottom"/>
          </w:tcPr>
          <w:p>
            <w:pPr>
              <w:spacing w:after="0"/>
              <w:rPr>
                <w:sz w:val="20"/>
                <w:szCs w:val="20"/>
                <w:color w:val="auto"/>
              </w:rPr>
            </w:pPr>
            <w:r>
              <w:rPr>
                <w:rFonts w:ascii="Arial" w:cs="Arial" w:eastAsia="Arial" w:hAnsi="Arial"/>
                <w:sz w:val="16"/>
                <w:szCs w:val="16"/>
                <w:color w:val="262626"/>
              </w:rPr>
              <w:t>Inc., a company that provides contract manufacturing, design, engineering, test and</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080" w:type="dxa"/>
            <w:vAlign w:val="bottom"/>
          </w:tcPr>
          <w:p>
            <w:pPr>
              <w:ind w:left="60"/>
              <w:spacing w:after="0"/>
              <w:rPr>
                <w:sz w:val="20"/>
                <w:szCs w:val="20"/>
                <w:color w:val="auto"/>
              </w:rPr>
            </w:pPr>
            <w:r>
              <w:rPr>
                <w:rFonts w:ascii="Arial" w:cs="Arial" w:eastAsia="Arial" w:hAnsi="Arial"/>
                <w:sz w:val="16"/>
                <w:szCs w:val="16"/>
                <w:color w:val="262626"/>
              </w:rPr>
              <w:t>Business Development &amp;</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distribution   services   to   manufacturers   of   computers,   medical   devices,</w:t>
            </w:r>
          </w:p>
        </w:tc>
        <w:tc>
          <w:tcPr>
            <w:tcW w:w="28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Arial" w:cs="Arial" w:eastAsia="Arial" w:hAnsi="Arial"/>
                <w:sz w:val="16"/>
                <w:szCs w:val="16"/>
                <w:color w:val="262626"/>
              </w:rPr>
              <w:t>Strategy</w:t>
            </w:r>
          </w:p>
        </w:tc>
      </w:tr>
      <w:tr>
        <w:trPr>
          <w:trHeight w:val="242"/>
        </w:trPr>
        <w:tc>
          <w:tcPr>
            <w:tcW w:w="6180" w:type="dxa"/>
            <w:vAlign w:val="bottom"/>
          </w:tcPr>
          <w:p>
            <w:pPr>
              <w:spacing w:after="0"/>
              <w:rPr>
                <w:sz w:val="20"/>
                <w:szCs w:val="20"/>
                <w:color w:val="auto"/>
              </w:rPr>
            </w:pPr>
            <w:r>
              <w:rPr>
                <w:rFonts w:ascii="Arial" w:cs="Arial" w:eastAsia="Arial" w:hAnsi="Arial"/>
                <w:sz w:val="16"/>
                <w:szCs w:val="16"/>
                <w:color w:val="262626"/>
              </w:rPr>
              <w:t>telecommunications equipment and industrial control and test instruments, from 2012</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080" w:type="dxa"/>
            <w:vAlign w:val="bottom"/>
          </w:tcPr>
          <w:p>
            <w:pPr>
              <w:ind w:left="60"/>
              <w:spacing w:after="0"/>
              <w:rPr>
                <w:sz w:val="20"/>
                <w:szCs w:val="20"/>
                <w:color w:val="auto"/>
              </w:rPr>
            </w:pPr>
            <w:r>
              <w:rPr>
                <w:rFonts w:ascii="Arial" w:cs="Arial" w:eastAsia="Arial" w:hAnsi="Arial"/>
                <w:sz w:val="16"/>
                <w:szCs w:val="16"/>
                <w:color w:val="262626"/>
              </w:rPr>
              <w:t>Executive Leadership</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to 2016. She held several executive leadership positions at Benchmark, including as</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080" w:type="dxa"/>
            <w:vAlign w:val="bottom"/>
          </w:tcPr>
          <w:p>
            <w:pPr>
              <w:ind w:left="60"/>
              <w:spacing w:after="0"/>
              <w:rPr>
                <w:sz w:val="20"/>
                <w:szCs w:val="20"/>
                <w:color w:val="auto"/>
              </w:rPr>
            </w:pPr>
            <w:r>
              <w:rPr>
                <w:rFonts w:ascii="Arial" w:cs="Arial" w:eastAsia="Arial" w:hAnsi="Arial"/>
                <w:sz w:val="16"/>
                <w:szCs w:val="16"/>
                <w:color w:val="262626"/>
              </w:rPr>
              <w:t>Finance/Accounting</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President from 2006 to 2011, Executive Vice President and Chief Financial Officer</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080" w:type="dxa"/>
            <w:vAlign w:val="bottom"/>
          </w:tcPr>
          <w:p>
            <w:pPr>
              <w:ind w:left="60"/>
              <w:spacing w:after="0"/>
              <w:rPr>
                <w:sz w:val="20"/>
                <w:szCs w:val="20"/>
                <w:color w:val="auto"/>
              </w:rPr>
            </w:pPr>
            <w:r>
              <w:rPr>
                <w:rFonts w:ascii="Arial" w:cs="Arial" w:eastAsia="Arial" w:hAnsi="Arial"/>
                <w:sz w:val="16"/>
                <w:szCs w:val="16"/>
                <w:color w:val="262626"/>
              </w:rPr>
              <w:t>Global Business</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from 2001 to 2006, and Corporate Controller and Treasurer from 1995 to 2001. She</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080" w:type="dxa"/>
            <w:vAlign w:val="bottom"/>
          </w:tcPr>
          <w:p>
            <w:pPr>
              <w:ind w:left="60"/>
              <w:spacing w:after="0"/>
              <w:rPr>
                <w:sz w:val="20"/>
                <w:szCs w:val="20"/>
                <w:color w:val="auto"/>
              </w:rPr>
            </w:pPr>
            <w:r>
              <w:rPr>
                <w:rFonts w:ascii="Arial" w:cs="Arial" w:eastAsia="Arial" w:hAnsi="Arial"/>
                <w:sz w:val="16"/>
                <w:szCs w:val="16"/>
                <w:color w:val="262626"/>
                <w:w w:val="99"/>
              </w:rPr>
              <w:t>Manufacturing/Supply Chain</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is also a certified public accountant and was a senior audit manager at KPMG LLP</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080" w:type="dxa"/>
            <w:vAlign w:val="bottom"/>
          </w:tcPr>
          <w:p>
            <w:pPr>
              <w:ind w:left="60"/>
              <w:spacing w:after="0"/>
              <w:rPr>
                <w:sz w:val="20"/>
                <w:szCs w:val="20"/>
                <w:color w:val="auto"/>
              </w:rPr>
            </w:pPr>
            <w:r>
              <w:rPr>
                <w:rFonts w:ascii="Arial" w:cs="Arial" w:eastAsia="Arial" w:hAnsi="Arial"/>
                <w:sz w:val="16"/>
                <w:szCs w:val="16"/>
                <w:color w:val="262626"/>
              </w:rPr>
              <w:t>Semiconductor</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before joining Benchmark.</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080" w:type="dxa"/>
            <w:vAlign w:val="bottom"/>
          </w:tcPr>
          <w:p>
            <w:pPr>
              <w:ind w:left="60"/>
              <w:spacing w:after="0"/>
              <w:rPr>
                <w:sz w:val="20"/>
                <w:szCs w:val="20"/>
                <w:color w:val="auto"/>
              </w:rPr>
            </w:pPr>
            <w:r>
              <w:rPr>
                <w:rFonts w:ascii="Arial" w:cs="Arial" w:eastAsia="Arial" w:hAnsi="Arial"/>
                <w:sz w:val="16"/>
                <w:szCs w:val="16"/>
                <w:color w:val="262626"/>
              </w:rPr>
              <w:t>Technology/Innovation</w:t>
            </w:r>
          </w:p>
        </w:tc>
      </w:tr>
    </w:tbl>
    <w:p>
      <w:pPr>
        <w:spacing w:after="0" w:line="256" w:lineRule="exact"/>
        <w:rPr>
          <w:sz w:val="20"/>
          <w:szCs w:val="20"/>
          <w:color w:val="auto"/>
        </w:rPr>
      </w:pPr>
    </w:p>
    <w:p>
      <w:pPr>
        <w:jc w:val="both"/>
        <w:ind w:left="1280" w:right="2779"/>
        <w:spacing w:after="0" w:line="339" w:lineRule="auto"/>
        <w:rPr>
          <w:sz w:val="20"/>
          <w:szCs w:val="20"/>
          <w:color w:val="auto"/>
        </w:rPr>
      </w:pPr>
      <w:r>
        <w:rPr>
          <w:rFonts w:ascii="Arial" w:cs="Arial" w:eastAsia="Arial" w:hAnsi="Arial"/>
          <w:sz w:val="16"/>
          <w:szCs w:val="16"/>
          <w:color w:val="262626"/>
        </w:rPr>
        <w:t>Ms. Delly serves as a director of Flowserve Corporation and Littelfuse, Inc. She served as a director of National Instruments Corporation from March 2020 until its acquisition by Emerson Electric Co. in October 2023 and Benchmark from 2011 to 2016.</w:t>
      </w:r>
    </w:p>
    <w:p>
      <w:pPr>
        <w:spacing w:after="0" w:line="98" w:lineRule="exact"/>
        <w:rPr>
          <w:sz w:val="20"/>
          <w:szCs w:val="20"/>
          <w:color w:val="auto"/>
        </w:rPr>
      </w:pPr>
    </w:p>
    <w:p>
      <w:pPr>
        <w:jc w:val="right"/>
        <w:ind w:right="159"/>
        <w:spacing w:after="0"/>
        <w:rPr>
          <w:sz w:val="20"/>
          <w:szCs w:val="20"/>
          <w:color w:val="auto"/>
        </w:rPr>
      </w:pPr>
      <w:r>
        <w:rPr>
          <w:rFonts w:ascii="Arial" w:cs="Arial" w:eastAsia="Arial" w:hAnsi="Arial"/>
          <w:sz w:val="15"/>
          <w:szCs w:val="15"/>
          <w:color w:val="262626"/>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215265</wp:posOffset>
            </wp:positionV>
            <wp:extent cx="55225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Kenneth Y.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79375</wp:posOffset>
            </wp:positionV>
            <wp:extent cx="55225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66" w:lineRule="exact"/>
        <w:rPr>
          <w:sz w:val="20"/>
          <w:szCs w:val="20"/>
          <w:color w:val="auto"/>
        </w:rPr>
      </w:pPr>
    </w:p>
    <w:p>
      <w:pPr>
        <w:jc w:val="right"/>
        <w:ind w:right="1119"/>
        <w:spacing w:after="0"/>
        <w:tabs>
          <w:tab w:leader="none" w:pos="1460" w:val="left"/>
        </w:tabs>
        <w:rPr>
          <w:sz w:val="20"/>
          <w:szCs w:val="20"/>
          <w:color w:val="auto"/>
        </w:rPr>
      </w:pPr>
      <w:r>
        <w:rPr>
          <w:rFonts w:ascii="Arial" w:cs="Arial" w:eastAsia="Arial" w:hAnsi="Arial"/>
          <w:sz w:val="16"/>
          <w:szCs w:val="16"/>
          <w:b w:val="1"/>
          <w:bCs w:val="1"/>
          <w:color w:val="262626"/>
        </w:rPr>
        <w:t xml:space="preserve">Director Since: </w:t>
      </w:r>
      <w:r>
        <w:rPr>
          <w:rFonts w:ascii="Arial" w:cs="Arial" w:eastAsia="Arial" w:hAnsi="Arial"/>
          <w:sz w:val="16"/>
          <w:szCs w:val="16"/>
          <w:color w:val="262626"/>
        </w:rPr>
        <w:t>2024</w:t>
      </w:r>
      <w:r>
        <w:rPr>
          <w:sz w:val="20"/>
          <w:szCs w:val="20"/>
          <w:color w:val="auto"/>
        </w:rPr>
        <w:tab/>
      </w:r>
      <w:r>
        <w:rPr>
          <w:rFonts w:ascii="Arial" w:cs="Arial" w:eastAsia="Arial" w:hAnsi="Arial"/>
          <w:sz w:val="16"/>
          <w:szCs w:val="16"/>
          <w:b w:val="1"/>
          <w:bCs w:val="1"/>
          <w:color w:val="262626"/>
        </w:rPr>
        <w:t>Board Committees:</w:t>
      </w:r>
    </w:p>
    <w:p>
      <w:pPr>
        <w:spacing w:after="0" w:line="58" w:lineRule="exact"/>
        <w:rPr>
          <w:sz w:val="20"/>
          <w:szCs w:val="20"/>
          <w:color w:val="auto"/>
        </w:rPr>
      </w:pPr>
    </w:p>
    <w:p>
      <w:pPr>
        <w:ind w:left="1280"/>
        <w:spacing w:after="0"/>
        <w:tabs>
          <w:tab w:leader="none" w:pos="7600" w:val="left"/>
        </w:tabs>
        <w:rPr>
          <w:sz w:val="20"/>
          <w:szCs w:val="20"/>
          <w:color w:val="auto"/>
        </w:rPr>
      </w:pPr>
      <w:r>
        <w:rPr>
          <w:rFonts w:ascii="Arial" w:cs="Arial" w:eastAsia="Arial" w:hAnsi="Arial"/>
          <w:sz w:val="16"/>
          <w:szCs w:val="16"/>
          <w:color w:val="262626"/>
        </w:rPr>
        <w:t>Independent Director</w:t>
      </w:r>
      <w:r>
        <w:rPr>
          <w:sz w:val="20"/>
          <w:szCs w:val="20"/>
          <w:color w:val="auto"/>
        </w:rPr>
        <w:tab/>
      </w:r>
      <w:r>
        <w:rPr>
          <w:rFonts w:ascii="Arial" w:cs="Arial" w:eastAsia="Arial" w:hAnsi="Arial"/>
          <w:sz w:val="16"/>
          <w:szCs w:val="16"/>
          <w:color w:val="262626"/>
        </w:rPr>
        <w:t>•  None</w:t>
      </w:r>
    </w:p>
    <w:p>
      <w:pPr>
        <w:spacing w:after="0" w:line="313"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57</w:t>
      </w:r>
    </w:p>
    <w:p>
      <w:pPr>
        <w:sectPr>
          <w:pgSz w:w="11900" w:h="16838" w:orient="portrait"/>
          <w:cols w:equalWidth="0" w:num="1">
            <w:col w:w="10139"/>
          </w:cols>
          <w:pgMar w:left="320" w:top="480" w:right="1440" w:bottom="919" w:gutter="0" w:footer="0" w:header="0"/>
        </w:sectPr>
      </w:pPr>
    </w:p>
    <w:p>
      <w:pPr>
        <w:spacing w:after="0" w:line="245" w:lineRule="exact"/>
        <w:rPr>
          <w:sz w:val="20"/>
          <w:szCs w:val="20"/>
          <w:color w:val="auto"/>
        </w:rPr>
      </w:pPr>
    </w:p>
    <w:p>
      <w:pPr>
        <w:jc w:val="both"/>
        <w:ind w:left="1280"/>
        <w:spacing w:after="0" w:line="333" w:lineRule="auto"/>
        <w:rPr>
          <w:sz w:val="20"/>
          <w:szCs w:val="20"/>
          <w:color w:val="auto"/>
        </w:rPr>
      </w:pPr>
      <w:r>
        <w:rPr>
          <w:rFonts w:ascii="Arial" w:cs="Arial" w:eastAsia="Arial" w:hAnsi="Arial"/>
          <w:sz w:val="16"/>
          <w:szCs w:val="16"/>
          <w:color w:val="262626"/>
        </w:rPr>
        <w:t>Mr. Hao has served as Chairman and Managing Partner of Silver Lake, a global technology investment firm, since December 2019. He joined Silver Lake in 2000 and has served in various roles, including as Managing Partner and Managing Director from 2012 to 2019. Prior to Silver Lake, he served in various roles, including as Managing Director, at Hambrecht &amp; Quist (now part of J.P. Morgan) from 1990 to 1999.</w:t>
      </w:r>
    </w:p>
    <w:p>
      <w:pPr>
        <w:spacing w:after="0" w:line="200" w:lineRule="exact"/>
        <w:rPr>
          <w:sz w:val="20"/>
          <w:szCs w:val="20"/>
          <w:color w:val="auto"/>
        </w:rPr>
      </w:pPr>
    </w:p>
    <w:p>
      <w:pPr>
        <w:jc w:val="both"/>
        <w:ind w:left="1280"/>
        <w:spacing w:after="0" w:line="339" w:lineRule="auto"/>
        <w:rPr>
          <w:sz w:val="20"/>
          <w:szCs w:val="20"/>
          <w:color w:val="auto"/>
        </w:rPr>
      </w:pPr>
      <w:r>
        <w:rPr>
          <w:rFonts w:ascii="Arial" w:cs="Arial" w:eastAsia="Arial" w:hAnsi="Arial"/>
          <w:sz w:val="16"/>
          <w:szCs w:val="16"/>
          <w:color w:val="262626"/>
        </w:rPr>
        <w:t>Mr. Hao served as a director of SolarWinds Corporation from February 2016 to April 2025, Splunk Inc. from July 2021 to March 2024, NortonLifeLock Inc. (formerly Symantec Corporation) from March 2016 to September 2022 and SMART Global Holdings, Inc. from April 2011 to April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209550</wp:posOffset>
            </wp:positionV>
            <wp:extent cx="55225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Qualification &amp; Skills:</w:t>
      </w:r>
    </w:p>
    <w:p>
      <w:pPr>
        <w:spacing w:after="0" w:line="58" w:lineRule="exact"/>
        <w:rPr>
          <w:sz w:val="20"/>
          <w:szCs w:val="20"/>
          <w:color w:val="auto"/>
        </w:rPr>
      </w:pPr>
    </w:p>
    <w:p>
      <w:pPr>
        <w:ind w:left="260" w:right="539" w:hanging="176"/>
        <w:spacing w:after="0" w:line="323" w:lineRule="auto"/>
        <w:tabs>
          <w:tab w:leader="none" w:pos="260" w:val="left"/>
        </w:tabs>
        <w:numPr>
          <w:ilvl w:val="0"/>
          <w:numId w:val="14"/>
        </w:numPr>
        <w:rPr>
          <w:rFonts w:ascii="Arial" w:cs="Arial" w:eastAsia="Arial" w:hAnsi="Arial"/>
          <w:sz w:val="16"/>
          <w:szCs w:val="16"/>
          <w:color w:val="262626"/>
        </w:rPr>
      </w:pPr>
      <w:r>
        <w:rPr>
          <w:rFonts w:ascii="Arial" w:cs="Arial" w:eastAsia="Arial" w:hAnsi="Arial"/>
          <w:sz w:val="16"/>
          <w:szCs w:val="16"/>
          <w:color w:val="262626"/>
        </w:rPr>
        <w:t>Business Development &amp; Strategy</w:t>
      </w:r>
    </w:p>
    <w:p>
      <w:pPr>
        <w:spacing w:after="0" w:line="1" w:lineRule="exact"/>
        <w:rPr>
          <w:rFonts w:ascii="Arial" w:cs="Arial" w:eastAsia="Arial" w:hAnsi="Arial"/>
          <w:sz w:val="16"/>
          <w:szCs w:val="16"/>
          <w:color w:val="262626"/>
        </w:rPr>
      </w:pPr>
    </w:p>
    <w:p>
      <w:pPr>
        <w:ind w:left="260" w:hanging="176"/>
        <w:spacing w:after="0"/>
        <w:tabs>
          <w:tab w:leader="none" w:pos="260" w:val="left"/>
        </w:tabs>
        <w:numPr>
          <w:ilvl w:val="0"/>
          <w:numId w:val="14"/>
        </w:numPr>
        <w:rPr>
          <w:rFonts w:ascii="Arial" w:cs="Arial" w:eastAsia="Arial" w:hAnsi="Arial"/>
          <w:sz w:val="16"/>
          <w:szCs w:val="16"/>
          <w:color w:val="262626"/>
        </w:rPr>
      </w:pPr>
      <w:r>
        <w:rPr>
          <w:rFonts w:ascii="Arial" w:cs="Arial" w:eastAsia="Arial" w:hAnsi="Arial"/>
          <w:sz w:val="16"/>
          <w:szCs w:val="16"/>
          <w:color w:val="262626"/>
        </w:rPr>
        <w:t>Cybersecurity</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4"/>
        </w:numPr>
        <w:rPr>
          <w:rFonts w:ascii="Arial" w:cs="Arial" w:eastAsia="Arial" w:hAnsi="Arial"/>
          <w:sz w:val="16"/>
          <w:szCs w:val="16"/>
          <w:color w:val="262626"/>
        </w:rPr>
      </w:pPr>
      <w:r>
        <w:rPr>
          <w:rFonts w:ascii="Arial" w:cs="Arial" w:eastAsia="Arial" w:hAnsi="Arial"/>
          <w:sz w:val="16"/>
          <w:szCs w:val="16"/>
          <w:color w:val="262626"/>
        </w:rPr>
        <w:t>Executive Leadership</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4"/>
        </w:numPr>
        <w:rPr>
          <w:rFonts w:ascii="Arial" w:cs="Arial" w:eastAsia="Arial" w:hAnsi="Arial"/>
          <w:sz w:val="16"/>
          <w:szCs w:val="16"/>
          <w:color w:val="262626"/>
        </w:rPr>
      </w:pPr>
      <w:r>
        <w:rPr>
          <w:rFonts w:ascii="Arial" w:cs="Arial" w:eastAsia="Arial" w:hAnsi="Arial"/>
          <w:sz w:val="16"/>
          <w:szCs w:val="16"/>
          <w:color w:val="262626"/>
        </w:rPr>
        <w:t>Finance/Accounting</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4"/>
        </w:numPr>
        <w:rPr>
          <w:rFonts w:ascii="Arial" w:cs="Arial" w:eastAsia="Arial" w:hAnsi="Arial"/>
          <w:sz w:val="16"/>
          <w:szCs w:val="16"/>
          <w:color w:val="262626"/>
        </w:rPr>
      </w:pPr>
      <w:r>
        <w:rPr>
          <w:rFonts w:ascii="Arial" w:cs="Arial" w:eastAsia="Arial" w:hAnsi="Arial"/>
          <w:sz w:val="16"/>
          <w:szCs w:val="16"/>
          <w:color w:val="262626"/>
        </w:rPr>
        <w:t>Global Business</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4"/>
        </w:numPr>
        <w:rPr>
          <w:rFonts w:ascii="Arial" w:cs="Arial" w:eastAsia="Arial" w:hAnsi="Arial"/>
          <w:sz w:val="16"/>
          <w:szCs w:val="16"/>
          <w:color w:val="262626"/>
        </w:rPr>
      </w:pPr>
      <w:r>
        <w:rPr>
          <w:rFonts w:ascii="Arial" w:cs="Arial" w:eastAsia="Arial" w:hAnsi="Arial"/>
          <w:sz w:val="16"/>
          <w:szCs w:val="16"/>
          <w:color w:val="262626"/>
        </w:rPr>
        <w:t>Semiconductor</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4"/>
        </w:numPr>
        <w:rPr>
          <w:rFonts w:ascii="Arial" w:cs="Arial" w:eastAsia="Arial" w:hAnsi="Arial"/>
          <w:sz w:val="16"/>
          <w:szCs w:val="16"/>
          <w:color w:val="262626"/>
        </w:rPr>
      </w:pPr>
      <w:r>
        <w:rPr>
          <w:rFonts w:ascii="Arial" w:cs="Arial" w:eastAsia="Arial" w:hAnsi="Arial"/>
          <w:sz w:val="16"/>
          <w:szCs w:val="16"/>
          <w:color w:val="262626"/>
        </w:rPr>
        <w:t>Software/Cloud Computing</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4"/>
        </w:numPr>
        <w:rPr>
          <w:rFonts w:ascii="Arial" w:cs="Arial" w:eastAsia="Arial" w:hAnsi="Arial"/>
          <w:sz w:val="16"/>
          <w:szCs w:val="16"/>
          <w:color w:val="262626"/>
        </w:rPr>
      </w:pPr>
      <w:r>
        <w:rPr>
          <w:rFonts w:ascii="Arial" w:cs="Arial" w:eastAsia="Arial" w:hAnsi="Arial"/>
          <w:sz w:val="16"/>
          <w:szCs w:val="16"/>
          <w:color w:val="262626"/>
        </w:rPr>
        <w:t>Technology/Innovation</w:t>
      </w:r>
    </w:p>
    <w:p>
      <w:pPr>
        <w:spacing w:after="0" w:line="518" w:lineRule="exact"/>
        <w:rPr>
          <w:sz w:val="20"/>
          <w:szCs w:val="20"/>
          <w:color w:val="auto"/>
        </w:rPr>
      </w:pPr>
    </w:p>
    <w:p>
      <w:pPr>
        <w:sectPr>
          <w:pgSz w:w="11900" w:h="16838" w:orient="portrait"/>
          <w:cols w:equalWidth="0" w:num="2">
            <w:col w:w="7360" w:space="180"/>
            <w:col w:w="2599"/>
          </w:cols>
          <w:pgMar w:left="320" w:top="480" w:right="1440" w:bottom="919" w:gutter="0" w:footer="0" w:header="0"/>
          <w:type w:val="continuous"/>
        </w:sectPr>
      </w:pPr>
    </w:p>
    <w:p>
      <w:pPr>
        <w:spacing w:after="0" w:line="250"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Check Kian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79375</wp:posOffset>
            </wp:positionV>
            <wp:extent cx="55225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66"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6180" w:type="dxa"/>
            <w:vAlign w:val="bottom"/>
          </w:tcPr>
          <w:p>
            <w:pPr>
              <w:spacing w:after="0"/>
              <w:rPr>
                <w:sz w:val="20"/>
                <w:szCs w:val="20"/>
                <w:color w:val="auto"/>
              </w:rPr>
            </w:pPr>
            <w:r>
              <w:rPr>
                <w:rFonts w:ascii="Arial" w:cs="Arial" w:eastAsia="Arial" w:hAnsi="Arial"/>
                <w:sz w:val="16"/>
                <w:szCs w:val="16"/>
                <w:b w:val="1"/>
                <w:bCs w:val="1"/>
                <w:color w:val="262626"/>
              </w:rPr>
              <w:t xml:space="preserve">Director Since: </w:t>
            </w:r>
            <w:r>
              <w:rPr>
                <w:rFonts w:ascii="Arial" w:cs="Arial" w:eastAsia="Arial" w:hAnsi="Arial"/>
                <w:sz w:val="16"/>
                <w:szCs w:val="16"/>
                <w:color w:val="262626"/>
              </w:rPr>
              <w:t>2016</w:t>
            </w: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262626"/>
              </w:rPr>
              <w:t>Board Committees:</w:t>
            </w:r>
          </w:p>
        </w:tc>
      </w:tr>
      <w:tr>
        <w:trPr>
          <w:trHeight w:val="234"/>
        </w:trPr>
        <w:tc>
          <w:tcPr>
            <w:tcW w:w="6180" w:type="dxa"/>
            <w:vAlign w:val="bottom"/>
          </w:tcPr>
          <w:p>
            <w:pPr>
              <w:spacing w:after="0"/>
              <w:rPr>
                <w:sz w:val="20"/>
                <w:szCs w:val="20"/>
                <w:color w:val="auto"/>
              </w:rPr>
            </w:pPr>
            <w:r>
              <w:rPr>
                <w:rFonts w:ascii="Arial" w:cs="Arial" w:eastAsia="Arial" w:hAnsi="Arial"/>
                <w:sz w:val="16"/>
                <w:szCs w:val="16"/>
                <w:color w:val="262626"/>
              </w:rPr>
              <w:t>Independent Director</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Compensation</w:t>
            </w:r>
          </w:p>
        </w:tc>
      </w:tr>
      <w:tr>
        <w:trPr>
          <w:trHeight w:val="255"/>
        </w:trPr>
        <w:tc>
          <w:tcPr>
            <w:tcW w:w="6180" w:type="dxa"/>
            <w:vAlign w:val="bottom"/>
          </w:tcPr>
          <w:p>
            <w:pPr>
              <w:spacing w:after="0"/>
              <w:rPr>
                <w:sz w:val="22"/>
                <w:szCs w:val="22"/>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NCG</w:t>
            </w:r>
          </w:p>
        </w:tc>
      </w:tr>
      <w:tr>
        <w:trPr>
          <w:trHeight w:val="250"/>
        </w:trPr>
        <w:tc>
          <w:tcPr>
            <w:tcW w:w="6180" w:type="dxa"/>
            <w:vAlign w:val="bottom"/>
          </w:tcPr>
          <w:p>
            <w:pPr>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66</w:t>
            </w: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29"/>
        </w:trPr>
        <w:tc>
          <w:tcPr>
            <w:tcW w:w="6180" w:type="dxa"/>
            <w:vAlign w:val="bottom"/>
          </w:tcPr>
          <w:p>
            <w:pPr>
              <w:spacing w:after="0"/>
              <w:rPr>
                <w:sz w:val="20"/>
                <w:szCs w:val="20"/>
                <w:color w:val="auto"/>
              </w:rPr>
            </w:pPr>
            <w:r>
              <w:rPr>
                <w:rFonts w:ascii="Arial" w:cs="Arial" w:eastAsia="Arial" w:hAnsi="Arial"/>
                <w:sz w:val="16"/>
                <w:szCs w:val="16"/>
                <w:color w:val="262626"/>
              </w:rPr>
              <w:t>Mr. Low has served as a founding partner and director of NewSmith Capital Partners</w:t>
            </w: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262626"/>
              </w:rPr>
              <w:t>Qualification &amp; Skills:</w:t>
            </w:r>
          </w:p>
        </w:tc>
      </w:tr>
      <w:tr>
        <w:trPr>
          <w:trHeight w:val="234"/>
        </w:trPr>
        <w:tc>
          <w:tcPr>
            <w:tcW w:w="6180" w:type="dxa"/>
            <w:vAlign w:val="bottom"/>
          </w:tcPr>
          <w:p>
            <w:pPr>
              <w:spacing w:after="0"/>
              <w:rPr>
                <w:sz w:val="20"/>
                <w:szCs w:val="20"/>
                <w:color w:val="auto"/>
              </w:rPr>
            </w:pPr>
            <w:r>
              <w:rPr>
                <w:rFonts w:ascii="Arial" w:cs="Arial" w:eastAsia="Arial" w:hAnsi="Arial"/>
                <w:sz w:val="16"/>
                <w:szCs w:val="16"/>
                <w:color w:val="262626"/>
              </w:rPr>
              <w:t>LLP, an independent partnership providing corporate finance advice and investment</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Business Development &amp;</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management services, for which he manages the Asia Pacific offices, since 2003. He</w:t>
            </w:r>
          </w:p>
        </w:tc>
        <w:tc>
          <w:tcPr>
            <w:tcW w:w="280" w:type="dxa"/>
            <w:vAlign w:val="bottom"/>
          </w:tcPr>
          <w:p>
            <w:pPr>
              <w:spacing w:after="0"/>
              <w:rPr>
                <w:sz w:val="22"/>
                <w:szCs w:val="22"/>
                <w:color w:val="auto"/>
              </w:rPr>
            </w:pPr>
          </w:p>
        </w:tc>
        <w:tc>
          <w:tcPr>
            <w:tcW w:w="2240" w:type="dxa"/>
            <w:vAlign w:val="bottom"/>
          </w:tcPr>
          <w:p>
            <w:pPr>
              <w:ind w:left="60"/>
              <w:spacing w:after="0"/>
              <w:rPr>
                <w:sz w:val="20"/>
                <w:szCs w:val="20"/>
                <w:color w:val="auto"/>
              </w:rPr>
            </w:pPr>
            <w:r>
              <w:rPr>
                <w:rFonts w:ascii="Arial" w:cs="Arial" w:eastAsia="Arial" w:hAnsi="Arial"/>
                <w:sz w:val="16"/>
                <w:szCs w:val="16"/>
                <w:color w:val="262626"/>
              </w:rPr>
              <w:t>Strategy</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is an owner and director of Cluny Capital Limited since 2007. He has served as a</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Executive Leadership</w:t>
            </w:r>
          </w:p>
        </w:tc>
      </w:tr>
      <w:tr>
        <w:trPr>
          <w:trHeight w:val="242"/>
        </w:trPr>
        <w:tc>
          <w:tcPr>
            <w:tcW w:w="6180" w:type="dxa"/>
            <w:vAlign w:val="bottom"/>
          </w:tcPr>
          <w:p>
            <w:pPr>
              <w:spacing w:after="0"/>
              <w:rPr>
                <w:sz w:val="20"/>
                <w:szCs w:val="20"/>
                <w:color w:val="auto"/>
              </w:rPr>
            </w:pPr>
            <w:r>
              <w:rPr>
                <w:rFonts w:ascii="Arial" w:cs="Arial" w:eastAsia="Arial" w:hAnsi="Arial"/>
                <w:sz w:val="16"/>
                <w:szCs w:val="16"/>
                <w:color w:val="262626"/>
              </w:rPr>
              <w:t>Special Advisor to Singapore Telecommunications Limited since 2025 and from</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Finance/Accounting</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October 2021 to September 2023. Prior to founding NewSmith, he held various</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Global Business</w:t>
            </w:r>
          </w:p>
        </w:tc>
      </w:tr>
      <w:tr>
        <w:trPr>
          <w:trHeight w:val="242"/>
        </w:trPr>
        <w:tc>
          <w:tcPr>
            <w:tcW w:w="6180" w:type="dxa"/>
            <w:vAlign w:val="bottom"/>
          </w:tcPr>
          <w:p>
            <w:pPr>
              <w:spacing w:after="0"/>
              <w:rPr>
                <w:sz w:val="20"/>
                <w:szCs w:val="20"/>
                <w:color w:val="auto"/>
              </w:rPr>
            </w:pPr>
            <w:r>
              <w:rPr>
                <w:rFonts w:ascii="Arial" w:cs="Arial" w:eastAsia="Arial" w:hAnsi="Arial"/>
                <w:sz w:val="16"/>
                <w:szCs w:val="16"/>
                <w:color w:val="262626"/>
              </w:rPr>
              <w:t>positions at Merrill Lynch &amp; Co., including as Senior Vice-President, member of the</w:t>
            </w: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Executive Management Committee and Chairman for the Asia Pacific Region.</w:t>
            </w:r>
          </w:p>
        </w:tc>
        <w:tc>
          <w:tcPr>
            <w:tcW w:w="2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497"/>
        </w:trPr>
        <w:tc>
          <w:tcPr>
            <w:tcW w:w="6180" w:type="dxa"/>
            <w:vAlign w:val="bottom"/>
          </w:tcPr>
          <w:p>
            <w:pPr>
              <w:spacing w:after="0"/>
              <w:rPr>
                <w:sz w:val="20"/>
                <w:szCs w:val="20"/>
                <w:color w:val="auto"/>
              </w:rPr>
            </w:pPr>
            <w:r>
              <w:rPr>
                <w:rFonts w:ascii="Arial" w:cs="Arial" w:eastAsia="Arial" w:hAnsi="Arial"/>
                <w:sz w:val="16"/>
                <w:szCs w:val="16"/>
                <w:color w:val="262626"/>
              </w:rPr>
              <w:t>Mr. Low served as a director of Singapore Telecommunications Limited from May</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2"/>
        </w:trPr>
        <w:tc>
          <w:tcPr>
            <w:tcW w:w="6180" w:type="dxa"/>
            <w:vAlign w:val="bottom"/>
          </w:tcPr>
          <w:p>
            <w:pPr>
              <w:spacing w:after="0"/>
              <w:rPr>
                <w:sz w:val="20"/>
                <w:szCs w:val="20"/>
                <w:color w:val="auto"/>
              </w:rPr>
            </w:pPr>
            <w:r>
              <w:rPr>
                <w:rFonts w:ascii="Arial" w:cs="Arial" w:eastAsia="Arial" w:hAnsi="Arial"/>
                <w:sz w:val="16"/>
                <w:szCs w:val="16"/>
                <w:color w:val="262626"/>
              </w:rPr>
              <w:t>2011 to July 2021.</w:t>
            </w: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16"/>
        </w:trPr>
        <w:tc>
          <w:tcPr>
            <w:tcW w:w="6180" w:type="dxa"/>
            <w:vAlign w:val="bottom"/>
            <w:tcBorders>
              <w:bottom w:val="single" w:sz="8" w:color="CF0A2C"/>
            </w:tcBorders>
          </w:tcPr>
          <w:p>
            <w:pPr>
              <w:spacing w:after="0"/>
              <w:rPr>
                <w:sz w:val="18"/>
                <w:szCs w:val="18"/>
                <w:color w:val="auto"/>
              </w:rPr>
            </w:pPr>
          </w:p>
        </w:tc>
        <w:tc>
          <w:tcPr>
            <w:tcW w:w="280" w:type="dxa"/>
            <w:vAlign w:val="bottom"/>
            <w:tcBorders>
              <w:bottom w:val="single" w:sz="8" w:color="CF0A2C"/>
            </w:tcBorders>
          </w:tcPr>
          <w:p>
            <w:pPr>
              <w:spacing w:after="0"/>
              <w:rPr>
                <w:sz w:val="18"/>
                <w:szCs w:val="18"/>
                <w:color w:val="auto"/>
              </w:rPr>
            </w:pPr>
          </w:p>
        </w:tc>
        <w:tc>
          <w:tcPr>
            <w:tcW w:w="2240" w:type="dxa"/>
            <w:vAlign w:val="bottom"/>
            <w:tcBorders>
              <w:bottom w:val="single" w:sz="8" w:color="CF0A2C"/>
            </w:tcBorders>
          </w:tcPr>
          <w:p>
            <w:pPr>
              <w:spacing w:after="0"/>
              <w:rPr>
                <w:sz w:val="18"/>
                <w:szCs w:val="18"/>
                <w:color w:val="auto"/>
              </w:rPr>
            </w:pPr>
          </w:p>
        </w:tc>
      </w:tr>
      <w:tr>
        <w:trPr>
          <w:trHeight w:val="322"/>
        </w:trPr>
        <w:tc>
          <w:tcPr>
            <w:tcW w:w="6180" w:type="dxa"/>
            <w:vAlign w:val="bottom"/>
          </w:tcPr>
          <w:p>
            <w:pPr>
              <w:spacing w:after="0"/>
              <w:rPr>
                <w:sz w:val="20"/>
                <w:szCs w:val="20"/>
                <w:color w:val="auto"/>
              </w:rPr>
            </w:pPr>
            <w:r>
              <w:rPr>
                <w:rFonts w:ascii="Arial" w:cs="Arial" w:eastAsia="Arial" w:hAnsi="Arial"/>
                <w:sz w:val="16"/>
                <w:szCs w:val="16"/>
                <w:b w:val="1"/>
                <w:bCs w:val="1"/>
                <w:color w:val="262626"/>
              </w:rPr>
              <w:t>Justine F. Page</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88"/>
        </w:trPr>
        <w:tc>
          <w:tcPr>
            <w:tcW w:w="6180" w:type="dxa"/>
            <w:vAlign w:val="bottom"/>
            <w:tcBorders>
              <w:bottom w:val="single" w:sz="8" w:color="CF0A2C"/>
            </w:tcBorders>
          </w:tcPr>
          <w:p>
            <w:pPr>
              <w:spacing w:after="0"/>
              <w:rPr>
                <w:sz w:val="7"/>
                <w:szCs w:val="7"/>
                <w:color w:val="auto"/>
              </w:rPr>
            </w:pPr>
          </w:p>
        </w:tc>
        <w:tc>
          <w:tcPr>
            <w:tcW w:w="2520" w:type="dxa"/>
            <w:vAlign w:val="bottom"/>
            <w:tcBorders>
              <w:bottom w:val="single" w:sz="8" w:color="CF0A2C"/>
            </w:tcBorders>
            <w:gridSpan w:val="2"/>
          </w:tcPr>
          <w:p>
            <w:pPr>
              <w:spacing w:after="0"/>
              <w:rPr>
                <w:sz w:val="7"/>
                <w:szCs w:val="7"/>
                <w:color w:val="auto"/>
              </w:rPr>
            </w:pPr>
          </w:p>
        </w:tc>
      </w:tr>
      <w:tr>
        <w:trPr>
          <w:trHeight w:val="362"/>
        </w:trPr>
        <w:tc>
          <w:tcPr>
            <w:tcW w:w="6180" w:type="dxa"/>
            <w:vAlign w:val="bottom"/>
          </w:tcPr>
          <w:p>
            <w:pPr>
              <w:spacing w:after="0"/>
              <w:rPr>
                <w:sz w:val="20"/>
                <w:szCs w:val="20"/>
                <w:color w:val="auto"/>
              </w:rPr>
            </w:pPr>
            <w:r>
              <w:rPr>
                <w:rFonts w:ascii="Arial" w:cs="Arial" w:eastAsia="Arial" w:hAnsi="Arial"/>
                <w:sz w:val="16"/>
                <w:szCs w:val="16"/>
                <w:b w:val="1"/>
                <w:bCs w:val="1"/>
                <w:color w:val="262626"/>
              </w:rPr>
              <w:t xml:space="preserve">Director Since: </w:t>
            </w:r>
            <w:r>
              <w:rPr>
                <w:rFonts w:ascii="Arial" w:cs="Arial" w:eastAsia="Arial" w:hAnsi="Arial"/>
                <w:sz w:val="16"/>
                <w:szCs w:val="16"/>
                <w:color w:val="262626"/>
              </w:rPr>
              <w:t>2019</w:t>
            </w: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262626"/>
              </w:rPr>
              <w:t>Board Committees:</w:t>
            </w:r>
          </w:p>
        </w:tc>
      </w:tr>
      <w:tr>
        <w:trPr>
          <w:trHeight w:val="234"/>
        </w:trPr>
        <w:tc>
          <w:tcPr>
            <w:tcW w:w="6180" w:type="dxa"/>
            <w:vAlign w:val="bottom"/>
          </w:tcPr>
          <w:p>
            <w:pPr>
              <w:spacing w:after="0"/>
              <w:rPr>
                <w:sz w:val="20"/>
                <w:szCs w:val="20"/>
                <w:color w:val="auto"/>
              </w:rPr>
            </w:pPr>
            <w:r>
              <w:rPr>
                <w:rFonts w:ascii="Arial" w:cs="Arial" w:eastAsia="Arial" w:hAnsi="Arial"/>
                <w:sz w:val="16"/>
                <w:szCs w:val="16"/>
                <w:color w:val="262626"/>
              </w:rPr>
              <w:t>Independent Director</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Audit</w:t>
            </w:r>
          </w:p>
        </w:tc>
      </w:tr>
      <w:tr>
        <w:trPr>
          <w:trHeight w:val="505"/>
        </w:trPr>
        <w:tc>
          <w:tcPr>
            <w:tcW w:w="6180" w:type="dxa"/>
            <w:vAlign w:val="bottom"/>
          </w:tcPr>
          <w:p>
            <w:pPr>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63</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29"/>
        </w:trPr>
        <w:tc>
          <w:tcPr>
            <w:tcW w:w="6180" w:type="dxa"/>
            <w:vAlign w:val="bottom"/>
          </w:tcPr>
          <w:p>
            <w:pPr>
              <w:spacing w:after="0"/>
              <w:rPr>
                <w:sz w:val="20"/>
                <w:szCs w:val="20"/>
                <w:color w:val="auto"/>
              </w:rPr>
            </w:pPr>
            <w:r>
              <w:rPr>
                <w:rFonts w:ascii="Arial" w:cs="Arial" w:eastAsia="Arial" w:hAnsi="Arial"/>
                <w:sz w:val="16"/>
                <w:szCs w:val="16"/>
                <w:color w:val="262626"/>
              </w:rPr>
              <w:t>Ms. Page served as Vice President of Finance, Chief Financial Officer and Secretary</w:t>
            </w: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262626"/>
              </w:rPr>
              <w:t>Qualification &amp; Skills:</w:t>
            </w:r>
          </w:p>
        </w:tc>
      </w:tr>
      <w:tr>
        <w:trPr>
          <w:trHeight w:val="234"/>
        </w:trPr>
        <w:tc>
          <w:tcPr>
            <w:tcW w:w="6180" w:type="dxa"/>
            <w:vAlign w:val="bottom"/>
          </w:tcPr>
          <w:p>
            <w:pPr>
              <w:spacing w:after="0"/>
              <w:rPr>
                <w:sz w:val="20"/>
                <w:szCs w:val="20"/>
                <w:color w:val="auto"/>
              </w:rPr>
            </w:pPr>
            <w:r>
              <w:rPr>
                <w:rFonts w:ascii="Arial" w:cs="Arial" w:eastAsia="Arial" w:hAnsi="Arial"/>
                <w:sz w:val="16"/>
                <w:szCs w:val="16"/>
                <w:color w:val="262626"/>
              </w:rPr>
              <w:t>of Integrated Circuit Systems, Inc., a publicly-traded timing solutions IC company,</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Executive Leadership</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from 1999 until its acquisition by Integrated Device Technology, Inc. in 2005. She also</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Finance/Accounting</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held several leadership positions at ICS, including as Director of Finance and</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Global Business</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Administration and Assistant Treasurer from 1993 to 1999. She holds a B.A. degree</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Manufacturing/Supply Chain</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in accounting from Immaculata College and a Master of Taxation degree from</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Semiconductor</w:t>
            </w:r>
          </w:p>
        </w:tc>
      </w:tr>
      <w:tr>
        <w:trPr>
          <w:trHeight w:val="228"/>
        </w:trPr>
        <w:tc>
          <w:tcPr>
            <w:tcW w:w="6180" w:type="dxa"/>
            <w:vAlign w:val="bottom"/>
          </w:tcPr>
          <w:p>
            <w:pPr>
              <w:spacing w:after="0"/>
              <w:rPr>
                <w:sz w:val="20"/>
                <w:szCs w:val="20"/>
                <w:color w:val="auto"/>
              </w:rPr>
            </w:pPr>
            <w:r>
              <w:rPr>
                <w:rFonts w:ascii="Arial" w:cs="Arial" w:eastAsia="Arial" w:hAnsi="Arial"/>
                <w:sz w:val="16"/>
                <w:szCs w:val="16"/>
                <w:color w:val="262626"/>
              </w:rPr>
              <w:t>Villanova University.</w:t>
            </w:r>
          </w:p>
        </w:tc>
        <w:tc>
          <w:tcPr>
            <w:tcW w:w="28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283" w:lineRule="exact"/>
        <w:rPr>
          <w:sz w:val="20"/>
          <w:szCs w:val="20"/>
          <w:color w:val="auto"/>
        </w:rPr>
      </w:pPr>
    </w:p>
    <w:p>
      <w:pPr>
        <w:jc w:val="both"/>
        <w:ind w:left="1280" w:right="2779"/>
        <w:spacing w:after="0" w:line="343" w:lineRule="auto"/>
        <w:rPr>
          <w:sz w:val="20"/>
          <w:szCs w:val="20"/>
          <w:color w:val="auto"/>
        </w:rPr>
      </w:pPr>
      <w:r>
        <w:rPr>
          <w:rFonts w:ascii="Arial" w:cs="Arial" w:eastAsia="Arial" w:hAnsi="Arial"/>
          <w:sz w:val="16"/>
          <w:szCs w:val="16"/>
          <w:color w:val="262626"/>
        </w:rPr>
        <w:t>Ms. Page served as a director of Broadcom Limited from 2016 to 2017, SunEdison Semiconductor Limited from 2014 to 2016 and Avago Technologies Limited from 2008 to 2016.</w:t>
      </w:r>
    </w:p>
    <w:p>
      <w:pPr>
        <w:sectPr>
          <w:pgSz w:w="11900" w:h="16838" w:orient="portrait"/>
          <w:cols w:equalWidth="0" w:num="1">
            <w:col w:w="10139"/>
          </w:cols>
          <w:pgMar w:left="320" w:top="480" w:right="1440" w:bottom="919" w:gutter="0" w:footer="0" w:header="0"/>
          <w:type w:val="continuous"/>
        </w:sectPr>
      </w:pPr>
    </w:p>
    <w:p>
      <w:pPr>
        <w:spacing w:after="0" w:line="107"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768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5155" cy="76835"/>
                    </a:xfrm>
                    <a:prstGeom prst="rect">
                      <a:avLst/>
                    </a:prstGeom>
                    <a:noFill/>
                  </pic:spPr>
                </pic:pic>
              </a:graphicData>
            </a:graphic>
          </wp:anchor>
        </w:drawing>
      </w:r>
    </w:p>
    <w:p>
      <w:pPr>
        <w:sectPr>
          <w:pgSz w:w="11900" w:h="16838" w:orient="portrait"/>
          <w:cols w:equalWidth="0" w:num="1">
            <w:col w:w="10139"/>
          </w:cols>
          <w:pgMar w:left="320" w:top="480" w:right="1440" w:bottom="919"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215265</wp:posOffset>
            </wp:positionV>
            <wp:extent cx="55225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Henry Samueli,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79375</wp:posOffset>
            </wp:positionV>
            <wp:extent cx="55225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66"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6180" w:type="dxa"/>
            <w:vAlign w:val="bottom"/>
          </w:tcPr>
          <w:p>
            <w:pPr>
              <w:spacing w:after="0"/>
              <w:rPr>
                <w:sz w:val="20"/>
                <w:szCs w:val="20"/>
                <w:color w:val="auto"/>
              </w:rPr>
            </w:pPr>
            <w:r>
              <w:rPr>
                <w:rFonts w:ascii="Arial" w:cs="Arial" w:eastAsia="Arial" w:hAnsi="Arial"/>
                <w:sz w:val="16"/>
                <w:szCs w:val="16"/>
                <w:b w:val="1"/>
                <w:bCs w:val="1"/>
                <w:color w:val="262626"/>
              </w:rPr>
              <w:t xml:space="preserve">Director Since: </w:t>
            </w:r>
            <w:r>
              <w:rPr>
                <w:rFonts w:ascii="Arial" w:cs="Arial" w:eastAsia="Arial" w:hAnsi="Arial"/>
                <w:sz w:val="16"/>
                <w:szCs w:val="16"/>
                <w:color w:val="262626"/>
              </w:rPr>
              <w:t>2016</w:t>
            </w: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262626"/>
              </w:rPr>
              <w:t>Board Committees:</w:t>
            </w:r>
          </w:p>
        </w:tc>
      </w:tr>
      <w:tr>
        <w:trPr>
          <w:trHeight w:val="234"/>
        </w:trPr>
        <w:tc>
          <w:tcPr>
            <w:tcW w:w="6180" w:type="dxa"/>
            <w:vAlign w:val="bottom"/>
          </w:tcPr>
          <w:p>
            <w:pPr>
              <w:spacing w:after="0"/>
              <w:rPr>
                <w:sz w:val="20"/>
                <w:szCs w:val="20"/>
                <w:color w:val="auto"/>
              </w:rPr>
            </w:pPr>
            <w:r>
              <w:rPr>
                <w:rFonts w:ascii="Arial" w:cs="Arial" w:eastAsia="Arial" w:hAnsi="Arial"/>
                <w:sz w:val="16"/>
                <w:szCs w:val="16"/>
                <w:color w:val="262626"/>
              </w:rPr>
              <w:t>Chairman of the Board since 2018</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Executive (Chair)</w:t>
            </w:r>
          </w:p>
        </w:tc>
      </w:tr>
      <w:tr>
        <w:trPr>
          <w:trHeight w:val="505"/>
        </w:trPr>
        <w:tc>
          <w:tcPr>
            <w:tcW w:w="6180" w:type="dxa"/>
            <w:vAlign w:val="bottom"/>
          </w:tcPr>
          <w:p>
            <w:pPr>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71</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10"/>
        </w:trPr>
        <w:tc>
          <w:tcPr>
            <w:tcW w:w="6180" w:type="dxa"/>
            <w:vAlign w:val="bottom"/>
          </w:tcPr>
          <w:p>
            <w:pPr>
              <w:spacing w:after="0"/>
              <w:rPr>
                <w:sz w:val="20"/>
                <w:szCs w:val="20"/>
                <w:color w:val="auto"/>
              </w:rPr>
            </w:pPr>
            <w:r>
              <w:rPr>
                <w:rFonts w:ascii="Arial" w:cs="Arial" w:eastAsia="Arial" w:hAnsi="Arial"/>
                <w:sz w:val="16"/>
                <w:szCs w:val="16"/>
                <w:color w:val="262626"/>
              </w:rPr>
              <w:t>Dr. Samueli served as our Chief Technical Officer from February 2016 to December</w:t>
            </w: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262626"/>
              </w:rPr>
              <w:t>Qualification &amp; Skills:</w:t>
            </w:r>
          </w:p>
        </w:tc>
      </w:tr>
      <w:tr>
        <w:trPr>
          <w:trHeight w:val="234"/>
        </w:trPr>
        <w:tc>
          <w:tcPr>
            <w:tcW w:w="6180" w:type="dxa"/>
            <w:vAlign w:val="bottom"/>
          </w:tcPr>
          <w:p>
            <w:pPr>
              <w:spacing w:after="0"/>
              <w:rPr>
                <w:sz w:val="20"/>
                <w:szCs w:val="20"/>
                <w:color w:val="auto"/>
              </w:rPr>
            </w:pPr>
            <w:r>
              <w:rPr>
                <w:rFonts w:ascii="Arial" w:cs="Arial" w:eastAsia="Arial" w:hAnsi="Arial"/>
                <w:sz w:val="16"/>
                <w:szCs w:val="16"/>
                <w:color w:val="262626"/>
              </w:rPr>
              <w:t>2018. He co-founded Broadcom Corporation in 1991 and held several executive</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Business Development &amp;</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leadership positions at Broadcom Corporation until its acquisition by Broadcom Inc.</w:t>
            </w:r>
          </w:p>
        </w:tc>
        <w:tc>
          <w:tcPr>
            <w:tcW w:w="280" w:type="dxa"/>
            <w:vAlign w:val="bottom"/>
          </w:tcPr>
          <w:p>
            <w:pPr>
              <w:spacing w:after="0"/>
              <w:rPr>
                <w:sz w:val="22"/>
                <w:szCs w:val="22"/>
                <w:color w:val="auto"/>
              </w:rPr>
            </w:pPr>
          </w:p>
        </w:tc>
        <w:tc>
          <w:tcPr>
            <w:tcW w:w="2240" w:type="dxa"/>
            <w:vAlign w:val="bottom"/>
          </w:tcPr>
          <w:p>
            <w:pPr>
              <w:ind w:left="60"/>
              <w:spacing w:after="0"/>
              <w:rPr>
                <w:sz w:val="20"/>
                <w:szCs w:val="20"/>
                <w:color w:val="auto"/>
              </w:rPr>
            </w:pPr>
            <w:r>
              <w:rPr>
                <w:rFonts w:ascii="Arial" w:cs="Arial" w:eastAsia="Arial" w:hAnsi="Arial"/>
                <w:sz w:val="16"/>
                <w:szCs w:val="16"/>
                <w:color w:val="262626"/>
              </w:rPr>
              <w:t>Strategy</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(formerly known as Avago Technologies Limited), including as Chief Technical Officer</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Executive Leadership</w:t>
            </w:r>
          </w:p>
        </w:tc>
      </w:tr>
      <w:tr>
        <w:trPr>
          <w:trHeight w:val="242"/>
        </w:trPr>
        <w:tc>
          <w:tcPr>
            <w:tcW w:w="6180" w:type="dxa"/>
            <w:vAlign w:val="bottom"/>
          </w:tcPr>
          <w:p>
            <w:pPr>
              <w:spacing w:after="0"/>
              <w:rPr>
                <w:sz w:val="20"/>
                <w:szCs w:val="20"/>
                <w:color w:val="auto"/>
              </w:rPr>
            </w:pPr>
            <w:r>
              <w:rPr>
                <w:rFonts w:ascii="Arial" w:cs="Arial" w:eastAsia="Arial" w:hAnsi="Arial"/>
                <w:sz w:val="16"/>
                <w:szCs w:val="16"/>
                <w:color w:val="262626"/>
              </w:rPr>
              <w:t>from 1991 to 2008 and 2009 to 2016, Technology Advisor from 2008 to 2009, and</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Global Business</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Vice President of Research and Development from 1991 to 2003. He is the co-owner</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Manufacturing/Supply Chain</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of the National Hockey League’s Anaheim Ducks since 2005. He is a Professor in the</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Semiconductor</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Electrical and Computer Engineering Department at the University of California, Los</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Technology/Innovation</w:t>
            </w:r>
          </w:p>
        </w:tc>
      </w:tr>
      <w:tr>
        <w:trPr>
          <w:trHeight w:val="242"/>
        </w:trPr>
        <w:tc>
          <w:tcPr>
            <w:tcW w:w="6180" w:type="dxa"/>
            <w:vAlign w:val="bottom"/>
          </w:tcPr>
          <w:p>
            <w:pPr>
              <w:spacing w:after="0"/>
              <w:rPr>
                <w:sz w:val="20"/>
                <w:szCs w:val="20"/>
                <w:color w:val="auto"/>
              </w:rPr>
            </w:pPr>
            <w:r>
              <w:rPr>
                <w:rFonts w:ascii="Arial" w:cs="Arial" w:eastAsia="Arial" w:hAnsi="Arial"/>
                <w:sz w:val="16"/>
                <w:szCs w:val="16"/>
                <w:color w:val="262626"/>
              </w:rPr>
              <w:t>Angeles since 1985 (on leave of absence since 1995) and a Distinguished Adjunct</w:t>
            </w: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42"/>
        </w:trPr>
        <w:tc>
          <w:tcPr>
            <w:tcW w:w="6180" w:type="dxa"/>
            <w:vAlign w:val="bottom"/>
          </w:tcPr>
          <w:p>
            <w:pPr>
              <w:spacing w:after="0"/>
              <w:rPr>
                <w:sz w:val="20"/>
                <w:szCs w:val="20"/>
                <w:color w:val="auto"/>
              </w:rPr>
            </w:pPr>
            <w:r>
              <w:rPr>
                <w:rFonts w:ascii="Arial" w:cs="Arial" w:eastAsia="Arial" w:hAnsi="Arial"/>
                <w:sz w:val="16"/>
                <w:szCs w:val="16"/>
                <w:color w:val="262626"/>
              </w:rPr>
              <w:t>Professor in the Electrical Engineering and Computer Science Department at the</w:t>
            </w: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University of California, Irvine since 2003. Prior to Broadcom Corporation, he</w:t>
            </w:r>
          </w:p>
        </w:tc>
        <w:tc>
          <w:tcPr>
            <w:tcW w:w="2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co-founded and was Chief Scientist at PairGain Technologies from 1988 to 1994. He</w:t>
            </w:r>
          </w:p>
        </w:tc>
        <w:tc>
          <w:tcPr>
            <w:tcW w:w="2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42"/>
        </w:trPr>
        <w:tc>
          <w:tcPr>
            <w:tcW w:w="6180" w:type="dxa"/>
            <w:vAlign w:val="bottom"/>
          </w:tcPr>
          <w:p>
            <w:pPr>
              <w:spacing w:after="0"/>
              <w:rPr>
                <w:sz w:val="20"/>
                <w:szCs w:val="20"/>
                <w:color w:val="auto"/>
              </w:rPr>
            </w:pPr>
            <w:r>
              <w:rPr>
                <w:rFonts w:ascii="Arial" w:cs="Arial" w:eastAsia="Arial" w:hAnsi="Arial"/>
                <w:sz w:val="16"/>
                <w:szCs w:val="16"/>
                <w:color w:val="262626"/>
              </w:rPr>
              <w:t>held  various  engineering  and  management  positions  in  the  Electronics  and</w:t>
            </w: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Technology Division of TRW, Inc. from 1980 to 1985. He is also a Fellow of the</w:t>
            </w:r>
          </w:p>
        </w:tc>
        <w:tc>
          <w:tcPr>
            <w:tcW w:w="2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Institute of Electrical and Electronics Engineers (IEEE), a Fellow of the American</w:t>
            </w:r>
          </w:p>
        </w:tc>
        <w:tc>
          <w:tcPr>
            <w:tcW w:w="2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42"/>
        </w:trPr>
        <w:tc>
          <w:tcPr>
            <w:tcW w:w="6180" w:type="dxa"/>
            <w:vAlign w:val="bottom"/>
          </w:tcPr>
          <w:p>
            <w:pPr>
              <w:spacing w:after="0"/>
              <w:rPr>
                <w:sz w:val="20"/>
                <w:szCs w:val="20"/>
                <w:color w:val="auto"/>
              </w:rPr>
            </w:pPr>
            <w:r>
              <w:rPr>
                <w:rFonts w:ascii="Arial" w:cs="Arial" w:eastAsia="Arial" w:hAnsi="Arial"/>
                <w:sz w:val="16"/>
                <w:szCs w:val="16"/>
                <w:color w:val="262626"/>
              </w:rPr>
              <w:t>Academy of Arts and Sciences, a Fellow of the National Academy of Inventors and a</w:t>
            </w: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Member of the National Academy of Engineering, and received the IEEE Medal of</w:t>
            </w:r>
          </w:p>
        </w:tc>
        <w:tc>
          <w:tcPr>
            <w:tcW w:w="2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Honor in 2025.</w:t>
            </w:r>
          </w:p>
        </w:tc>
        <w:tc>
          <w:tcPr>
            <w:tcW w:w="2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483"/>
        </w:trPr>
        <w:tc>
          <w:tcPr>
            <w:tcW w:w="6180" w:type="dxa"/>
            <w:vAlign w:val="bottom"/>
          </w:tcPr>
          <w:p>
            <w:pPr>
              <w:spacing w:after="0"/>
              <w:rPr>
                <w:sz w:val="20"/>
                <w:szCs w:val="20"/>
                <w:color w:val="auto"/>
              </w:rPr>
            </w:pPr>
            <w:r>
              <w:rPr>
                <w:rFonts w:ascii="Arial" w:cs="Arial" w:eastAsia="Arial" w:hAnsi="Arial"/>
                <w:sz w:val="16"/>
                <w:szCs w:val="16"/>
                <w:color w:val="262626"/>
              </w:rPr>
              <w:t>Dr. Samueli served as Chairman and Co-Chairman of the Board of Broadcom</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Corporation from 2011 to 2016 and from 1991 to 2008.</w:t>
            </w:r>
          </w:p>
        </w:tc>
        <w:tc>
          <w:tcPr>
            <w:tcW w:w="2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16"/>
        </w:trPr>
        <w:tc>
          <w:tcPr>
            <w:tcW w:w="6180" w:type="dxa"/>
            <w:vAlign w:val="bottom"/>
            <w:tcBorders>
              <w:bottom w:val="single" w:sz="8" w:color="CF0A2C"/>
            </w:tcBorders>
          </w:tcPr>
          <w:p>
            <w:pPr>
              <w:spacing w:after="0"/>
              <w:rPr>
                <w:sz w:val="18"/>
                <w:szCs w:val="18"/>
                <w:color w:val="auto"/>
              </w:rPr>
            </w:pPr>
          </w:p>
        </w:tc>
        <w:tc>
          <w:tcPr>
            <w:tcW w:w="280" w:type="dxa"/>
            <w:vAlign w:val="bottom"/>
            <w:tcBorders>
              <w:bottom w:val="single" w:sz="8" w:color="CF0A2C"/>
            </w:tcBorders>
          </w:tcPr>
          <w:p>
            <w:pPr>
              <w:spacing w:after="0"/>
              <w:rPr>
                <w:sz w:val="18"/>
                <w:szCs w:val="18"/>
                <w:color w:val="auto"/>
              </w:rPr>
            </w:pPr>
          </w:p>
        </w:tc>
        <w:tc>
          <w:tcPr>
            <w:tcW w:w="2240" w:type="dxa"/>
            <w:vAlign w:val="bottom"/>
            <w:tcBorders>
              <w:bottom w:val="single" w:sz="8" w:color="CF0A2C"/>
            </w:tcBorders>
          </w:tcPr>
          <w:p>
            <w:pPr>
              <w:spacing w:after="0"/>
              <w:rPr>
                <w:sz w:val="18"/>
                <w:szCs w:val="18"/>
                <w:color w:val="auto"/>
              </w:rPr>
            </w:pPr>
          </w:p>
        </w:tc>
      </w:tr>
      <w:tr>
        <w:trPr>
          <w:trHeight w:val="322"/>
        </w:trPr>
        <w:tc>
          <w:tcPr>
            <w:tcW w:w="6180" w:type="dxa"/>
            <w:vAlign w:val="bottom"/>
          </w:tcPr>
          <w:p>
            <w:pPr>
              <w:spacing w:after="0"/>
              <w:rPr>
                <w:sz w:val="20"/>
                <w:szCs w:val="20"/>
                <w:color w:val="auto"/>
              </w:rPr>
            </w:pPr>
            <w:r>
              <w:rPr>
                <w:rFonts w:ascii="Arial" w:cs="Arial" w:eastAsia="Arial" w:hAnsi="Arial"/>
                <w:sz w:val="16"/>
                <w:szCs w:val="16"/>
                <w:b w:val="1"/>
                <w:bCs w:val="1"/>
                <w:color w:val="262626"/>
              </w:rPr>
              <w:t>Hock E. Tan</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88"/>
        </w:trPr>
        <w:tc>
          <w:tcPr>
            <w:tcW w:w="6180" w:type="dxa"/>
            <w:vAlign w:val="bottom"/>
            <w:tcBorders>
              <w:bottom w:val="single" w:sz="8" w:color="CF0A2C"/>
            </w:tcBorders>
          </w:tcPr>
          <w:p>
            <w:pPr>
              <w:spacing w:after="0"/>
              <w:rPr>
                <w:sz w:val="7"/>
                <w:szCs w:val="7"/>
                <w:color w:val="auto"/>
              </w:rPr>
            </w:pPr>
          </w:p>
        </w:tc>
        <w:tc>
          <w:tcPr>
            <w:tcW w:w="2520" w:type="dxa"/>
            <w:vAlign w:val="bottom"/>
            <w:tcBorders>
              <w:bottom w:val="single" w:sz="8" w:color="CF0A2C"/>
            </w:tcBorders>
            <w:gridSpan w:val="2"/>
          </w:tcPr>
          <w:p>
            <w:pPr>
              <w:spacing w:after="0"/>
              <w:rPr>
                <w:sz w:val="7"/>
                <w:szCs w:val="7"/>
                <w:color w:val="auto"/>
              </w:rPr>
            </w:pPr>
          </w:p>
        </w:tc>
      </w:tr>
      <w:tr>
        <w:trPr>
          <w:trHeight w:val="362"/>
        </w:trPr>
        <w:tc>
          <w:tcPr>
            <w:tcW w:w="6180" w:type="dxa"/>
            <w:vAlign w:val="bottom"/>
          </w:tcPr>
          <w:p>
            <w:pPr>
              <w:spacing w:after="0"/>
              <w:rPr>
                <w:sz w:val="20"/>
                <w:szCs w:val="20"/>
                <w:color w:val="auto"/>
              </w:rPr>
            </w:pPr>
            <w:r>
              <w:rPr>
                <w:rFonts w:ascii="Arial" w:cs="Arial" w:eastAsia="Arial" w:hAnsi="Arial"/>
                <w:sz w:val="16"/>
                <w:szCs w:val="16"/>
                <w:b w:val="1"/>
                <w:bCs w:val="1"/>
                <w:color w:val="262626"/>
              </w:rPr>
              <w:t xml:space="preserve">Director Since: </w:t>
            </w:r>
            <w:r>
              <w:rPr>
                <w:rFonts w:ascii="Arial" w:cs="Arial" w:eastAsia="Arial" w:hAnsi="Arial"/>
                <w:sz w:val="16"/>
                <w:szCs w:val="16"/>
                <w:color w:val="262626"/>
              </w:rPr>
              <w:t>2006</w:t>
            </w: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262626"/>
              </w:rPr>
              <w:t>Board Committees:</w:t>
            </w:r>
          </w:p>
        </w:tc>
      </w:tr>
      <w:tr>
        <w:trPr>
          <w:trHeight w:val="234"/>
        </w:trPr>
        <w:tc>
          <w:tcPr>
            <w:tcW w:w="6180" w:type="dxa"/>
            <w:vAlign w:val="bottom"/>
          </w:tcPr>
          <w:p>
            <w:pPr>
              <w:spacing w:after="0"/>
              <w:rPr>
                <w:sz w:val="20"/>
                <w:szCs w:val="20"/>
                <w:color w:val="auto"/>
              </w:rPr>
            </w:pPr>
            <w:r>
              <w:rPr>
                <w:rFonts w:ascii="Arial" w:cs="Arial" w:eastAsia="Arial" w:hAnsi="Arial"/>
                <w:sz w:val="16"/>
                <w:szCs w:val="16"/>
                <w:color w:val="262626"/>
              </w:rPr>
              <w:t>President &amp; CEO</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2240" w:type="dxa"/>
            <w:vAlign w:val="bottom"/>
          </w:tcPr>
          <w:p>
            <w:pPr>
              <w:ind w:left="60"/>
              <w:spacing w:after="0"/>
              <w:rPr>
                <w:sz w:val="20"/>
                <w:szCs w:val="20"/>
                <w:color w:val="auto"/>
              </w:rPr>
            </w:pPr>
            <w:r>
              <w:rPr>
                <w:rFonts w:ascii="Arial" w:cs="Arial" w:eastAsia="Arial" w:hAnsi="Arial"/>
                <w:sz w:val="16"/>
                <w:szCs w:val="16"/>
                <w:color w:val="262626"/>
              </w:rPr>
              <w:t>Executive</w:t>
            </w:r>
          </w:p>
        </w:tc>
      </w:tr>
    </w:tbl>
    <w:p>
      <w:pPr>
        <w:spacing w:after="0" w:line="283"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74</w:t>
      </w:r>
    </w:p>
    <w:p>
      <w:pPr>
        <w:sectPr>
          <w:pgSz w:w="11900" w:h="16838" w:orient="portrait"/>
          <w:cols w:equalWidth="0" w:num="1">
            <w:col w:w="10139"/>
          </w:cols>
          <w:pgMar w:left="320" w:top="479" w:right="1440" w:bottom="1440" w:gutter="0" w:footer="0" w:header="0"/>
        </w:sectPr>
      </w:pPr>
    </w:p>
    <w:p>
      <w:pPr>
        <w:spacing w:after="0" w:line="326" w:lineRule="exact"/>
        <w:rPr>
          <w:sz w:val="20"/>
          <w:szCs w:val="20"/>
          <w:color w:val="auto"/>
        </w:rPr>
      </w:pPr>
    </w:p>
    <w:p>
      <w:pPr>
        <w:jc w:val="both"/>
        <w:ind w:left="1280"/>
        <w:spacing w:after="0" w:line="329" w:lineRule="auto"/>
        <w:rPr>
          <w:sz w:val="20"/>
          <w:szCs w:val="20"/>
          <w:color w:val="auto"/>
        </w:rPr>
      </w:pPr>
      <w:r>
        <w:rPr>
          <w:rFonts w:ascii="Arial" w:cs="Arial" w:eastAsia="Arial" w:hAnsi="Arial"/>
          <w:sz w:val="16"/>
          <w:szCs w:val="16"/>
          <w:color w:val="262626"/>
        </w:rPr>
        <w:t>Mr. Tan has served as our President and CEO since March 2006. He was President and Chief Executive Officer at Integrated Circuit Systems, Inc., a publicly-traded timing solutions IC company, from 1999 until its acquisition by Integrated Device Technology, Inc. in 2005. He also served in various executive roles at ICS, including as Chief Operating Officer from 1996 to 1999 and Senior Vice President and Chief Financial Officer from 1995 to 1999. He was Vice President of Finance at Commodore International, Ltd. from 1992 to 1994 and held senior management positions at PepsiCo, Inc. and General Motors Corporation. He was managing director of Pacven Investment, Ltd., a venture capital fund, from 1988 to 1992 and was managing director of Hume Industries Ltd. from 1983 to 1988. He also has served as a Member of the President’s National Security and Telecommunications Advisory Committee since 2020.</w:t>
      </w:r>
    </w:p>
    <w:p>
      <w:pPr>
        <w:spacing w:after="0" w:line="208" w:lineRule="exact"/>
        <w:rPr>
          <w:sz w:val="20"/>
          <w:szCs w:val="20"/>
          <w:color w:val="auto"/>
        </w:rPr>
      </w:pPr>
    </w:p>
    <w:p>
      <w:pPr>
        <w:jc w:val="both"/>
        <w:ind w:left="1280"/>
        <w:spacing w:after="0" w:line="352" w:lineRule="auto"/>
        <w:rPr>
          <w:sz w:val="20"/>
          <w:szCs w:val="20"/>
          <w:color w:val="auto"/>
        </w:rPr>
      </w:pPr>
      <w:r>
        <w:rPr>
          <w:rFonts w:ascii="Arial" w:cs="Arial" w:eastAsia="Arial" w:hAnsi="Arial"/>
          <w:sz w:val="16"/>
          <w:szCs w:val="16"/>
          <w:color w:val="262626"/>
        </w:rPr>
        <w:t>Mr. Tan serves as a director of Meta Platforms, Inc. Mr. Tan was Chairman of the Board of IDT, a publicly-traded semiconductor company, following its acquisition of ICS from 2005 to 2008.</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Qualification &amp; Skills:</w:t>
      </w:r>
    </w:p>
    <w:p>
      <w:pPr>
        <w:spacing w:after="0" w:line="58" w:lineRule="exact"/>
        <w:rPr>
          <w:sz w:val="20"/>
          <w:szCs w:val="20"/>
          <w:color w:val="auto"/>
        </w:rPr>
      </w:pPr>
    </w:p>
    <w:p>
      <w:pPr>
        <w:ind w:left="260" w:right="539" w:hanging="176"/>
        <w:spacing w:after="0" w:line="323" w:lineRule="auto"/>
        <w:tabs>
          <w:tab w:leader="none" w:pos="260" w:val="left"/>
        </w:tabs>
        <w:numPr>
          <w:ilvl w:val="0"/>
          <w:numId w:val="15"/>
        </w:numPr>
        <w:rPr>
          <w:rFonts w:ascii="Arial" w:cs="Arial" w:eastAsia="Arial" w:hAnsi="Arial"/>
          <w:sz w:val="16"/>
          <w:szCs w:val="16"/>
          <w:color w:val="262626"/>
        </w:rPr>
      </w:pPr>
      <w:r>
        <w:rPr>
          <w:rFonts w:ascii="Arial" w:cs="Arial" w:eastAsia="Arial" w:hAnsi="Arial"/>
          <w:sz w:val="16"/>
          <w:szCs w:val="16"/>
          <w:color w:val="262626"/>
        </w:rPr>
        <w:t>Business Development &amp; Strategy</w:t>
      </w:r>
    </w:p>
    <w:p>
      <w:pPr>
        <w:spacing w:after="0" w:line="1" w:lineRule="exact"/>
        <w:rPr>
          <w:rFonts w:ascii="Arial" w:cs="Arial" w:eastAsia="Arial" w:hAnsi="Arial"/>
          <w:sz w:val="16"/>
          <w:szCs w:val="16"/>
          <w:color w:val="262626"/>
        </w:rPr>
      </w:pPr>
    </w:p>
    <w:p>
      <w:pPr>
        <w:ind w:left="260" w:hanging="176"/>
        <w:spacing w:after="0"/>
        <w:tabs>
          <w:tab w:leader="none" w:pos="260" w:val="left"/>
        </w:tabs>
        <w:numPr>
          <w:ilvl w:val="0"/>
          <w:numId w:val="15"/>
        </w:numPr>
        <w:rPr>
          <w:rFonts w:ascii="Arial" w:cs="Arial" w:eastAsia="Arial" w:hAnsi="Arial"/>
          <w:sz w:val="16"/>
          <w:szCs w:val="16"/>
          <w:color w:val="262626"/>
        </w:rPr>
      </w:pPr>
      <w:r>
        <w:rPr>
          <w:rFonts w:ascii="Arial" w:cs="Arial" w:eastAsia="Arial" w:hAnsi="Arial"/>
          <w:sz w:val="16"/>
          <w:szCs w:val="16"/>
          <w:color w:val="262626"/>
        </w:rPr>
        <w:t>Cybersecurity</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5"/>
        </w:numPr>
        <w:rPr>
          <w:rFonts w:ascii="Arial" w:cs="Arial" w:eastAsia="Arial" w:hAnsi="Arial"/>
          <w:sz w:val="16"/>
          <w:szCs w:val="16"/>
          <w:color w:val="262626"/>
        </w:rPr>
      </w:pPr>
      <w:r>
        <w:rPr>
          <w:rFonts w:ascii="Arial" w:cs="Arial" w:eastAsia="Arial" w:hAnsi="Arial"/>
          <w:sz w:val="16"/>
          <w:szCs w:val="16"/>
          <w:color w:val="262626"/>
        </w:rPr>
        <w:t>Executive Leadership</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5"/>
        </w:numPr>
        <w:rPr>
          <w:rFonts w:ascii="Arial" w:cs="Arial" w:eastAsia="Arial" w:hAnsi="Arial"/>
          <w:sz w:val="16"/>
          <w:szCs w:val="16"/>
          <w:color w:val="262626"/>
        </w:rPr>
      </w:pPr>
      <w:r>
        <w:rPr>
          <w:rFonts w:ascii="Arial" w:cs="Arial" w:eastAsia="Arial" w:hAnsi="Arial"/>
          <w:sz w:val="16"/>
          <w:szCs w:val="16"/>
          <w:color w:val="262626"/>
        </w:rPr>
        <w:t>Finance/Accounting</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5"/>
        </w:numPr>
        <w:rPr>
          <w:rFonts w:ascii="Arial" w:cs="Arial" w:eastAsia="Arial" w:hAnsi="Arial"/>
          <w:sz w:val="16"/>
          <w:szCs w:val="16"/>
          <w:color w:val="262626"/>
        </w:rPr>
      </w:pPr>
      <w:r>
        <w:rPr>
          <w:rFonts w:ascii="Arial" w:cs="Arial" w:eastAsia="Arial" w:hAnsi="Arial"/>
          <w:sz w:val="16"/>
          <w:szCs w:val="16"/>
          <w:color w:val="262626"/>
        </w:rPr>
        <w:t>Global Business</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5"/>
        </w:numPr>
        <w:rPr>
          <w:rFonts w:ascii="Arial" w:cs="Arial" w:eastAsia="Arial" w:hAnsi="Arial"/>
          <w:sz w:val="16"/>
          <w:szCs w:val="16"/>
          <w:color w:val="262626"/>
        </w:rPr>
      </w:pPr>
      <w:r>
        <w:rPr>
          <w:rFonts w:ascii="Arial" w:cs="Arial" w:eastAsia="Arial" w:hAnsi="Arial"/>
          <w:sz w:val="16"/>
          <w:szCs w:val="16"/>
          <w:color w:val="262626"/>
        </w:rPr>
        <w:t>Manufacturing/Supply Chain</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5"/>
        </w:numPr>
        <w:rPr>
          <w:rFonts w:ascii="Arial" w:cs="Arial" w:eastAsia="Arial" w:hAnsi="Arial"/>
          <w:sz w:val="16"/>
          <w:szCs w:val="16"/>
          <w:color w:val="262626"/>
        </w:rPr>
      </w:pPr>
      <w:r>
        <w:rPr>
          <w:rFonts w:ascii="Arial" w:cs="Arial" w:eastAsia="Arial" w:hAnsi="Arial"/>
          <w:sz w:val="16"/>
          <w:szCs w:val="16"/>
          <w:color w:val="262626"/>
        </w:rPr>
        <w:t>Semiconductor</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5"/>
        </w:numPr>
        <w:rPr>
          <w:rFonts w:ascii="Arial" w:cs="Arial" w:eastAsia="Arial" w:hAnsi="Arial"/>
          <w:sz w:val="16"/>
          <w:szCs w:val="16"/>
          <w:color w:val="262626"/>
        </w:rPr>
      </w:pPr>
      <w:r>
        <w:rPr>
          <w:rFonts w:ascii="Arial" w:cs="Arial" w:eastAsia="Arial" w:hAnsi="Arial"/>
          <w:sz w:val="16"/>
          <w:szCs w:val="16"/>
          <w:color w:val="262626"/>
        </w:rPr>
        <w:t>Software/Cloud Computing</w:t>
      </w:r>
    </w:p>
    <w:p>
      <w:pPr>
        <w:spacing w:after="0" w:line="71" w:lineRule="exact"/>
        <w:rPr>
          <w:rFonts w:ascii="Arial" w:cs="Arial" w:eastAsia="Arial" w:hAnsi="Arial"/>
          <w:sz w:val="16"/>
          <w:szCs w:val="16"/>
          <w:color w:val="262626"/>
        </w:rPr>
      </w:pPr>
    </w:p>
    <w:p>
      <w:pPr>
        <w:ind w:left="260" w:hanging="176"/>
        <w:spacing w:after="0"/>
        <w:tabs>
          <w:tab w:leader="none" w:pos="260" w:val="left"/>
        </w:tabs>
        <w:numPr>
          <w:ilvl w:val="0"/>
          <w:numId w:val="15"/>
        </w:numPr>
        <w:rPr>
          <w:rFonts w:ascii="Arial" w:cs="Arial" w:eastAsia="Arial" w:hAnsi="Arial"/>
          <w:sz w:val="16"/>
          <w:szCs w:val="16"/>
          <w:color w:val="262626"/>
        </w:rPr>
      </w:pPr>
      <w:r>
        <w:rPr>
          <w:rFonts w:ascii="Arial" w:cs="Arial" w:eastAsia="Arial" w:hAnsi="Arial"/>
          <w:sz w:val="16"/>
          <w:szCs w:val="16"/>
          <w:color w:val="262626"/>
        </w:rPr>
        <w:t>Technology/Innovation</w:t>
      </w:r>
    </w:p>
    <w:p>
      <w:pPr>
        <w:spacing w:after="0" w:line="1422" w:lineRule="exact"/>
        <w:rPr>
          <w:sz w:val="20"/>
          <w:szCs w:val="20"/>
          <w:color w:val="auto"/>
        </w:rPr>
      </w:pPr>
    </w:p>
    <w:p>
      <w:pPr>
        <w:sectPr>
          <w:pgSz w:w="11900" w:h="16838" w:orient="portrait"/>
          <w:cols w:equalWidth="0" w:num="2">
            <w:col w:w="7360" w:space="180"/>
            <w:col w:w="2599"/>
          </w:cols>
          <w:pgMar w:left="320" w:top="479" w:right="1440" w:bottom="1440" w:gutter="0" w:footer="0" w:header="0"/>
          <w:type w:val="continuous"/>
        </w:sectPr>
      </w:pPr>
    </w:p>
    <w:p>
      <w:pPr>
        <w:ind w:left="9800"/>
        <w:spacing w:after="0"/>
        <w:rPr>
          <w:sz w:val="20"/>
          <w:szCs w:val="20"/>
          <w:color w:val="auto"/>
        </w:rPr>
      </w:pPr>
      <w:r>
        <w:rPr>
          <w:rFonts w:ascii="Arial" w:cs="Arial" w:eastAsia="Arial" w:hAnsi="Arial"/>
          <w:sz w:val="15"/>
          <w:szCs w:val="15"/>
          <w:color w:val="262626"/>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215265</wp:posOffset>
            </wp:positionV>
            <wp:extent cx="55225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Harry L.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79375</wp:posOffset>
            </wp:positionV>
            <wp:extent cx="55225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66"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6"/>
                <w:szCs w:val="16"/>
                <w:b w:val="1"/>
                <w:bCs w:val="1"/>
                <w:color w:val="262626"/>
              </w:rPr>
              <w:t xml:space="preserve">Director Since: </w:t>
            </w:r>
            <w:r>
              <w:rPr>
                <w:rFonts w:ascii="Arial" w:cs="Arial" w:eastAsia="Arial" w:hAnsi="Arial"/>
                <w:sz w:val="16"/>
                <w:szCs w:val="16"/>
                <w:color w:val="262626"/>
              </w:rPr>
              <w:t>2019</w:t>
            </w:r>
          </w:p>
        </w:tc>
        <w:tc>
          <w:tcPr>
            <w:tcW w:w="4200" w:type="dxa"/>
            <w:vAlign w:val="bottom"/>
            <w:gridSpan w:val="2"/>
          </w:tcPr>
          <w:p>
            <w:pPr>
              <w:ind w:left="2360"/>
              <w:spacing w:after="0"/>
              <w:rPr>
                <w:sz w:val="20"/>
                <w:szCs w:val="20"/>
                <w:color w:val="auto"/>
              </w:rPr>
            </w:pPr>
            <w:r>
              <w:rPr>
                <w:rFonts w:ascii="Arial" w:cs="Arial" w:eastAsia="Arial" w:hAnsi="Arial"/>
                <w:sz w:val="16"/>
                <w:szCs w:val="16"/>
                <w:b w:val="1"/>
                <w:bCs w:val="1"/>
                <w:color w:val="262626"/>
              </w:rPr>
              <w:t>Board Committees:</w:t>
            </w:r>
          </w:p>
        </w:tc>
      </w:tr>
      <w:tr>
        <w:trPr>
          <w:trHeight w:val="234"/>
        </w:trPr>
        <w:tc>
          <w:tcPr>
            <w:tcW w:w="3900" w:type="dxa"/>
            <w:vAlign w:val="bottom"/>
          </w:tcPr>
          <w:p>
            <w:pPr>
              <w:spacing w:after="0"/>
              <w:rPr>
                <w:sz w:val="20"/>
                <w:szCs w:val="20"/>
                <w:color w:val="auto"/>
              </w:rPr>
            </w:pPr>
            <w:r>
              <w:rPr>
                <w:rFonts w:ascii="Arial" w:cs="Arial" w:eastAsia="Arial" w:hAnsi="Arial"/>
                <w:sz w:val="16"/>
                <w:szCs w:val="16"/>
                <w:color w:val="262626"/>
              </w:rPr>
              <w:t>Independent Director</w:t>
            </w:r>
          </w:p>
        </w:tc>
        <w:tc>
          <w:tcPr>
            <w:tcW w:w="2560" w:type="dxa"/>
            <w:vAlign w:val="bottom"/>
          </w:tcPr>
          <w:p>
            <w:pPr>
              <w:ind w:left="2440"/>
              <w:spacing w:after="0"/>
              <w:rPr>
                <w:sz w:val="20"/>
                <w:szCs w:val="20"/>
                <w:color w:val="auto"/>
              </w:rPr>
            </w:pPr>
            <w:r>
              <w:rPr>
                <w:rFonts w:ascii="Arial" w:cs="Arial" w:eastAsia="Arial" w:hAnsi="Arial"/>
                <w:sz w:val="16"/>
                <w:szCs w:val="16"/>
                <w:color w:val="262626"/>
              </w:rPr>
              <w:t>•</w:t>
            </w:r>
          </w:p>
        </w:tc>
        <w:tc>
          <w:tcPr>
            <w:tcW w:w="1640" w:type="dxa"/>
            <w:vAlign w:val="bottom"/>
          </w:tcPr>
          <w:p>
            <w:pPr>
              <w:ind w:left="60"/>
              <w:spacing w:after="0"/>
              <w:rPr>
                <w:sz w:val="20"/>
                <w:szCs w:val="20"/>
                <w:color w:val="auto"/>
              </w:rPr>
            </w:pPr>
            <w:r>
              <w:rPr>
                <w:rFonts w:ascii="Arial" w:cs="Arial" w:eastAsia="Arial" w:hAnsi="Arial"/>
                <w:sz w:val="16"/>
                <w:szCs w:val="16"/>
                <w:color w:val="262626"/>
              </w:rPr>
              <w:t>Audit</w:t>
            </w:r>
          </w:p>
        </w:tc>
      </w:tr>
      <w:tr>
        <w:trPr>
          <w:trHeight w:val="255"/>
        </w:trPr>
        <w:tc>
          <w:tcPr>
            <w:tcW w:w="3900" w:type="dxa"/>
            <w:vAlign w:val="bottom"/>
          </w:tcPr>
          <w:p>
            <w:pPr>
              <w:spacing w:after="0"/>
              <w:rPr>
                <w:sz w:val="22"/>
                <w:szCs w:val="22"/>
                <w:color w:val="auto"/>
              </w:rPr>
            </w:pPr>
          </w:p>
        </w:tc>
        <w:tc>
          <w:tcPr>
            <w:tcW w:w="2560" w:type="dxa"/>
            <w:vAlign w:val="bottom"/>
          </w:tcPr>
          <w:p>
            <w:pPr>
              <w:ind w:left="2440"/>
              <w:spacing w:after="0"/>
              <w:rPr>
                <w:sz w:val="20"/>
                <w:szCs w:val="20"/>
                <w:color w:val="auto"/>
              </w:rPr>
            </w:pPr>
            <w:r>
              <w:rPr>
                <w:rFonts w:ascii="Arial" w:cs="Arial" w:eastAsia="Arial" w:hAnsi="Arial"/>
                <w:sz w:val="16"/>
                <w:szCs w:val="16"/>
                <w:color w:val="262626"/>
              </w:rPr>
              <w:t>•</w:t>
            </w:r>
          </w:p>
        </w:tc>
        <w:tc>
          <w:tcPr>
            <w:tcW w:w="1640" w:type="dxa"/>
            <w:vAlign w:val="bottom"/>
          </w:tcPr>
          <w:p>
            <w:pPr>
              <w:ind w:left="60"/>
              <w:spacing w:after="0"/>
              <w:rPr>
                <w:sz w:val="20"/>
                <w:szCs w:val="20"/>
                <w:color w:val="auto"/>
              </w:rPr>
            </w:pPr>
            <w:r>
              <w:rPr>
                <w:rFonts w:ascii="Arial" w:cs="Arial" w:eastAsia="Arial" w:hAnsi="Arial"/>
                <w:sz w:val="16"/>
                <w:szCs w:val="16"/>
                <w:color w:val="262626"/>
                <w:w w:val="99"/>
              </w:rPr>
              <w:t>Compensation (Chair)</w:t>
            </w:r>
          </w:p>
        </w:tc>
      </w:tr>
      <w:tr>
        <w:trPr>
          <w:trHeight w:val="255"/>
        </w:trPr>
        <w:tc>
          <w:tcPr>
            <w:tcW w:w="3900" w:type="dxa"/>
            <w:vAlign w:val="bottom"/>
          </w:tcPr>
          <w:p>
            <w:pPr>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66</w:t>
            </w:r>
          </w:p>
        </w:tc>
        <w:tc>
          <w:tcPr>
            <w:tcW w:w="2560" w:type="dxa"/>
            <w:vAlign w:val="bottom"/>
          </w:tcPr>
          <w:p>
            <w:pPr>
              <w:ind w:left="2440"/>
              <w:spacing w:after="0"/>
              <w:rPr>
                <w:sz w:val="20"/>
                <w:szCs w:val="20"/>
                <w:color w:val="auto"/>
              </w:rPr>
            </w:pPr>
            <w:r>
              <w:rPr>
                <w:rFonts w:ascii="Arial" w:cs="Arial" w:eastAsia="Arial" w:hAnsi="Arial"/>
                <w:sz w:val="16"/>
                <w:szCs w:val="16"/>
                <w:color w:val="262626"/>
              </w:rPr>
              <w:t>•</w:t>
            </w:r>
          </w:p>
        </w:tc>
        <w:tc>
          <w:tcPr>
            <w:tcW w:w="1640" w:type="dxa"/>
            <w:vAlign w:val="bottom"/>
          </w:tcPr>
          <w:p>
            <w:pPr>
              <w:ind w:left="60"/>
              <w:spacing w:after="0"/>
              <w:rPr>
                <w:sz w:val="20"/>
                <w:szCs w:val="20"/>
                <w:color w:val="auto"/>
              </w:rPr>
            </w:pPr>
            <w:r>
              <w:rPr>
                <w:rFonts w:ascii="Arial" w:cs="Arial" w:eastAsia="Arial" w:hAnsi="Arial"/>
                <w:sz w:val="16"/>
                <w:szCs w:val="16"/>
                <w:color w:val="262626"/>
              </w:rPr>
              <w:t>Executive</w:t>
            </w:r>
          </w:p>
        </w:tc>
      </w:tr>
    </w:tbl>
    <w:p>
      <w:pPr>
        <w:spacing w:after="0" w:line="283"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6180" w:type="dxa"/>
            <w:vAlign w:val="bottom"/>
          </w:tcPr>
          <w:p>
            <w:pPr>
              <w:spacing w:after="0"/>
              <w:rPr>
                <w:sz w:val="20"/>
                <w:szCs w:val="20"/>
                <w:color w:val="auto"/>
              </w:rPr>
            </w:pPr>
            <w:r>
              <w:rPr>
                <w:rFonts w:ascii="Arial" w:cs="Arial" w:eastAsia="Arial" w:hAnsi="Arial"/>
                <w:sz w:val="16"/>
                <w:szCs w:val="16"/>
                <w:color w:val="262626"/>
              </w:rPr>
              <w:t>Mr. You served as Chief Financial Officer from September 2016 to August 2019 and</w:t>
            </w:r>
          </w:p>
        </w:tc>
        <w:tc>
          <w:tcPr>
            <w:tcW w:w="2260" w:type="dxa"/>
            <w:vAlign w:val="bottom"/>
            <w:gridSpan w:val="2"/>
          </w:tcPr>
          <w:p>
            <w:pPr>
              <w:ind w:left="80"/>
              <w:spacing w:after="0"/>
              <w:rPr>
                <w:sz w:val="20"/>
                <w:szCs w:val="20"/>
                <w:color w:val="auto"/>
              </w:rPr>
            </w:pPr>
            <w:r>
              <w:rPr>
                <w:rFonts w:ascii="Arial" w:cs="Arial" w:eastAsia="Arial" w:hAnsi="Arial"/>
                <w:sz w:val="16"/>
                <w:szCs w:val="16"/>
                <w:b w:val="1"/>
                <w:bCs w:val="1"/>
                <w:color w:val="262626"/>
              </w:rPr>
              <w:t>Qualification &amp; Skills:</w:t>
            </w:r>
          </w:p>
        </w:tc>
      </w:tr>
      <w:tr>
        <w:trPr>
          <w:trHeight w:val="234"/>
        </w:trPr>
        <w:tc>
          <w:tcPr>
            <w:tcW w:w="6180" w:type="dxa"/>
            <w:vAlign w:val="bottom"/>
          </w:tcPr>
          <w:p>
            <w:pPr>
              <w:spacing w:after="0"/>
              <w:rPr>
                <w:sz w:val="20"/>
                <w:szCs w:val="20"/>
                <w:color w:val="auto"/>
              </w:rPr>
            </w:pPr>
            <w:r>
              <w:rPr>
                <w:rFonts w:ascii="Arial" w:cs="Arial" w:eastAsia="Arial" w:hAnsi="Arial"/>
                <w:sz w:val="16"/>
                <w:szCs w:val="16"/>
                <w:color w:val="262626"/>
              </w:rPr>
              <w:t>President from September 2016 to February 2019 and in May 2019 of GTY</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1980" w:type="dxa"/>
            <w:vAlign w:val="bottom"/>
          </w:tcPr>
          <w:p>
            <w:pPr>
              <w:ind w:left="60"/>
              <w:spacing w:after="0"/>
              <w:rPr>
                <w:sz w:val="20"/>
                <w:szCs w:val="20"/>
                <w:color w:val="auto"/>
              </w:rPr>
            </w:pPr>
            <w:r>
              <w:rPr>
                <w:rFonts w:ascii="Arial" w:cs="Arial" w:eastAsia="Arial" w:hAnsi="Arial"/>
                <w:sz w:val="16"/>
                <w:szCs w:val="16"/>
                <w:color w:val="262626"/>
              </w:rPr>
              <w:t>Business Development &amp;</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Technology Holdings Inc., a software as a service company that offers cloud-based</w:t>
            </w:r>
          </w:p>
        </w:tc>
        <w:tc>
          <w:tcPr>
            <w:tcW w:w="280" w:type="dxa"/>
            <w:vAlign w:val="bottom"/>
          </w:tcPr>
          <w:p>
            <w:pPr>
              <w:spacing w:after="0"/>
              <w:rPr>
                <w:sz w:val="22"/>
                <w:szCs w:val="22"/>
                <w:color w:val="auto"/>
              </w:rPr>
            </w:pPr>
          </w:p>
        </w:tc>
        <w:tc>
          <w:tcPr>
            <w:tcW w:w="1980" w:type="dxa"/>
            <w:vAlign w:val="bottom"/>
          </w:tcPr>
          <w:p>
            <w:pPr>
              <w:ind w:left="60"/>
              <w:spacing w:after="0"/>
              <w:rPr>
                <w:sz w:val="20"/>
                <w:szCs w:val="20"/>
                <w:color w:val="auto"/>
              </w:rPr>
            </w:pPr>
            <w:r>
              <w:rPr>
                <w:rFonts w:ascii="Arial" w:cs="Arial" w:eastAsia="Arial" w:hAnsi="Arial"/>
                <w:sz w:val="16"/>
                <w:szCs w:val="16"/>
                <w:color w:val="262626"/>
              </w:rPr>
              <w:t>Strategy</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solutions for the public sector. He was Executive Vice President in the Office of the</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1980" w:type="dxa"/>
            <w:vAlign w:val="bottom"/>
          </w:tcPr>
          <w:p>
            <w:pPr>
              <w:ind w:left="60"/>
              <w:spacing w:after="0"/>
              <w:rPr>
                <w:sz w:val="20"/>
                <w:szCs w:val="20"/>
                <w:color w:val="auto"/>
              </w:rPr>
            </w:pPr>
            <w:r>
              <w:rPr>
                <w:rFonts w:ascii="Arial" w:cs="Arial" w:eastAsia="Arial" w:hAnsi="Arial"/>
                <w:sz w:val="16"/>
                <w:szCs w:val="16"/>
                <w:color w:val="262626"/>
              </w:rPr>
              <w:t>Cybersecurity</w:t>
            </w:r>
          </w:p>
        </w:tc>
      </w:tr>
      <w:tr>
        <w:trPr>
          <w:trHeight w:val="242"/>
        </w:trPr>
        <w:tc>
          <w:tcPr>
            <w:tcW w:w="6180" w:type="dxa"/>
            <w:vAlign w:val="bottom"/>
          </w:tcPr>
          <w:p>
            <w:pPr>
              <w:spacing w:after="0"/>
              <w:rPr>
                <w:sz w:val="20"/>
                <w:szCs w:val="20"/>
                <w:color w:val="auto"/>
              </w:rPr>
            </w:pPr>
            <w:r>
              <w:rPr>
                <w:rFonts w:ascii="Arial" w:cs="Arial" w:eastAsia="Arial" w:hAnsi="Arial"/>
                <w:sz w:val="16"/>
                <w:szCs w:val="16"/>
                <w:color w:val="262626"/>
              </w:rPr>
              <w:t>Chairman of EMC Corporation from 2008 to 2016 and oversaw corporate strategy</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1980" w:type="dxa"/>
            <w:vAlign w:val="bottom"/>
          </w:tcPr>
          <w:p>
            <w:pPr>
              <w:ind w:left="60"/>
              <w:spacing w:after="0"/>
              <w:rPr>
                <w:sz w:val="20"/>
                <w:szCs w:val="20"/>
                <w:color w:val="auto"/>
              </w:rPr>
            </w:pPr>
            <w:r>
              <w:rPr>
                <w:rFonts w:ascii="Arial" w:cs="Arial" w:eastAsia="Arial" w:hAnsi="Arial"/>
                <w:sz w:val="16"/>
                <w:szCs w:val="16"/>
                <w:color w:val="262626"/>
              </w:rPr>
              <w:t>Executive Leadership</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and new business development, including mergers and acquisitions, joint ventures</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1980" w:type="dxa"/>
            <w:vAlign w:val="bottom"/>
          </w:tcPr>
          <w:p>
            <w:pPr>
              <w:ind w:left="60"/>
              <w:spacing w:after="0"/>
              <w:rPr>
                <w:sz w:val="20"/>
                <w:szCs w:val="20"/>
                <w:color w:val="auto"/>
              </w:rPr>
            </w:pPr>
            <w:r>
              <w:rPr>
                <w:rFonts w:ascii="Arial" w:cs="Arial" w:eastAsia="Arial" w:hAnsi="Arial"/>
                <w:sz w:val="16"/>
                <w:szCs w:val="16"/>
                <w:color w:val="262626"/>
              </w:rPr>
              <w:t>Finance/Accounting</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and venture capital. He was Chief Executive Officer from 2005 to 2007 and Interim</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1980" w:type="dxa"/>
            <w:vAlign w:val="bottom"/>
          </w:tcPr>
          <w:p>
            <w:pPr>
              <w:ind w:left="60"/>
              <w:spacing w:after="0"/>
              <w:rPr>
                <w:sz w:val="20"/>
                <w:szCs w:val="20"/>
                <w:color w:val="auto"/>
              </w:rPr>
            </w:pPr>
            <w:r>
              <w:rPr>
                <w:rFonts w:ascii="Arial" w:cs="Arial" w:eastAsia="Arial" w:hAnsi="Arial"/>
                <w:sz w:val="16"/>
                <w:szCs w:val="16"/>
                <w:color w:val="262626"/>
              </w:rPr>
              <w:t>Global Business</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Chief Financial Officer from 2005 to 2006 of BearingPoint Inc. He was Executive Vice</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1980" w:type="dxa"/>
            <w:vAlign w:val="bottom"/>
          </w:tcPr>
          <w:p>
            <w:pPr>
              <w:ind w:left="60"/>
              <w:spacing w:after="0"/>
              <w:rPr>
                <w:sz w:val="20"/>
                <w:szCs w:val="20"/>
                <w:color w:val="auto"/>
              </w:rPr>
            </w:pPr>
            <w:r>
              <w:rPr>
                <w:rFonts w:ascii="Arial" w:cs="Arial" w:eastAsia="Arial" w:hAnsi="Arial"/>
                <w:sz w:val="16"/>
                <w:szCs w:val="16"/>
                <w:color w:val="262626"/>
                <w:w w:val="99"/>
              </w:rPr>
              <w:t>Software/Cloud Computing</w:t>
            </w:r>
          </w:p>
        </w:tc>
      </w:tr>
      <w:tr>
        <w:trPr>
          <w:trHeight w:val="255"/>
        </w:trPr>
        <w:tc>
          <w:tcPr>
            <w:tcW w:w="6180" w:type="dxa"/>
            <w:vAlign w:val="bottom"/>
          </w:tcPr>
          <w:p>
            <w:pPr>
              <w:spacing w:after="0"/>
              <w:rPr>
                <w:sz w:val="20"/>
                <w:szCs w:val="20"/>
                <w:color w:val="auto"/>
              </w:rPr>
            </w:pPr>
            <w:r>
              <w:rPr>
                <w:rFonts w:ascii="Arial" w:cs="Arial" w:eastAsia="Arial" w:hAnsi="Arial"/>
                <w:sz w:val="16"/>
                <w:szCs w:val="16"/>
                <w:color w:val="262626"/>
              </w:rPr>
              <w:t>President and Chief Financial Officer of Oracle Corporation from 2004 to 2005. Prior</w:t>
            </w:r>
          </w:p>
        </w:tc>
        <w:tc>
          <w:tcPr>
            <w:tcW w:w="280" w:type="dxa"/>
            <w:vAlign w:val="bottom"/>
          </w:tcPr>
          <w:p>
            <w:pPr>
              <w:ind w:left="160"/>
              <w:spacing w:after="0"/>
              <w:rPr>
                <w:sz w:val="20"/>
                <w:szCs w:val="20"/>
                <w:color w:val="auto"/>
              </w:rPr>
            </w:pPr>
            <w:r>
              <w:rPr>
                <w:rFonts w:ascii="Arial" w:cs="Arial" w:eastAsia="Arial" w:hAnsi="Arial"/>
                <w:sz w:val="16"/>
                <w:szCs w:val="16"/>
                <w:color w:val="262626"/>
              </w:rPr>
              <w:t>•</w:t>
            </w:r>
          </w:p>
        </w:tc>
        <w:tc>
          <w:tcPr>
            <w:tcW w:w="1980" w:type="dxa"/>
            <w:vAlign w:val="bottom"/>
          </w:tcPr>
          <w:p>
            <w:pPr>
              <w:ind w:left="60"/>
              <w:spacing w:after="0"/>
              <w:rPr>
                <w:sz w:val="20"/>
                <w:szCs w:val="20"/>
                <w:color w:val="auto"/>
              </w:rPr>
            </w:pPr>
            <w:r>
              <w:rPr>
                <w:rFonts w:ascii="Arial" w:cs="Arial" w:eastAsia="Arial" w:hAnsi="Arial"/>
                <w:sz w:val="16"/>
                <w:szCs w:val="16"/>
                <w:color w:val="262626"/>
              </w:rPr>
              <w:t>Technology/Innovation</w:t>
            </w:r>
          </w:p>
        </w:tc>
      </w:tr>
    </w:tbl>
    <w:p>
      <w:pPr>
        <w:spacing w:after="0" w:line="14" w:lineRule="exact"/>
        <w:rPr>
          <w:sz w:val="20"/>
          <w:szCs w:val="20"/>
          <w:color w:val="auto"/>
        </w:rPr>
      </w:pPr>
    </w:p>
    <w:p>
      <w:pPr>
        <w:jc w:val="both"/>
        <w:ind w:left="1280" w:right="2779"/>
        <w:spacing w:after="0" w:line="352" w:lineRule="auto"/>
        <w:rPr>
          <w:sz w:val="20"/>
          <w:szCs w:val="20"/>
          <w:color w:val="auto"/>
        </w:rPr>
      </w:pPr>
      <w:r>
        <w:rPr>
          <w:rFonts w:ascii="Arial" w:cs="Arial" w:eastAsia="Arial" w:hAnsi="Arial"/>
          <w:sz w:val="16"/>
          <w:szCs w:val="16"/>
          <w:color w:val="262626"/>
        </w:rPr>
        <w:t>to joining Oracle, he held several key positions in finance, including as Chief Financial Officer of Accenture Ltd. He also served as a trustee of the U.S. Olympic Committee Foundation from 2016 to 2022.</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Mr. You serves as Chairman of the Board of Rain Enhancement Technologies</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Holdco, Inc. Mr. You served as Vice Chairman of the Board of GTY Technology from</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February 2019 to July 2022 and as a director of IonQ, Inc. from September 2021 to</w:t>
      </w:r>
    </w:p>
    <w:p>
      <w:pPr>
        <w:spacing w:after="0" w:line="58"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February 2025, Coupang, Inc. from January 2021 to June 2023, Genius Sports</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Limited from April 2021 to December 2022, Rush Street Interactive, Inc. from</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September 2019 to June 2022 and Korn/Ferry International from 2005 to 2016.</w:t>
      </w:r>
    </w:p>
    <w:p>
      <w:pPr>
        <w:spacing w:after="0" w:line="299" w:lineRule="exact"/>
        <w:rPr>
          <w:sz w:val="20"/>
          <w:szCs w:val="20"/>
          <w:color w:val="auto"/>
        </w:rPr>
      </w:pPr>
    </w:p>
    <w:p>
      <w:pPr>
        <w:jc w:val="both"/>
        <w:ind w:left="1280" w:right="2779"/>
        <w:spacing w:after="0" w:line="331" w:lineRule="auto"/>
        <w:rPr>
          <w:sz w:val="20"/>
          <w:szCs w:val="20"/>
          <w:color w:val="auto"/>
        </w:rPr>
      </w:pPr>
      <w:r>
        <w:rPr>
          <w:rFonts w:ascii="Arial" w:cs="Arial" w:eastAsia="Arial" w:hAnsi="Arial"/>
          <w:sz w:val="16"/>
          <w:szCs w:val="16"/>
          <w:color w:val="262626"/>
        </w:rPr>
        <w:t>Mr. You is also involved in the following special purpose acquisition companies that our Board believes do not require the same time commitment as an operating company. Mr. You has served as Executive Chairman of Berto Acquisition Corp. since February 2025. He has served as Interim Chief Executive Officer since February 2025 and as Chief Financial Officer since February 2022 of dMY Squared Technology Group, Inc., where he previously served as Co-Chief Executive Officer from March 2022 to March 2023. Mr. You is also Chairman of the Board of dMY Squared Technology Group. Mr. You served as a director of these special purpose acquisition companies: Coliseum Acquisition Corp. from June 2023 to December 2024, dMY Technology Group, Inc. VI from April 2021 to April 2023, dMY Technology Group, Inc. II from June 2020 to April 2021 and dMY Technology Group, Inc. IV from December 2020 to December 2021.</w:t>
      </w:r>
    </w:p>
    <w:p>
      <w:pPr>
        <w:spacing w:after="0" w:line="200" w:lineRule="exact"/>
        <w:rPr>
          <w:sz w:val="20"/>
          <w:szCs w:val="20"/>
          <w:color w:val="auto"/>
        </w:rPr>
      </w:pPr>
    </w:p>
    <w:p>
      <w:pPr>
        <w:spacing w:after="0" w:line="361" w:lineRule="exact"/>
        <w:rPr>
          <w:sz w:val="20"/>
          <w:szCs w:val="20"/>
          <w:color w:val="auto"/>
        </w:rPr>
      </w:pPr>
    </w:p>
    <w:p>
      <w:pPr>
        <w:jc w:val="right"/>
        <w:ind w:right="1039"/>
        <w:spacing w:after="0"/>
        <w:rPr>
          <w:sz w:val="20"/>
          <w:szCs w:val="20"/>
          <w:color w:val="auto"/>
        </w:rPr>
      </w:pPr>
      <w:r>
        <w:rPr>
          <w:rFonts w:ascii="Arial" w:cs="Arial" w:eastAsia="Arial" w:hAnsi="Arial"/>
          <w:sz w:val="18"/>
          <w:szCs w:val="18"/>
          <w:b w:val="1"/>
          <w:bCs w:val="1"/>
          <w:color w:val="CF0A2C"/>
        </w:rPr>
        <w:t xml:space="preserve">Our Board recommends a vote </w:t>
      </w:r>
      <w:r>
        <w:rPr>
          <w:rFonts w:ascii="Arial" w:cs="Arial" w:eastAsia="Arial" w:hAnsi="Arial"/>
          <w:sz w:val="18"/>
          <w:szCs w:val="18"/>
          <w:b w:val="1"/>
          <w:bCs w:val="1"/>
          <w:u w:val="single" w:color="auto"/>
          <w:color w:val="CF0A2C"/>
        </w:rPr>
        <w:t>FOR</w:t>
      </w:r>
      <w:r>
        <w:rPr>
          <w:rFonts w:ascii="Arial" w:cs="Arial" w:eastAsia="Arial" w:hAnsi="Arial"/>
          <w:sz w:val="18"/>
          <w:szCs w:val="18"/>
          <w:b w:val="1"/>
          <w:bCs w:val="1"/>
          <w:color w:val="CF0A2C"/>
        </w:rPr>
        <w:t xml:space="preserve"> the election of each of the director nominees.</w:t>
      </w:r>
    </w:p>
    <w:p>
      <w:pPr>
        <w:spacing w:after="0" w:line="143"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850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jc w:val="center"/>
        <w:ind w:right="-1100"/>
        <w:spacing w:after="0"/>
        <w:rPr>
          <w:sz w:val="20"/>
          <w:szCs w:val="20"/>
          <w:color w:val="auto"/>
        </w:rPr>
      </w:pPr>
      <w:r>
        <w:rPr>
          <w:rFonts w:ascii="Arial" w:cs="Arial" w:eastAsia="Arial" w:hAnsi="Arial"/>
          <w:sz w:val="25"/>
          <w:szCs w:val="25"/>
          <w:color w:val="CF0A2C"/>
        </w:rPr>
        <w:t>PROPOSAL 2:</w:t>
      </w:r>
    </w:p>
    <w:p>
      <w:pPr>
        <w:spacing w:after="0" w:line="115" w:lineRule="exact"/>
        <w:rPr>
          <w:sz w:val="20"/>
          <w:szCs w:val="20"/>
          <w:color w:val="auto"/>
        </w:rPr>
      </w:pPr>
    </w:p>
    <w:p>
      <w:pPr>
        <w:jc w:val="center"/>
        <w:ind w:right="-1100"/>
        <w:spacing w:after="0"/>
        <w:rPr>
          <w:sz w:val="20"/>
          <w:szCs w:val="20"/>
          <w:color w:val="auto"/>
        </w:rPr>
      </w:pPr>
      <w:r>
        <w:rPr>
          <w:rFonts w:ascii="Arial" w:cs="Arial" w:eastAsia="Arial" w:hAnsi="Arial"/>
          <w:sz w:val="25"/>
          <w:szCs w:val="25"/>
          <w:color w:val="CF0A2C"/>
        </w:rPr>
        <w:t>RATIFICATION OF APPOINTMENT OF</w:t>
      </w:r>
    </w:p>
    <w:p>
      <w:pPr>
        <w:spacing w:after="0" w:line="32" w:lineRule="exact"/>
        <w:rPr>
          <w:sz w:val="20"/>
          <w:szCs w:val="20"/>
          <w:color w:val="auto"/>
        </w:rPr>
      </w:pPr>
    </w:p>
    <w:p>
      <w:pPr>
        <w:jc w:val="center"/>
        <w:ind w:right="-1100"/>
        <w:spacing w:after="0"/>
        <w:rPr>
          <w:sz w:val="20"/>
          <w:szCs w:val="20"/>
          <w:color w:val="auto"/>
        </w:rPr>
      </w:pPr>
      <w:r>
        <w:rPr>
          <w:rFonts w:ascii="Arial" w:cs="Arial" w:eastAsia="Arial" w:hAnsi="Arial"/>
          <w:sz w:val="25"/>
          <w:szCs w:val="25"/>
          <w:color w:val="CF0A2C"/>
        </w:rPr>
        <w:t>INDEPENDENT REGISTERED PUBLIC ACCOUNTING FIRM</w:t>
      </w:r>
    </w:p>
    <w:p>
      <w:pPr>
        <w:spacing w:after="0" w:line="234" w:lineRule="exact"/>
        <w:rPr>
          <w:sz w:val="20"/>
          <w:szCs w:val="20"/>
          <w:color w:val="auto"/>
        </w:rPr>
      </w:pPr>
    </w:p>
    <w:p>
      <w:pPr>
        <w:jc w:val="both"/>
        <w:ind w:left="1280" w:right="159"/>
        <w:spacing w:after="0" w:line="332" w:lineRule="auto"/>
        <w:rPr>
          <w:sz w:val="20"/>
          <w:szCs w:val="20"/>
          <w:color w:val="auto"/>
        </w:rPr>
      </w:pPr>
      <w:r>
        <w:rPr>
          <w:rFonts w:ascii="Arial" w:cs="Arial" w:eastAsia="Arial" w:hAnsi="Arial"/>
          <w:sz w:val="16"/>
          <w:szCs w:val="16"/>
          <w:color w:val="262626"/>
        </w:rPr>
        <w:t>The Audit Committee is responsible for the appointment, compensation, retention and oversight of the independent auditors retained to audit our consolidated financial statements. The Audit Committee has reappointed PricewaterhouseCoopers LLP (“PwC”) as our independent registered public accounting firm for fiscal 2026. Our Board and the Audit Committee believe that the continued retention of PwC is in the best interests of Broadcom and our stockholders. We expect a representative from PwC to be present at the Annual Meeting. This representative will have the opportunity to make a statement if the representative so desires and is expected to be available to respond to appropriate questions.</w:t>
      </w:r>
    </w:p>
    <w:p>
      <w:pPr>
        <w:spacing w:after="0" w:line="365"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Our stockholders are not required to ratify the appointment of PwC as our independent registered public accounting firm. However, we are submitting the appointment of PwC to our stockholders for ratification as a matter of good corporate practice. In the event of a negative vote, the Audit Committee will reconsider whether or not to continue to retain PwC. Even if the appointment is ratified, the Audit Committee, in its discretion, may change the appointment at any time during the year if it determines that such a change would be in the best interests of Broadcom and our stockholders.</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AUDIT AND RELATED FEES</w:t>
      </w:r>
    </w:p>
    <w:p>
      <w:pPr>
        <w:spacing w:after="0" w:line="200"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Set forth below are the fees for all services rendered by PwC to Broadcom for fiscal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130810</wp:posOffset>
            </wp:positionV>
            <wp:extent cx="55225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79" w:lineRule="exact"/>
        <w:rPr>
          <w:sz w:val="20"/>
          <w:szCs w:val="20"/>
          <w:color w:val="auto"/>
        </w:rPr>
      </w:pPr>
    </w:p>
    <w:tbl>
      <w:tblPr>
        <w:tblLayout w:type="fixed"/>
        <w:tblInd w:w="1280" w:type="dxa"/>
        <w:tblCellMar>
          <w:top w:w="0" w:type="dxa"/>
          <w:left w:w="0" w:type="dxa"/>
          <w:bottom w:w="0" w:type="dxa"/>
          <w:right w:w="0" w:type="dxa"/>
        </w:tblCellMar>
      </w:tblPr>
      <w:tr>
        <w:trPr>
          <w:trHeight w:val="239"/>
        </w:trPr>
        <w:tc>
          <w:tcPr>
            <w:tcW w:w="5860" w:type="dxa"/>
            <w:vAlign w:val="bottom"/>
          </w:tcPr>
          <w:p>
            <w:pPr>
              <w:spacing w:after="0"/>
              <w:rPr>
                <w:sz w:val="20"/>
                <w:szCs w:val="20"/>
                <w:color w:val="auto"/>
              </w:rPr>
            </w:pPr>
          </w:p>
        </w:tc>
        <w:tc>
          <w:tcPr>
            <w:tcW w:w="200" w:type="dxa"/>
            <w:vAlign w:val="bottom"/>
            <w:tcBorders>
              <w:bottom w:val="single" w:sz="8" w:color="7F7F7F"/>
            </w:tcBorders>
            <w:gridSpan w:val="2"/>
          </w:tcPr>
          <w:p>
            <w:pPr>
              <w:ind w:left="80"/>
              <w:spacing w:after="0"/>
              <w:rPr>
                <w:sz w:val="20"/>
                <w:szCs w:val="20"/>
                <w:color w:val="auto"/>
              </w:rPr>
            </w:pPr>
            <w:r>
              <w:rPr>
                <w:rFonts w:ascii="Arial" w:cs="Arial" w:eastAsia="Arial" w:hAnsi="Arial"/>
                <w:sz w:val="14"/>
                <w:szCs w:val="14"/>
                <w:b w:val="1"/>
                <w:bCs w:val="1"/>
                <w:color w:val="262626"/>
                <w:w w:val="71"/>
              </w:rPr>
              <w:t> </w:t>
            </w:r>
          </w:p>
        </w:tc>
        <w:tc>
          <w:tcPr>
            <w:tcW w:w="1080" w:type="dxa"/>
            <w:vAlign w:val="bottom"/>
            <w:tcBorders>
              <w:bottom w:val="single" w:sz="8" w:color="7F7F7F"/>
            </w:tcBorders>
            <w:gridSpan w:val="3"/>
          </w:tcPr>
          <w:p>
            <w:pPr>
              <w:jc w:val="right"/>
              <w:spacing w:after="0"/>
              <w:rPr>
                <w:sz w:val="20"/>
                <w:szCs w:val="20"/>
                <w:color w:val="auto"/>
              </w:rPr>
            </w:pPr>
            <w:r>
              <w:rPr>
                <w:rFonts w:ascii="Arial" w:cs="Arial" w:eastAsia="Arial" w:hAnsi="Arial"/>
                <w:sz w:val="16"/>
                <w:szCs w:val="16"/>
                <w:b w:val="1"/>
                <w:bCs w:val="1"/>
                <w:color w:val="262626"/>
                <w:w w:val="94"/>
              </w:rPr>
              <w:t>   Fiscal 2025</w:t>
            </w:r>
          </w:p>
        </w:tc>
        <w:tc>
          <w:tcPr>
            <w:tcW w:w="1420" w:type="dxa"/>
            <w:vAlign w:val="bottom"/>
            <w:tcBorders>
              <w:bottom w:val="single" w:sz="8" w:color="7F7F7F"/>
            </w:tcBorders>
            <w:gridSpan w:val="3"/>
          </w:tcPr>
          <w:p>
            <w:pPr>
              <w:jc w:val="right"/>
              <w:spacing w:after="0"/>
              <w:rPr>
                <w:sz w:val="20"/>
                <w:szCs w:val="20"/>
                <w:color w:val="auto"/>
              </w:rPr>
            </w:pPr>
            <w:r>
              <w:rPr>
                <w:rFonts w:ascii="Arial" w:cs="Arial" w:eastAsia="Arial" w:hAnsi="Arial"/>
                <w:sz w:val="16"/>
                <w:szCs w:val="16"/>
                <w:b w:val="1"/>
                <w:bCs w:val="1"/>
                <w:color w:val="262626"/>
              </w:rPr>
              <w:t>      Fiscal 2024</w:t>
            </w:r>
          </w:p>
        </w:tc>
        <w:tc>
          <w:tcPr>
            <w:tcW w:w="140" w:type="dxa"/>
            <w:vAlign w:val="bottom"/>
            <w:tcBorders>
              <w:bottom w:val="single" w:sz="8" w:color="7F7F7F"/>
            </w:tcBorders>
          </w:tcPr>
          <w:p>
            <w:pPr>
              <w:spacing w:after="0"/>
              <w:rPr>
                <w:sz w:val="20"/>
                <w:szCs w:val="20"/>
                <w:color w:val="auto"/>
              </w:rPr>
            </w:pPr>
          </w:p>
        </w:tc>
      </w:tr>
      <w:tr>
        <w:trPr>
          <w:trHeight w:val="237"/>
        </w:trPr>
        <w:tc>
          <w:tcPr>
            <w:tcW w:w="5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Arial" w:cs="Arial" w:eastAsia="Arial" w:hAnsi="Arial"/>
                <w:sz w:val="5"/>
                <w:szCs w:val="5"/>
                <w:b w:val="1"/>
                <w:bCs w:val="1"/>
                <w:color w:val="262626"/>
                <w:w w:val="79"/>
              </w:rPr>
              <w:t> </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262626"/>
                <w:w w:val="95"/>
              </w:rPr>
              <w:t>   ($ in thousands)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2"/>
        </w:trPr>
        <w:tc>
          <w:tcPr>
            <w:tcW w:w="5860" w:type="dxa"/>
            <w:vAlign w:val="bottom"/>
            <w:tcBorders>
              <w:bottom w:val="single" w:sz="8" w:color="CF0A2C"/>
            </w:tcBorders>
          </w:tcPr>
          <w:p>
            <w:pPr>
              <w:spacing w:after="0"/>
              <w:rPr>
                <w:sz w:val="3"/>
                <w:szCs w:val="3"/>
                <w:color w:val="auto"/>
              </w:rPr>
            </w:pPr>
          </w:p>
        </w:tc>
        <w:tc>
          <w:tcPr>
            <w:tcW w:w="200" w:type="dxa"/>
            <w:vAlign w:val="bottom"/>
            <w:tcBorders>
              <w:bottom w:val="single" w:sz="8" w:color="CF0A2C"/>
            </w:tcBorders>
            <w:gridSpan w:val="2"/>
          </w:tcPr>
          <w:p>
            <w:pPr>
              <w:spacing w:after="0"/>
              <w:rPr>
                <w:sz w:val="3"/>
                <w:szCs w:val="3"/>
                <w:color w:val="auto"/>
              </w:rPr>
            </w:pPr>
          </w:p>
        </w:tc>
        <w:tc>
          <w:tcPr>
            <w:tcW w:w="440" w:type="dxa"/>
            <w:vAlign w:val="bottom"/>
            <w:tcBorders>
              <w:bottom w:val="single" w:sz="8" w:color="CF0A2C"/>
            </w:tcBorders>
          </w:tcPr>
          <w:p>
            <w:pPr>
              <w:spacing w:after="0"/>
              <w:rPr>
                <w:sz w:val="3"/>
                <w:szCs w:val="3"/>
                <w:color w:val="auto"/>
              </w:rPr>
            </w:pPr>
          </w:p>
        </w:tc>
        <w:tc>
          <w:tcPr>
            <w:tcW w:w="120" w:type="dxa"/>
            <w:vAlign w:val="bottom"/>
            <w:tcBorders>
              <w:bottom w:val="single" w:sz="8" w:color="CF0A2C"/>
            </w:tcBorders>
          </w:tcPr>
          <w:p>
            <w:pPr>
              <w:spacing w:after="0"/>
              <w:rPr>
                <w:sz w:val="3"/>
                <w:szCs w:val="3"/>
                <w:color w:val="auto"/>
              </w:rPr>
            </w:pPr>
          </w:p>
        </w:tc>
        <w:tc>
          <w:tcPr>
            <w:tcW w:w="520" w:type="dxa"/>
            <w:vAlign w:val="bottom"/>
            <w:tcBorders>
              <w:bottom w:val="single" w:sz="8" w:color="CF0A2C"/>
            </w:tcBorders>
          </w:tcPr>
          <w:p>
            <w:pPr>
              <w:spacing w:after="0"/>
              <w:rPr>
                <w:sz w:val="3"/>
                <w:szCs w:val="3"/>
                <w:color w:val="auto"/>
              </w:rPr>
            </w:pPr>
          </w:p>
        </w:tc>
        <w:tc>
          <w:tcPr>
            <w:tcW w:w="240" w:type="dxa"/>
            <w:vAlign w:val="bottom"/>
            <w:tcBorders>
              <w:bottom w:val="single" w:sz="8" w:color="CF0A2C"/>
            </w:tcBorders>
          </w:tcPr>
          <w:p>
            <w:pPr>
              <w:spacing w:after="0"/>
              <w:rPr>
                <w:sz w:val="3"/>
                <w:szCs w:val="3"/>
                <w:color w:val="auto"/>
              </w:rPr>
            </w:pPr>
          </w:p>
        </w:tc>
        <w:tc>
          <w:tcPr>
            <w:tcW w:w="580" w:type="dxa"/>
            <w:vAlign w:val="bottom"/>
            <w:tcBorders>
              <w:bottom w:val="single" w:sz="8" w:color="CF0A2C"/>
            </w:tcBorders>
          </w:tcPr>
          <w:p>
            <w:pPr>
              <w:spacing w:after="0"/>
              <w:rPr>
                <w:sz w:val="3"/>
                <w:szCs w:val="3"/>
                <w:color w:val="auto"/>
              </w:rPr>
            </w:pPr>
          </w:p>
        </w:tc>
        <w:tc>
          <w:tcPr>
            <w:tcW w:w="600" w:type="dxa"/>
            <w:vAlign w:val="bottom"/>
            <w:tcBorders>
              <w:bottom w:val="single" w:sz="8" w:color="CF0A2C"/>
            </w:tcBorders>
          </w:tcPr>
          <w:p>
            <w:pPr>
              <w:spacing w:after="0"/>
              <w:rPr>
                <w:sz w:val="3"/>
                <w:szCs w:val="3"/>
                <w:color w:val="auto"/>
              </w:rPr>
            </w:pPr>
          </w:p>
        </w:tc>
        <w:tc>
          <w:tcPr>
            <w:tcW w:w="140" w:type="dxa"/>
            <w:vAlign w:val="bottom"/>
            <w:tcBorders>
              <w:bottom w:val="single" w:sz="8" w:color="CF0A2C"/>
            </w:tcBorders>
          </w:tcPr>
          <w:p>
            <w:pPr>
              <w:spacing w:after="0"/>
              <w:rPr>
                <w:sz w:val="3"/>
                <w:szCs w:val="3"/>
                <w:color w:val="auto"/>
              </w:rPr>
            </w:pPr>
          </w:p>
        </w:tc>
      </w:tr>
      <w:tr>
        <w:trPr>
          <w:trHeight w:val="314"/>
        </w:trPr>
        <w:tc>
          <w:tcPr>
            <w:tcW w:w="6060" w:type="dxa"/>
            <w:vAlign w:val="bottom"/>
            <w:gridSpan w:val="3"/>
          </w:tcPr>
          <w:p>
            <w:pPr>
              <w:spacing w:after="0"/>
              <w:rPr>
                <w:sz w:val="20"/>
                <w:szCs w:val="20"/>
                <w:color w:val="auto"/>
              </w:rPr>
            </w:pPr>
            <w:r>
              <w:rPr>
                <w:rFonts w:ascii="Arial" w:cs="Arial" w:eastAsia="Arial" w:hAnsi="Arial"/>
                <w:sz w:val="16"/>
                <w:szCs w:val="16"/>
                <w:color w:val="262626"/>
              </w:rPr>
              <w:t>Audit Fees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262626"/>
              </w:rPr>
              <w:t>18,093</w:t>
            </w:r>
          </w:p>
        </w:tc>
        <w:tc>
          <w:tcPr>
            <w:tcW w:w="240" w:type="dxa"/>
            <w:vAlign w:val="bottom"/>
          </w:tcPr>
          <w:p>
            <w:pPr>
              <w:spacing w:after="0"/>
              <w:rPr>
                <w:sz w:val="24"/>
                <w:szCs w:val="24"/>
                <w:color w:val="auto"/>
              </w:rPr>
            </w:pPr>
          </w:p>
        </w:tc>
        <w:tc>
          <w:tcPr>
            <w:tcW w:w="580" w:type="dxa"/>
            <w:vAlign w:val="bottom"/>
          </w:tcPr>
          <w:p>
            <w:pPr>
              <w:jc w:val="center"/>
              <w:ind w:left="296"/>
              <w:spacing w:after="0"/>
              <w:rPr>
                <w:sz w:val="20"/>
                <w:szCs w:val="20"/>
                <w:color w:val="auto"/>
              </w:rPr>
            </w:pPr>
            <w:r>
              <w:rPr>
                <w:rFonts w:ascii="Arial" w:cs="Arial" w:eastAsia="Arial" w:hAnsi="Arial"/>
                <w:sz w:val="5"/>
                <w:szCs w:val="5"/>
                <w:color w:val="262626"/>
                <w:w w:val="79"/>
              </w:rPr>
              <w:t> </w:t>
            </w:r>
          </w:p>
        </w:tc>
        <w:tc>
          <w:tcPr>
            <w:tcW w:w="600" w:type="dxa"/>
            <w:vAlign w:val="bottom"/>
          </w:tcPr>
          <w:p>
            <w:pPr>
              <w:jc w:val="right"/>
              <w:spacing w:after="0"/>
              <w:rPr>
                <w:sz w:val="20"/>
                <w:szCs w:val="20"/>
                <w:color w:val="auto"/>
              </w:rPr>
            </w:pPr>
            <w:r>
              <w:rPr>
                <w:rFonts w:ascii="Arial" w:cs="Arial" w:eastAsia="Arial" w:hAnsi="Arial"/>
                <w:sz w:val="16"/>
                <w:szCs w:val="16"/>
                <w:color w:val="262626"/>
                <w:w w:val="94"/>
              </w:rPr>
              <w:t>  29,664</w:t>
            </w:r>
          </w:p>
        </w:tc>
        <w:tc>
          <w:tcPr>
            <w:tcW w:w="140" w:type="dxa"/>
            <w:vAlign w:val="bottom"/>
          </w:tcPr>
          <w:p>
            <w:pPr>
              <w:spacing w:after="0"/>
              <w:rPr>
                <w:sz w:val="24"/>
                <w:szCs w:val="24"/>
                <w:color w:val="auto"/>
              </w:rPr>
            </w:pPr>
          </w:p>
        </w:tc>
      </w:tr>
      <w:tr>
        <w:trPr>
          <w:trHeight w:val="322"/>
        </w:trPr>
        <w:tc>
          <w:tcPr>
            <w:tcW w:w="6060" w:type="dxa"/>
            <w:vAlign w:val="bottom"/>
            <w:gridSpan w:val="3"/>
          </w:tcPr>
          <w:p>
            <w:pPr>
              <w:spacing w:after="0"/>
              <w:rPr>
                <w:sz w:val="20"/>
                <w:szCs w:val="20"/>
                <w:color w:val="auto"/>
              </w:rPr>
            </w:pPr>
            <w:r>
              <w:rPr>
                <w:rFonts w:ascii="Arial" w:cs="Arial" w:eastAsia="Arial" w:hAnsi="Arial"/>
                <w:sz w:val="16"/>
                <w:szCs w:val="16"/>
                <w:color w:val="262626"/>
              </w:rPr>
              <w:t>Audit-Related Fees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262626"/>
              </w:rPr>
              <w:t>—</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262626"/>
              </w:rPr>
              <w:t>9,500</w:t>
            </w:r>
          </w:p>
        </w:tc>
        <w:tc>
          <w:tcPr>
            <w:tcW w:w="140" w:type="dxa"/>
            <w:vAlign w:val="bottom"/>
          </w:tcPr>
          <w:p>
            <w:pPr>
              <w:spacing w:after="0"/>
              <w:rPr>
                <w:sz w:val="24"/>
                <w:szCs w:val="24"/>
                <w:color w:val="auto"/>
              </w:rPr>
            </w:pPr>
          </w:p>
        </w:tc>
      </w:tr>
      <w:tr>
        <w:trPr>
          <w:trHeight w:val="322"/>
        </w:trPr>
        <w:tc>
          <w:tcPr>
            <w:tcW w:w="6060" w:type="dxa"/>
            <w:vAlign w:val="bottom"/>
            <w:gridSpan w:val="3"/>
          </w:tcPr>
          <w:p>
            <w:pPr>
              <w:spacing w:after="0"/>
              <w:rPr>
                <w:sz w:val="20"/>
                <w:szCs w:val="20"/>
                <w:color w:val="auto"/>
              </w:rPr>
            </w:pPr>
            <w:r>
              <w:rPr>
                <w:rFonts w:ascii="Arial" w:cs="Arial" w:eastAsia="Arial" w:hAnsi="Arial"/>
                <w:sz w:val="16"/>
                <w:szCs w:val="16"/>
                <w:color w:val="262626"/>
              </w:rPr>
              <w:t>Tax Fees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262626"/>
              </w:rPr>
              <w:t>1,994</w:t>
            </w:r>
          </w:p>
        </w:tc>
        <w:tc>
          <w:tcPr>
            <w:tcW w:w="240" w:type="dxa"/>
            <w:vAlign w:val="bottom"/>
          </w:tcPr>
          <w:p>
            <w:pPr>
              <w:spacing w:after="0"/>
              <w:rPr>
                <w:sz w:val="24"/>
                <w:szCs w:val="24"/>
                <w:color w:val="auto"/>
              </w:rPr>
            </w:pPr>
          </w:p>
        </w:tc>
        <w:tc>
          <w:tcPr>
            <w:tcW w:w="580" w:type="dxa"/>
            <w:vAlign w:val="bottom"/>
          </w:tcPr>
          <w:p>
            <w:pPr>
              <w:jc w:val="center"/>
              <w:ind w:left="296"/>
              <w:spacing w:after="0"/>
              <w:rPr>
                <w:sz w:val="20"/>
                <w:szCs w:val="20"/>
                <w:color w:val="auto"/>
              </w:rPr>
            </w:pPr>
            <w:r>
              <w:rPr>
                <w:rFonts w:ascii="Arial" w:cs="Arial" w:eastAsia="Arial" w:hAnsi="Arial"/>
                <w:sz w:val="5"/>
                <w:szCs w:val="5"/>
                <w:color w:val="262626"/>
                <w:w w:val="79"/>
              </w:rPr>
              <w:t> </w:t>
            </w:r>
          </w:p>
        </w:tc>
        <w:tc>
          <w:tcPr>
            <w:tcW w:w="600" w:type="dxa"/>
            <w:vAlign w:val="bottom"/>
          </w:tcPr>
          <w:p>
            <w:pPr>
              <w:jc w:val="right"/>
              <w:spacing w:after="0"/>
              <w:rPr>
                <w:sz w:val="20"/>
                <w:szCs w:val="20"/>
                <w:color w:val="auto"/>
              </w:rPr>
            </w:pPr>
            <w:r>
              <w:rPr>
                <w:rFonts w:ascii="Arial" w:cs="Arial" w:eastAsia="Arial" w:hAnsi="Arial"/>
                <w:sz w:val="16"/>
                <w:szCs w:val="16"/>
                <w:color w:val="262626"/>
                <w:w w:val="94"/>
              </w:rPr>
              <w:t>    2,818</w:t>
            </w:r>
          </w:p>
        </w:tc>
        <w:tc>
          <w:tcPr>
            <w:tcW w:w="140" w:type="dxa"/>
            <w:vAlign w:val="bottom"/>
          </w:tcPr>
          <w:p>
            <w:pPr>
              <w:spacing w:after="0"/>
              <w:rPr>
                <w:sz w:val="24"/>
                <w:szCs w:val="24"/>
                <w:color w:val="auto"/>
              </w:rPr>
            </w:pPr>
          </w:p>
        </w:tc>
      </w:tr>
      <w:tr>
        <w:trPr>
          <w:trHeight w:val="310"/>
        </w:trPr>
        <w:tc>
          <w:tcPr>
            <w:tcW w:w="5940" w:type="dxa"/>
            <w:vAlign w:val="bottom"/>
            <w:gridSpan w:val="2"/>
          </w:tcPr>
          <w:p>
            <w:pPr>
              <w:spacing w:after="0"/>
              <w:rPr>
                <w:sz w:val="20"/>
                <w:szCs w:val="20"/>
                <w:color w:val="auto"/>
              </w:rPr>
            </w:pPr>
            <w:r>
              <w:rPr>
                <w:rFonts w:ascii="Arial" w:cs="Arial" w:eastAsia="Arial" w:hAnsi="Arial"/>
                <w:sz w:val="16"/>
                <w:szCs w:val="16"/>
                <w:color w:val="262626"/>
              </w:rPr>
              <w:t>All Other Fees</w:t>
            </w:r>
          </w:p>
        </w:tc>
        <w:tc>
          <w:tcPr>
            <w:tcW w:w="120" w:type="dxa"/>
            <w:vAlign w:val="bottom"/>
            <w:tcBorders>
              <w:bottom w:val="single" w:sz="8" w:color="262626"/>
            </w:tcBorders>
          </w:tcPr>
          <w:p>
            <w:pPr>
              <w:spacing w:after="0"/>
              <w:rPr>
                <w:sz w:val="24"/>
                <w:szCs w:val="24"/>
                <w:color w:val="auto"/>
              </w:rPr>
            </w:pPr>
          </w:p>
        </w:tc>
        <w:tc>
          <w:tcPr>
            <w:tcW w:w="440" w:type="dxa"/>
            <w:vAlign w:val="bottom"/>
            <w:tcBorders>
              <w:bottom w:val="single" w:sz="8" w:color="262626"/>
            </w:tcBorders>
          </w:tcPr>
          <w:p>
            <w:pPr>
              <w:ind w:left="340"/>
              <w:spacing w:after="0"/>
              <w:rPr>
                <w:sz w:val="20"/>
                <w:szCs w:val="20"/>
                <w:color w:val="auto"/>
              </w:rPr>
            </w:pPr>
            <w:r>
              <w:rPr>
                <w:rFonts w:ascii="Arial" w:cs="Arial" w:eastAsia="Arial" w:hAnsi="Arial"/>
                <w:sz w:val="11"/>
                <w:szCs w:val="11"/>
                <w:color w:val="262626"/>
                <w:w w:val="72"/>
              </w:rPr>
              <w:t> </w:t>
            </w:r>
          </w:p>
        </w:tc>
        <w:tc>
          <w:tcPr>
            <w:tcW w:w="120" w:type="dxa"/>
            <w:vAlign w:val="bottom"/>
            <w:tcBorders>
              <w:bottom w:val="single" w:sz="8" w:color="262626"/>
            </w:tcBorders>
          </w:tcPr>
          <w:p>
            <w:pPr>
              <w:ind w:left="60"/>
              <w:spacing w:after="0"/>
              <w:rPr>
                <w:sz w:val="20"/>
                <w:szCs w:val="20"/>
                <w:color w:val="auto"/>
              </w:rPr>
            </w:pPr>
            <w:r>
              <w:rPr>
                <w:rFonts w:ascii="Arial" w:cs="Arial" w:eastAsia="Arial" w:hAnsi="Arial"/>
                <w:sz w:val="5"/>
                <w:szCs w:val="5"/>
                <w:color w:val="262626"/>
                <w:w w:val="79"/>
              </w:rPr>
              <w:t> </w:t>
            </w:r>
          </w:p>
        </w:tc>
        <w:tc>
          <w:tcPr>
            <w:tcW w:w="520" w:type="dxa"/>
            <w:vAlign w:val="bottom"/>
            <w:tcBorders>
              <w:bottom w:val="single" w:sz="8" w:color="262626"/>
            </w:tcBorders>
          </w:tcPr>
          <w:p>
            <w:pPr>
              <w:jc w:val="right"/>
              <w:spacing w:after="0"/>
              <w:rPr>
                <w:sz w:val="20"/>
                <w:szCs w:val="20"/>
                <w:color w:val="auto"/>
              </w:rPr>
            </w:pPr>
            <w:r>
              <w:rPr>
                <w:rFonts w:ascii="Arial" w:cs="Arial" w:eastAsia="Arial" w:hAnsi="Arial"/>
                <w:sz w:val="16"/>
                <w:szCs w:val="16"/>
                <w:color w:val="262626"/>
                <w:w w:val="96"/>
              </w:rPr>
              <w:t>     10</w:t>
            </w:r>
          </w:p>
        </w:tc>
        <w:tc>
          <w:tcPr>
            <w:tcW w:w="240" w:type="dxa"/>
            <w:vAlign w:val="bottom"/>
          </w:tcPr>
          <w:p>
            <w:pPr>
              <w:spacing w:after="0"/>
              <w:rPr>
                <w:sz w:val="24"/>
                <w:szCs w:val="24"/>
                <w:color w:val="auto"/>
              </w:rPr>
            </w:pPr>
          </w:p>
        </w:tc>
        <w:tc>
          <w:tcPr>
            <w:tcW w:w="580" w:type="dxa"/>
            <w:vAlign w:val="bottom"/>
            <w:tcBorders>
              <w:bottom w:val="single" w:sz="8" w:color="262626"/>
            </w:tcBorders>
          </w:tcPr>
          <w:p>
            <w:pPr>
              <w:spacing w:after="0"/>
              <w:rPr>
                <w:sz w:val="24"/>
                <w:szCs w:val="24"/>
                <w:color w:val="auto"/>
              </w:rPr>
            </w:pPr>
          </w:p>
        </w:tc>
        <w:tc>
          <w:tcPr>
            <w:tcW w:w="600" w:type="dxa"/>
            <w:vAlign w:val="bottom"/>
            <w:tcBorders>
              <w:bottom w:val="single" w:sz="8" w:color="262626"/>
            </w:tcBorders>
          </w:tcPr>
          <w:p>
            <w:pPr>
              <w:jc w:val="right"/>
              <w:spacing w:after="0"/>
              <w:rPr>
                <w:sz w:val="20"/>
                <w:szCs w:val="20"/>
                <w:color w:val="auto"/>
              </w:rPr>
            </w:pPr>
            <w:r>
              <w:rPr>
                <w:rFonts w:ascii="Arial" w:cs="Arial" w:eastAsia="Arial" w:hAnsi="Arial"/>
                <w:sz w:val="16"/>
                <w:szCs w:val="16"/>
                <w:color w:val="262626"/>
                <w:w w:val="89"/>
              </w:rPr>
              <w:t>        30</w:t>
            </w:r>
          </w:p>
        </w:tc>
        <w:tc>
          <w:tcPr>
            <w:tcW w:w="140" w:type="dxa"/>
            <w:vAlign w:val="bottom"/>
          </w:tcPr>
          <w:p>
            <w:pPr>
              <w:spacing w:after="0"/>
              <w:rPr>
                <w:sz w:val="24"/>
                <w:szCs w:val="24"/>
                <w:color w:val="auto"/>
              </w:rPr>
            </w:pPr>
          </w:p>
        </w:tc>
      </w:tr>
      <w:tr>
        <w:trPr>
          <w:trHeight w:val="329"/>
        </w:trPr>
        <w:tc>
          <w:tcPr>
            <w:tcW w:w="6060" w:type="dxa"/>
            <w:vAlign w:val="bottom"/>
            <w:gridSpan w:val="3"/>
          </w:tcPr>
          <w:p>
            <w:pPr>
              <w:ind w:left="320"/>
              <w:spacing w:after="0"/>
              <w:rPr>
                <w:sz w:val="20"/>
                <w:szCs w:val="20"/>
                <w:color w:val="auto"/>
              </w:rPr>
            </w:pPr>
            <w:r>
              <w:rPr>
                <w:rFonts w:ascii="Arial" w:cs="Arial" w:eastAsia="Arial" w:hAnsi="Arial"/>
                <w:sz w:val="16"/>
                <w:szCs w:val="16"/>
                <w:color w:val="262626"/>
              </w:rPr>
              <w:t>Total</w:t>
            </w:r>
          </w:p>
        </w:tc>
        <w:tc>
          <w:tcPr>
            <w:tcW w:w="440" w:type="dxa"/>
            <w:vAlign w:val="bottom"/>
          </w:tcPr>
          <w:p>
            <w:pPr>
              <w:ind w:left="340"/>
              <w:spacing w:after="0"/>
              <w:rPr>
                <w:sz w:val="20"/>
                <w:szCs w:val="20"/>
                <w:color w:val="auto"/>
              </w:rPr>
            </w:pPr>
            <w:r>
              <w:rPr>
                <w:rFonts w:ascii="Arial" w:cs="Arial" w:eastAsia="Arial" w:hAnsi="Arial"/>
                <w:sz w:val="11"/>
                <w:szCs w:val="11"/>
                <w:color w:val="262626"/>
                <w:w w:val="72"/>
              </w:rPr>
              <w:t> </w:t>
            </w:r>
          </w:p>
        </w:tc>
        <w:tc>
          <w:tcPr>
            <w:tcW w:w="640" w:type="dxa"/>
            <w:vAlign w:val="bottom"/>
            <w:gridSpan w:val="2"/>
          </w:tcPr>
          <w:p>
            <w:pPr>
              <w:jc w:val="right"/>
              <w:spacing w:after="0"/>
              <w:rPr>
                <w:sz w:val="20"/>
                <w:szCs w:val="20"/>
                <w:color w:val="auto"/>
              </w:rPr>
            </w:pPr>
            <w:r>
              <w:rPr>
                <w:rFonts w:ascii="Arial" w:cs="Arial" w:eastAsia="Arial" w:hAnsi="Arial"/>
                <w:sz w:val="16"/>
                <w:szCs w:val="16"/>
                <w:color w:val="262626"/>
              </w:rPr>
              <w:t>  20,097</w:t>
            </w:r>
          </w:p>
        </w:tc>
        <w:tc>
          <w:tcPr>
            <w:tcW w:w="240" w:type="dxa"/>
            <w:vAlign w:val="bottom"/>
          </w:tcPr>
          <w:p>
            <w:pPr>
              <w:spacing w:after="0"/>
              <w:rPr>
                <w:sz w:val="24"/>
                <w:szCs w:val="24"/>
                <w:color w:val="auto"/>
              </w:rPr>
            </w:pPr>
          </w:p>
        </w:tc>
        <w:tc>
          <w:tcPr>
            <w:tcW w:w="580" w:type="dxa"/>
            <w:vAlign w:val="bottom"/>
          </w:tcPr>
          <w:p>
            <w:pPr>
              <w:jc w:val="center"/>
              <w:ind w:left="296"/>
              <w:spacing w:after="0"/>
              <w:rPr>
                <w:sz w:val="20"/>
                <w:szCs w:val="20"/>
                <w:color w:val="auto"/>
              </w:rPr>
            </w:pPr>
            <w:r>
              <w:rPr>
                <w:rFonts w:ascii="Arial" w:cs="Arial" w:eastAsia="Arial" w:hAnsi="Arial"/>
                <w:sz w:val="16"/>
                <w:szCs w:val="16"/>
                <w:color w:val="262626"/>
              </w:rPr>
              <w:t xml:space="preserve">    </w:t>
            </w:r>
          </w:p>
        </w:tc>
        <w:tc>
          <w:tcPr>
            <w:tcW w:w="600" w:type="dxa"/>
            <w:vAlign w:val="bottom"/>
          </w:tcPr>
          <w:p>
            <w:pPr>
              <w:jc w:val="right"/>
              <w:spacing w:after="0"/>
              <w:rPr>
                <w:sz w:val="20"/>
                <w:szCs w:val="20"/>
                <w:color w:val="auto"/>
              </w:rPr>
            </w:pPr>
            <w:r>
              <w:rPr>
                <w:rFonts w:ascii="Arial" w:cs="Arial" w:eastAsia="Arial" w:hAnsi="Arial"/>
                <w:sz w:val="16"/>
                <w:szCs w:val="16"/>
                <w:color w:val="262626"/>
              </w:rPr>
              <w:t>42,012</w:t>
            </w:r>
          </w:p>
        </w:tc>
        <w:tc>
          <w:tcPr>
            <w:tcW w:w="140" w:type="dxa"/>
            <w:vAlign w:val="bottom"/>
          </w:tcPr>
          <w:p>
            <w:pPr>
              <w:spacing w:after="0"/>
              <w:rPr>
                <w:sz w:val="24"/>
                <w:szCs w:val="24"/>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62626"/>
              <w:bottom w:val="single" w:sz="8" w:color="262626"/>
            </w:tcBorders>
          </w:tcPr>
          <w:p>
            <w:pPr>
              <w:spacing w:after="0" w:line="20" w:lineRule="exact"/>
              <w:rPr>
                <w:sz w:val="1"/>
                <w:szCs w:val="1"/>
                <w:color w:val="auto"/>
              </w:rPr>
            </w:pPr>
          </w:p>
        </w:tc>
        <w:tc>
          <w:tcPr>
            <w:tcW w:w="440" w:type="dxa"/>
            <w:vAlign w:val="bottom"/>
            <w:tcBorders>
              <w:top w:val="single" w:sz="8" w:color="262626"/>
              <w:bottom w:val="single" w:sz="8" w:color="262626"/>
            </w:tcBorders>
          </w:tcPr>
          <w:p>
            <w:pPr>
              <w:spacing w:after="0" w:line="20" w:lineRule="exact"/>
              <w:rPr>
                <w:sz w:val="1"/>
                <w:szCs w:val="1"/>
                <w:color w:val="auto"/>
              </w:rPr>
            </w:pPr>
          </w:p>
        </w:tc>
        <w:tc>
          <w:tcPr>
            <w:tcW w:w="120" w:type="dxa"/>
            <w:vAlign w:val="bottom"/>
            <w:tcBorders>
              <w:top w:val="single" w:sz="8" w:color="262626"/>
              <w:bottom w:val="single" w:sz="8" w:color="262626"/>
            </w:tcBorders>
          </w:tcPr>
          <w:p>
            <w:pPr>
              <w:spacing w:after="0" w:line="20" w:lineRule="exact"/>
              <w:rPr>
                <w:sz w:val="1"/>
                <w:szCs w:val="1"/>
                <w:color w:val="auto"/>
              </w:rPr>
            </w:pPr>
          </w:p>
        </w:tc>
        <w:tc>
          <w:tcPr>
            <w:tcW w:w="520" w:type="dxa"/>
            <w:vAlign w:val="bottom"/>
            <w:tcBorders>
              <w:top w:val="single" w:sz="8" w:color="262626"/>
              <w:bottom w:val="single" w:sz="8" w:color="26262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262626"/>
              <w:bottom w:val="single" w:sz="8" w:color="262626"/>
            </w:tcBorders>
          </w:tcPr>
          <w:p>
            <w:pPr>
              <w:spacing w:after="0" w:line="20" w:lineRule="exact"/>
              <w:rPr>
                <w:sz w:val="1"/>
                <w:szCs w:val="1"/>
                <w:color w:val="auto"/>
              </w:rPr>
            </w:pPr>
          </w:p>
        </w:tc>
        <w:tc>
          <w:tcPr>
            <w:tcW w:w="600" w:type="dxa"/>
            <w:vAlign w:val="bottom"/>
            <w:tcBorders>
              <w:top w:val="single" w:sz="8" w:color="262626"/>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i w:val="1"/>
          <w:iCs w:val="1"/>
          <w:color w:val="262626"/>
        </w:rPr>
        <w:t xml:space="preserve">Audit Fees </w:t>
      </w:r>
      <w:r>
        <w:rPr>
          <w:rFonts w:ascii="Arial" w:cs="Arial" w:eastAsia="Arial" w:hAnsi="Arial"/>
          <w:sz w:val="16"/>
          <w:szCs w:val="16"/>
          <w:color w:val="262626"/>
        </w:rPr>
        <w:t>consist of fees billed for professional services provided in connection with the integrated audit of our annual</w:t>
      </w:r>
      <w:r>
        <w:rPr>
          <w:rFonts w:ascii="Arial" w:cs="Arial" w:eastAsia="Arial" w:hAnsi="Arial"/>
          <w:sz w:val="16"/>
          <w:szCs w:val="16"/>
          <w:i w:val="1"/>
          <w:iCs w:val="1"/>
          <w:color w:val="262626"/>
        </w:rPr>
        <w:t xml:space="preserve"> </w:t>
      </w:r>
      <w:r>
        <w:rPr>
          <w:rFonts w:ascii="Arial" w:cs="Arial" w:eastAsia="Arial" w:hAnsi="Arial"/>
          <w:sz w:val="16"/>
          <w:szCs w:val="16"/>
          <w:color w:val="262626"/>
        </w:rPr>
        <w:t>consolidated financial statements, which includes an audit of internal controls over financial reporting, the review of our quarterly consolidated financial statements, and audit services that are normally provided by the independent registered public accounting firm in connection with statutory and regulatory filings or engagements for those fiscal years, such as statutory audits, comfort letters and consents.</w:t>
      </w:r>
    </w:p>
    <w:p>
      <w:pPr>
        <w:spacing w:after="0" w:line="119" w:lineRule="exact"/>
        <w:rPr>
          <w:sz w:val="20"/>
          <w:szCs w:val="20"/>
          <w:color w:val="auto"/>
        </w:rPr>
      </w:pPr>
    </w:p>
    <w:p>
      <w:pPr>
        <w:jc w:val="both"/>
        <w:ind w:left="1280" w:right="159"/>
        <w:spacing w:after="0" w:line="343" w:lineRule="auto"/>
        <w:rPr>
          <w:sz w:val="20"/>
          <w:szCs w:val="20"/>
          <w:color w:val="auto"/>
        </w:rPr>
      </w:pPr>
      <w:r>
        <w:rPr>
          <w:rFonts w:ascii="Arial" w:cs="Arial" w:eastAsia="Arial" w:hAnsi="Arial"/>
          <w:sz w:val="16"/>
          <w:szCs w:val="16"/>
          <w:i w:val="1"/>
          <w:iCs w:val="1"/>
          <w:color w:val="262626"/>
        </w:rPr>
        <w:t xml:space="preserve">Audit-Related Fees </w:t>
      </w:r>
      <w:r>
        <w:rPr>
          <w:rFonts w:ascii="Arial" w:cs="Arial" w:eastAsia="Arial" w:hAnsi="Arial"/>
          <w:sz w:val="16"/>
          <w:szCs w:val="16"/>
          <w:color w:val="262626"/>
        </w:rPr>
        <w:t>consist of fees billed for assurance and related services by PwC that are reasonably related to the</w:t>
      </w:r>
      <w:r>
        <w:rPr>
          <w:rFonts w:ascii="Arial" w:cs="Arial" w:eastAsia="Arial" w:hAnsi="Arial"/>
          <w:sz w:val="16"/>
          <w:szCs w:val="16"/>
          <w:i w:val="1"/>
          <w:iCs w:val="1"/>
          <w:color w:val="262626"/>
        </w:rPr>
        <w:t xml:space="preserve"> </w:t>
      </w:r>
      <w:r>
        <w:rPr>
          <w:rFonts w:ascii="Arial" w:cs="Arial" w:eastAsia="Arial" w:hAnsi="Arial"/>
          <w:sz w:val="16"/>
          <w:szCs w:val="16"/>
          <w:color w:val="262626"/>
        </w:rPr>
        <w:t>performance of the audit or review of our consolidated financial statements and not included in Audit Fees. In fiscal 2024, these fees included services related to the VMware acquisition.</w:t>
      </w:r>
    </w:p>
    <w:p>
      <w:pPr>
        <w:spacing w:after="0" w:line="97" w:lineRule="exact"/>
        <w:rPr>
          <w:sz w:val="20"/>
          <w:szCs w:val="20"/>
          <w:color w:val="auto"/>
        </w:rPr>
      </w:pPr>
    </w:p>
    <w:p>
      <w:pPr>
        <w:jc w:val="both"/>
        <w:ind w:left="1280" w:right="159"/>
        <w:spacing w:after="0" w:line="352" w:lineRule="auto"/>
        <w:rPr>
          <w:sz w:val="20"/>
          <w:szCs w:val="20"/>
          <w:color w:val="auto"/>
        </w:rPr>
      </w:pPr>
      <w:r>
        <w:rPr>
          <w:rFonts w:ascii="Arial" w:cs="Arial" w:eastAsia="Arial" w:hAnsi="Arial"/>
          <w:sz w:val="16"/>
          <w:szCs w:val="16"/>
          <w:i w:val="1"/>
          <w:iCs w:val="1"/>
          <w:color w:val="262626"/>
        </w:rPr>
        <w:t xml:space="preserve">Tax Fees </w:t>
      </w:r>
      <w:r>
        <w:rPr>
          <w:rFonts w:ascii="Arial" w:cs="Arial" w:eastAsia="Arial" w:hAnsi="Arial"/>
          <w:sz w:val="16"/>
          <w:szCs w:val="16"/>
          <w:color w:val="262626"/>
        </w:rPr>
        <w:t>consist of fees billed for professional services for tax compliance and tax consulting. Corporate tax services</w:t>
      </w:r>
      <w:r>
        <w:rPr>
          <w:rFonts w:ascii="Arial" w:cs="Arial" w:eastAsia="Arial" w:hAnsi="Arial"/>
          <w:sz w:val="16"/>
          <w:szCs w:val="16"/>
          <w:i w:val="1"/>
          <w:iCs w:val="1"/>
          <w:color w:val="262626"/>
        </w:rPr>
        <w:t xml:space="preserve"> </w:t>
      </w:r>
      <w:r>
        <w:rPr>
          <w:rFonts w:ascii="Arial" w:cs="Arial" w:eastAsia="Arial" w:hAnsi="Arial"/>
          <w:sz w:val="16"/>
          <w:szCs w:val="16"/>
          <w:color w:val="262626"/>
        </w:rPr>
        <w:t>encompass a variety of permissible services, including assistance with transfer pricing documentation, local tax compliance matters, tax audits and tax credit documentation.</w:t>
      </w:r>
    </w:p>
    <w:p>
      <w:pPr>
        <w:spacing w:after="0" w:line="90"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i w:val="1"/>
          <w:iCs w:val="1"/>
          <w:color w:val="262626"/>
        </w:rPr>
        <w:t xml:space="preserve">All Other Fees </w:t>
      </w:r>
      <w:r>
        <w:rPr>
          <w:rFonts w:ascii="Arial" w:cs="Arial" w:eastAsia="Arial" w:hAnsi="Arial"/>
          <w:sz w:val="16"/>
          <w:szCs w:val="16"/>
          <w:color w:val="262626"/>
        </w:rPr>
        <w:t>consist of fees for professional services rendered by PwC for permissible non-audit services, which include</w:t>
      </w:r>
      <w:r>
        <w:rPr>
          <w:rFonts w:ascii="Arial" w:cs="Arial" w:eastAsia="Arial" w:hAnsi="Arial"/>
          <w:sz w:val="16"/>
          <w:szCs w:val="16"/>
          <w:i w:val="1"/>
          <w:iCs w:val="1"/>
          <w:color w:val="262626"/>
        </w:rPr>
        <w:t xml:space="preserve"> </w:t>
      </w:r>
      <w:r>
        <w:rPr>
          <w:rFonts w:ascii="Arial" w:cs="Arial" w:eastAsia="Arial" w:hAnsi="Arial"/>
          <w:sz w:val="16"/>
          <w:szCs w:val="16"/>
          <w:color w:val="262626"/>
        </w:rPr>
        <w:t>services for various licenses related to general and specialized accounting research software.</w:t>
      </w:r>
    </w:p>
    <w:p>
      <w:pPr>
        <w:spacing w:after="0" w:line="75"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In considering the nature of the services provided by PwC, the Audit Committee determined that the provision of these services is compatible with maintaining the independence of PwC. The Audit Committee discussed these services with PwC and our management to determine that they are permitted under the rules and regulations concerning independent registered public accounting firms’ independence promulgated by the SEC, as well as by the American Institute of Certified Public Accountants.</w:t>
      </w:r>
    </w:p>
    <w:p>
      <w:pPr>
        <w:spacing w:after="0" w:line="119"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Other than as stated above, no fees were billed to Broadcom by PwC for fiscal 2025 and 2024.</w:t>
      </w:r>
    </w:p>
    <w:p>
      <w:pPr>
        <w:sectPr>
          <w:pgSz w:w="11900" w:h="16838" w:orient="portrait"/>
          <w:cols w:equalWidth="0" w:num="1">
            <w:col w:w="10139"/>
          </w:cols>
          <w:pgMar w:left="320" w:top="479" w:right="1440" w:bottom="1440" w:gutter="0" w:footer="0" w:header="0"/>
        </w:sectPr>
      </w:pPr>
    </w:p>
    <w:p>
      <w:pPr>
        <w:spacing w:after="0" w:line="175"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AUDIT COMMITTEE PRE-APPROVAL OF SERVICES POLICY</w:t>
      </w:r>
    </w:p>
    <w:p>
      <w:pPr>
        <w:spacing w:after="0" w:line="200" w:lineRule="exact"/>
        <w:rPr>
          <w:sz w:val="20"/>
          <w:szCs w:val="20"/>
          <w:color w:val="auto"/>
        </w:rPr>
      </w:pPr>
    </w:p>
    <w:p>
      <w:pPr>
        <w:jc w:val="both"/>
        <w:ind w:left="1280" w:right="179"/>
        <w:spacing w:after="0" w:line="331" w:lineRule="auto"/>
        <w:rPr>
          <w:sz w:val="20"/>
          <w:szCs w:val="20"/>
          <w:color w:val="auto"/>
        </w:rPr>
      </w:pPr>
      <w:r>
        <w:rPr>
          <w:rFonts w:ascii="Arial" w:cs="Arial" w:eastAsia="Arial" w:hAnsi="Arial"/>
          <w:sz w:val="16"/>
          <w:szCs w:val="16"/>
          <w:color w:val="262626"/>
        </w:rPr>
        <w:t>All engagements with our independent registered public accounting firm, regardless of amount, must be authorized in advance by the Audit Committee. The Audit Committee has delegated its pre-approval authority to the Audit Committee Chair, provided that any matters approved in such manner are presented to the Audit Committee at its next regularly scheduled meeting. Pursuant to the charter of the Audit Committee, committee approval of non-audit services (other than review and attest services) is not required if such services fall within available exceptions established by the SEC. However, to date, the Audit Committee’s policy has been to review for pre-approval all services provided by our independent registered public accounting firm. The independent registered public accounting firm and our management are required to periodically report to the Audit Committee regarding the extent of services provided by the independent registered public accounting firm in accordance with the Audit Committee’s pre-approval and the fees for the services performed to date.</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During fiscal 2025 and 2024, all services provided to Broadcom by PwC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1620" w:right="780"/>
        <w:spacing w:after="0" w:line="255" w:lineRule="auto"/>
        <w:rPr>
          <w:sz w:val="20"/>
          <w:szCs w:val="20"/>
          <w:color w:val="auto"/>
        </w:rPr>
      </w:pPr>
      <w:r>
        <w:rPr>
          <w:rFonts w:ascii="Arial" w:cs="Arial" w:eastAsia="Arial" w:hAnsi="Arial"/>
          <w:sz w:val="18"/>
          <w:szCs w:val="18"/>
          <w:b w:val="1"/>
          <w:bCs w:val="1"/>
          <w:color w:val="CF0A2C"/>
        </w:rPr>
        <w:t xml:space="preserve">Our Board recommends a vote </w:t>
      </w:r>
      <w:r>
        <w:rPr>
          <w:rFonts w:ascii="Arial" w:cs="Arial" w:eastAsia="Arial" w:hAnsi="Arial"/>
          <w:sz w:val="18"/>
          <w:szCs w:val="18"/>
          <w:b w:val="1"/>
          <w:bCs w:val="1"/>
          <w:u w:val="single" w:color="auto"/>
          <w:color w:val="CF0A2C"/>
        </w:rPr>
        <w:t>FOR</w:t>
      </w:r>
      <w:r>
        <w:rPr>
          <w:rFonts w:ascii="Arial" w:cs="Arial" w:eastAsia="Arial" w:hAnsi="Arial"/>
          <w:sz w:val="18"/>
          <w:szCs w:val="18"/>
          <w:b w:val="1"/>
          <w:bCs w:val="1"/>
          <w:color w:val="CF0A2C"/>
        </w:rPr>
        <w:t xml:space="preserve"> the ratification of appointment of PricewaterhouseCoopers LLP as the independent registered public accounting firm of Broadcom for fiscal 2026.</w:t>
      </w:r>
    </w:p>
    <w:p>
      <w:pPr>
        <w:spacing w:after="0" w:line="93"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850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3900"/>
        <w:spacing w:after="0"/>
        <w:rPr>
          <w:sz w:val="20"/>
          <w:szCs w:val="20"/>
          <w:color w:val="auto"/>
        </w:rPr>
      </w:pPr>
      <w:r>
        <w:rPr>
          <w:rFonts w:ascii="Arial" w:cs="Arial" w:eastAsia="Arial" w:hAnsi="Arial"/>
          <w:sz w:val="25"/>
          <w:szCs w:val="25"/>
          <w:color w:val="CF0A2C"/>
        </w:rPr>
        <w:t>AUDIT COMMITTEE REPORT</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The Audit Committee is responsible for assisting the Board with its oversight responsibilities regarding the following:</w:t>
      </w:r>
    </w:p>
    <w:p>
      <w:pPr>
        <w:spacing w:after="0" w:line="178" w:lineRule="exact"/>
        <w:rPr>
          <w:sz w:val="20"/>
          <w:szCs w:val="20"/>
          <w:color w:val="auto"/>
        </w:rPr>
      </w:pPr>
    </w:p>
    <w:p>
      <w:pPr>
        <w:ind w:left="1860" w:hanging="249"/>
        <w:spacing w:after="0"/>
        <w:tabs>
          <w:tab w:leader="none" w:pos="1860" w:val="left"/>
        </w:tabs>
        <w:numPr>
          <w:ilvl w:val="0"/>
          <w:numId w:val="16"/>
        </w:numPr>
        <w:rPr>
          <w:rFonts w:ascii="Arial" w:cs="Arial" w:eastAsia="Arial" w:hAnsi="Arial"/>
          <w:sz w:val="16"/>
          <w:szCs w:val="16"/>
          <w:color w:val="262626"/>
        </w:rPr>
      </w:pPr>
      <w:r>
        <w:rPr>
          <w:rFonts w:ascii="Arial" w:cs="Arial" w:eastAsia="Arial" w:hAnsi="Arial"/>
          <w:sz w:val="16"/>
          <w:szCs w:val="16"/>
          <w:color w:val="262626"/>
        </w:rPr>
        <w:t>the quality and integrity of Broadcom’s financial statements and internal controls;</w:t>
      </w:r>
    </w:p>
    <w:p>
      <w:pPr>
        <w:spacing w:after="0" w:line="191" w:lineRule="exact"/>
        <w:rPr>
          <w:rFonts w:ascii="Arial" w:cs="Arial" w:eastAsia="Arial" w:hAnsi="Arial"/>
          <w:sz w:val="16"/>
          <w:szCs w:val="16"/>
          <w:color w:val="262626"/>
        </w:rPr>
      </w:pPr>
    </w:p>
    <w:p>
      <w:pPr>
        <w:ind w:left="1860" w:right="159" w:hanging="249"/>
        <w:spacing w:after="0" w:line="371" w:lineRule="auto"/>
        <w:tabs>
          <w:tab w:leader="none" w:pos="1860" w:val="left"/>
        </w:tabs>
        <w:numPr>
          <w:ilvl w:val="0"/>
          <w:numId w:val="16"/>
        </w:numPr>
        <w:rPr>
          <w:rFonts w:ascii="Arial" w:cs="Arial" w:eastAsia="Arial" w:hAnsi="Arial"/>
          <w:sz w:val="16"/>
          <w:szCs w:val="16"/>
          <w:color w:val="262626"/>
        </w:rPr>
      </w:pPr>
      <w:r>
        <w:rPr>
          <w:rFonts w:ascii="Arial" w:cs="Arial" w:eastAsia="Arial" w:hAnsi="Arial"/>
          <w:sz w:val="16"/>
          <w:szCs w:val="16"/>
          <w:color w:val="262626"/>
        </w:rPr>
        <w:t>the appointment, compensation, retention, qualifications and independence of Broadcom’s independent registered public accounting firm;</w:t>
      </w:r>
    </w:p>
    <w:p>
      <w:pPr>
        <w:spacing w:after="0" w:line="48" w:lineRule="exact"/>
        <w:rPr>
          <w:rFonts w:ascii="Arial" w:cs="Arial" w:eastAsia="Arial" w:hAnsi="Arial"/>
          <w:sz w:val="16"/>
          <w:szCs w:val="16"/>
          <w:color w:val="262626"/>
        </w:rPr>
      </w:pPr>
    </w:p>
    <w:p>
      <w:pPr>
        <w:ind w:left="1860" w:hanging="249"/>
        <w:spacing w:after="0"/>
        <w:tabs>
          <w:tab w:leader="none" w:pos="1860" w:val="left"/>
        </w:tabs>
        <w:numPr>
          <w:ilvl w:val="0"/>
          <w:numId w:val="16"/>
        </w:numPr>
        <w:rPr>
          <w:rFonts w:ascii="Arial" w:cs="Arial" w:eastAsia="Arial" w:hAnsi="Arial"/>
          <w:sz w:val="16"/>
          <w:szCs w:val="16"/>
          <w:color w:val="262626"/>
        </w:rPr>
      </w:pPr>
      <w:r>
        <w:rPr>
          <w:rFonts w:ascii="Arial" w:cs="Arial" w:eastAsia="Arial" w:hAnsi="Arial"/>
          <w:sz w:val="16"/>
          <w:szCs w:val="16"/>
          <w:color w:val="262626"/>
        </w:rPr>
        <w:t>the performance of Broadcom’s internal audit function and independent registered public accounting firm;</w:t>
      </w:r>
    </w:p>
    <w:p>
      <w:pPr>
        <w:spacing w:after="0" w:line="191" w:lineRule="exact"/>
        <w:rPr>
          <w:rFonts w:ascii="Arial" w:cs="Arial" w:eastAsia="Arial" w:hAnsi="Arial"/>
          <w:sz w:val="16"/>
          <w:szCs w:val="16"/>
          <w:color w:val="262626"/>
        </w:rPr>
      </w:pPr>
    </w:p>
    <w:p>
      <w:pPr>
        <w:ind w:left="1860" w:hanging="249"/>
        <w:spacing w:after="0"/>
        <w:tabs>
          <w:tab w:leader="none" w:pos="1860" w:val="left"/>
        </w:tabs>
        <w:numPr>
          <w:ilvl w:val="0"/>
          <w:numId w:val="16"/>
        </w:numPr>
        <w:rPr>
          <w:rFonts w:ascii="Arial" w:cs="Arial" w:eastAsia="Arial" w:hAnsi="Arial"/>
          <w:sz w:val="16"/>
          <w:szCs w:val="16"/>
          <w:color w:val="262626"/>
        </w:rPr>
      </w:pPr>
      <w:r>
        <w:rPr>
          <w:rFonts w:ascii="Arial" w:cs="Arial" w:eastAsia="Arial" w:hAnsi="Arial"/>
          <w:sz w:val="16"/>
          <w:szCs w:val="16"/>
          <w:color w:val="262626"/>
        </w:rPr>
        <w:t>Broadcom’s compliance with legal and regulatory requirements; and</w:t>
      </w:r>
    </w:p>
    <w:p>
      <w:pPr>
        <w:spacing w:after="0" w:line="191" w:lineRule="exact"/>
        <w:rPr>
          <w:rFonts w:ascii="Arial" w:cs="Arial" w:eastAsia="Arial" w:hAnsi="Arial"/>
          <w:sz w:val="16"/>
          <w:szCs w:val="16"/>
          <w:color w:val="262626"/>
        </w:rPr>
      </w:pPr>
    </w:p>
    <w:p>
      <w:pPr>
        <w:ind w:left="1860" w:hanging="249"/>
        <w:spacing w:after="0"/>
        <w:tabs>
          <w:tab w:leader="none" w:pos="1860" w:val="left"/>
        </w:tabs>
        <w:numPr>
          <w:ilvl w:val="0"/>
          <w:numId w:val="16"/>
        </w:numPr>
        <w:rPr>
          <w:rFonts w:ascii="Arial" w:cs="Arial" w:eastAsia="Arial" w:hAnsi="Arial"/>
          <w:sz w:val="16"/>
          <w:szCs w:val="16"/>
          <w:color w:val="262626"/>
        </w:rPr>
      </w:pPr>
      <w:r>
        <w:rPr>
          <w:rFonts w:ascii="Arial" w:cs="Arial" w:eastAsia="Arial" w:hAnsi="Arial"/>
          <w:sz w:val="16"/>
          <w:szCs w:val="16"/>
          <w:color w:val="262626"/>
        </w:rPr>
        <w:t>related party transactions.</w:t>
      </w: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Fiscal 2025 Financial Statements</w:t>
      </w:r>
    </w:p>
    <w:p>
      <w:pPr>
        <w:spacing w:after="0" w:line="215"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In fulfilling its oversight responsibilities, the Audit Committee reviewed and discussed Broadcom’s financial statements for fiscal 2025 with management and PwC. In addition, the Audit Committee discussed with PwC, with and without management present, Broadcom’s internal controls over financial reporting and the overall quality of Broadcom’s financial reporting. The Audit Committee also discussed with PwC the matters required to be discussed by the applicable requirements of the Public Company Accounting Oversight Board (“PCAOB”) and the SEC.</w:t>
      </w:r>
    </w:p>
    <w:p>
      <w:pPr>
        <w:spacing w:after="0" w:line="106" w:lineRule="exact"/>
        <w:rPr>
          <w:sz w:val="20"/>
          <w:szCs w:val="20"/>
          <w:color w:val="auto"/>
        </w:rPr>
      </w:pPr>
    </w:p>
    <w:p>
      <w:pPr>
        <w:jc w:val="both"/>
        <w:ind w:left="1280" w:right="179"/>
        <w:spacing w:after="0" w:line="352" w:lineRule="auto"/>
        <w:rPr>
          <w:sz w:val="20"/>
          <w:szCs w:val="20"/>
          <w:color w:val="auto"/>
        </w:rPr>
      </w:pPr>
      <w:r>
        <w:rPr>
          <w:rFonts w:ascii="Arial" w:cs="Arial" w:eastAsia="Arial" w:hAnsi="Arial"/>
          <w:sz w:val="16"/>
          <w:szCs w:val="16"/>
          <w:color w:val="262626"/>
        </w:rPr>
        <w:t>Based on the Audit Committee’s review and discussions noted herein, the Audit Committee recommended to the Board, and the Board approved, that the audited financial statements for fiscal 2025 be included in the 2025 Annual Report for filing with the SEC.</w:t>
      </w:r>
    </w:p>
    <w:p>
      <w:pPr>
        <w:spacing w:after="0" w:line="14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Independence and Pre-Approval Policy</w:t>
      </w:r>
    </w:p>
    <w:p>
      <w:pPr>
        <w:spacing w:after="0" w:line="215"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The Audit Committee also received a written report from PwC required by the PCAOB regarding PwC’s communications with the Audit Committee concerning independence, and has discussed with PwC its independence from Broadcom.</w:t>
      </w:r>
    </w:p>
    <w:p>
      <w:pPr>
        <w:spacing w:after="0" w:line="103"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The Audit Committee’s policy is to review for pre-approval all audit and permissible non-audit services provided by Broadcom’s independent registered public accounting firm. The Audit Committee reviewed and pre-approved all audit and non-audit services performed by PwC during fiscal 2025.</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Independent Auditor Tenure and Rotation</w:t>
      </w:r>
    </w:p>
    <w:p>
      <w:pPr>
        <w:spacing w:after="0" w:line="202"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As part of the engagement process, the Audit Committee considers whether to rotate the independent registered public accounting firm. PwC has been Broadcom’s independent registered public accounting firm since 2006. The Audit Committee believes there are significant benefits to having PwC as Broadcom’s independent registered public accounting firm. These include:</w:t>
      </w:r>
    </w:p>
    <w:p>
      <w:pPr>
        <w:spacing w:after="0" w:line="88" w:lineRule="exact"/>
        <w:rPr>
          <w:sz w:val="20"/>
          <w:szCs w:val="20"/>
          <w:color w:val="auto"/>
        </w:rPr>
      </w:pPr>
    </w:p>
    <w:p>
      <w:pPr>
        <w:ind w:left="1860" w:right="179" w:hanging="249"/>
        <w:spacing w:after="0" w:line="353" w:lineRule="auto"/>
        <w:tabs>
          <w:tab w:leader="none" w:pos="1860" w:val="left"/>
        </w:tabs>
        <w:numPr>
          <w:ilvl w:val="0"/>
          <w:numId w:val="17"/>
        </w:numPr>
        <w:rPr>
          <w:rFonts w:ascii="Arial" w:cs="Arial" w:eastAsia="Arial" w:hAnsi="Arial"/>
          <w:sz w:val="16"/>
          <w:szCs w:val="16"/>
          <w:color w:val="262626"/>
        </w:rPr>
      </w:pPr>
      <w:r>
        <w:rPr>
          <w:rFonts w:ascii="Arial" w:cs="Arial" w:eastAsia="Arial" w:hAnsi="Arial"/>
          <w:sz w:val="16"/>
          <w:szCs w:val="16"/>
          <w:color w:val="262626"/>
        </w:rPr>
        <w:t>Higher quality audit work due to PwC’s institutional knowledge of and familiarity with Broadcom’s business and operations, accounting policies and financial systems and internal control framework.</w:t>
      </w:r>
    </w:p>
    <w:p>
      <w:pPr>
        <w:spacing w:after="0" w:line="76" w:lineRule="exact"/>
        <w:rPr>
          <w:rFonts w:ascii="Arial" w:cs="Arial" w:eastAsia="Arial" w:hAnsi="Arial"/>
          <w:sz w:val="16"/>
          <w:szCs w:val="16"/>
          <w:color w:val="262626"/>
        </w:rPr>
      </w:pPr>
    </w:p>
    <w:p>
      <w:pPr>
        <w:ind w:left="1860" w:right="179" w:hanging="249"/>
        <w:spacing w:after="0" w:line="353" w:lineRule="auto"/>
        <w:tabs>
          <w:tab w:leader="none" w:pos="1860" w:val="left"/>
        </w:tabs>
        <w:numPr>
          <w:ilvl w:val="0"/>
          <w:numId w:val="17"/>
        </w:numPr>
        <w:rPr>
          <w:rFonts w:ascii="Arial" w:cs="Arial" w:eastAsia="Arial" w:hAnsi="Arial"/>
          <w:sz w:val="16"/>
          <w:szCs w:val="16"/>
          <w:color w:val="262626"/>
        </w:rPr>
      </w:pPr>
      <w:r>
        <w:rPr>
          <w:rFonts w:ascii="Arial" w:cs="Arial" w:eastAsia="Arial" w:hAnsi="Arial"/>
          <w:sz w:val="16"/>
          <w:szCs w:val="16"/>
          <w:color w:val="262626"/>
        </w:rPr>
        <w:t>Operational efficiencies and a resulting lower fee structure because of PwC’s history and familiarity with Broadcom’s business.</w:t>
      </w:r>
    </w:p>
    <w:p>
      <w:pPr>
        <w:spacing w:after="0" w:line="90"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The Audit Committee also oversees the process for the selection of the lead audit engagement partner every five years. At the Audit Committee’s instruction, PwC selects candidates to be considered for this role, who are then interviewed by Broadcom’s senior management and the Audit Committee. The Audit Committee then considers and votes on the selection.</w:t>
      </w:r>
    </w:p>
    <w:p>
      <w:pPr>
        <w:spacing w:after="0" w:line="115"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The Audit Committee and the Board approved the appointment of PwC as Broadcom’s independent registered public accounting firm for the fiscal year ending November 1, 2026.</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AUDIT COMMITTEE</w:t>
      </w:r>
    </w:p>
    <w:p>
      <w:pPr>
        <w:spacing w:after="0" w:line="205"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Gayla J. Delly, Chair</w:t>
      </w:r>
    </w:p>
    <w:p>
      <w:pPr>
        <w:spacing w:after="0" w:line="58"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Justine F. Page</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Harry L. You</w:t>
      </w:r>
    </w:p>
    <w:p>
      <w:pPr>
        <w:sectPr>
          <w:pgSz w:w="11900" w:h="16838" w:orient="portrait"/>
          <w:cols w:equalWidth="0" w:num="1">
            <w:col w:w="10139"/>
          </w:cols>
          <w:pgMar w:left="320" w:top="480" w:right="1440" w:bottom="1440" w:gutter="0" w:footer="0" w:header="0"/>
        </w:sectPr>
      </w:pPr>
    </w:p>
    <w:p>
      <w:pPr>
        <w:spacing w:after="0" w:line="189"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CF0A2C"/>
        </w:rPr>
        <w:t>PROPOSAL 3:</w:t>
      </w:r>
    </w:p>
    <w:p>
      <w:pPr>
        <w:spacing w:after="0" w:line="115"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CF0A2C"/>
        </w:rPr>
        <w:t>ADVISORY VOTE TO APPROVE NAMED EXECUTIVE OFFICER</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25"/>
          <w:szCs w:val="25"/>
          <w:color w:val="CF0A2C"/>
        </w:rPr>
        <w:t>COMPENSATION</w:t>
      </w:r>
    </w:p>
    <w:p>
      <w:pPr>
        <w:spacing w:after="0" w:line="234"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In accordance with the requirements of Section 14A of the Exchange Act, we are asking stockholders to approve, on an advisory basis, the compensation of our NEOs as described in “</w:t>
      </w:r>
      <w:r>
        <w:rPr>
          <w:rFonts w:ascii="Arial" w:cs="Arial" w:eastAsia="Arial" w:hAnsi="Arial"/>
          <w:sz w:val="16"/>
          <w:szCs w:val="16"/>
          <w:i w:val="1"/>
          <w:iCs w:val="1"/>
          <w:color w:val="262626"/>
        </w:rPr>
        <w:t>Compensation Discussion and Analysis</w:t>
      </w:r>
      <w:r>
        <w:rPr>
          <w:rFonts w:ascii="Arial" w:cs="Arial" w:eastAsia="Arial" w:hAnsi="Arial"/>
          <w:sz w:val="16"/>
          <w:szCs w:val="16"/>
          <w:color w:val="262626"/>
        </w:rPr>
        <w:t>” and in the compensation tables and accompanying narrative disclosure under “</w:t>
      </w:r>
      <w:r>
        <w:rPr>
          <w:rFonts w:ascii="Arial" w:cs="Arial" w:eastAsia="Arial" w:hAnsi="Arial"/>
          <w:sz w:val="16"/>
          <w:szCs w:val="16"/>
          <w:i w:val="1"/>
          <w:iCs w:val="1"/>
          <w:color w:val="262626"/>
        </w:rPr>
        <w:t>Executive Compensation</w:t>
      </w:r>
      <w:r>
        <w:rPr>
          <w:rFonts w:ascii="Arial" w:cs="Arial" w:eastAsia="Arial" w:hAnsi="Arial"/>
          <w:sz w:val="16"/>
          <w:szCs w:val="16"/>
          <w:color w:val="262626"/>
        </w:rPr>
        <w:t>” in this Proxy Statement. We currently hold the say-on-pay vote annually and expect the next say-on-pay vote will occur at the 2027 annual meeting of stockholders.</w:t>
      </w:r>
    </w:p>
    <w:p>
      <w:pPr>
        <w:spacing w:after="0" w:line="106" w:lineRule="exact"/>
        <w:rPr>
          <w:sz w:val="20"/>
          <w:szCs w:val="20"/>
          <w:color w:val="auto"/>
        </w:rPr>
      </w:pPr>
    </w:p>
    <w:p>
      <w:pPr>
        <w:jc w:val="both"/>
        <w:ind w:left="1280" w:right="179"/>
        <w:spacing w:after="0" w:line="352" w:lineRule="auto"/>
        <w:rPr>
          <w:sz w:val="20"/>
          <w:szCs w:val="20"/>
          <w:color w:val="auto"/>
        </w:rPr>
      </w:pPr>
      <w:r>
        <w:rPr>
          <w:rFonts w:ascii="Arial" w:cs="Arial" w:eastAsia="Arial" w:hAnsi="Arial"/>
          <w:sz w:val="16"/>
          <w:szCs w:val="16"/>
          <w:color w:val="262626"/>
        </w:rPr>
        <w:t>Our executive compensation program is designed to (i) reward our executive officers for growing and sustaining stockholder value consistent with our long-term strategic plan, (ii) align the interests of our executive officers with the interests of our stockholders and (iii) attract, motivate and retain critical talent in a highly competitive talent market.</w:t>
      </w:r>
    </w:p>
    <w:p>
      <w:pPr>
        <w:spacing w:after="0" w:line="90"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In line with our executive compensation program philosophy, design and objectives, our NEOs’ short-term and long-term incentives are designed to be difficult to attain and require substantial effort to achieve, as demonstrated by the goals to achieve aggressive financial results and significantly increase stockholder value.</w:t>
      </w:r>
    </w:p>
    <w:p>
      <w:pPr>
        <w:spacing w:after="0" w:line="110"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Fiscal 2025 was another record year for Broadcom due to our NEOs. We generated record revenue of $63.9 billion, cash from operations of $27.5 billion and free cash flow of $26.9 billion in fiscal 2025. Our Board believes that the steadfast leadership of our NEOs and their laser-focused execution of our existing and new business models and strategies were key to our achievements in fiscal 2025.</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Accordingly, our stockholders are being asked to approve the following resolution:</w:t>
      </w:r>
    </w:p>
    <w:p>
      <w:pPr>
        <w:spacing w:after="0" w:line="205" w:lineRule="exact"/>
        <w:rPr>
          <w:sz w:val="20"/>
          <w:szCs w:val="20"/>
          <w:color w:val="auto"/>
        </w:rPr>
      </w:pPr>
    </w:p>
    <w:p>
      <w:pPr>
        <w:jc w:val="both"/>
        <w:ind w:left="1620" w:right="159"/>
        <w:spacing w:after="0" w:line="352" w:lineRule="auto"/>
        <w:rPr>
          <w:sz w:val="20"/>
          <w:szCs w:val="20"/>
          <w:color w:val="auto"/>
        </w:rPr>
      </w:pPr>
      <w:r>
        <w:rPr>
          <w:rFonts w:ascii="Arial" w:cs="Arial" w:eastAsia="Arial" w:hAnsi="Arial"/>
          <w:sz w:val="16"/>
          <w:szCs w:val="16"/>
          <w:color w:val="262626"/>
        </w:rPr>
        <w:t>“RESOLVED THAT stockholders approve, on an advisory basis, the compensation of Broadcom’s named executive officers, as disclosed in “</w:t>
      </w:r>
      <w:r>
        <w:rPr>
          <w:rFonts w:ascii="Arial" w:cs="Arial" w:eastAsia="Arial" w:hAnsi="Arial"/>
          <w:sz w:val="16"/>
          <w:szCs w:val="16"/>
          <w:i w:val="1"/>
          <w:iCs w:val="1"/>
          <w:color w:val="262626"/>
        </w:rPr>
        <w:t>Compensation Discussion and Analysis</w:t>
      </w:r>
      <w:r>
        <w:rPr>
          <w:rFonts w:ascii="Arial" w:cs="Arial" w:eastAsia="Arial" w:hAnsi="Arial"/>
          <w:sz w:val="16"/>
          <w:szCs w:val="16"/>
          <w:color w:val="262626"/>
        </w:rPr>
        <w:t>” and in the compensation tables and accompanying narrative disclosure under “</w:t>
      </w:r>
      <w:r>
        <w:rPr>
          <w:rFonts w:ascii="Arial" w:cs="Arial" w:eastAsia="Arial" w:hAnsi="Arial"/>
          <w:sz w:val="16"/>
          <w:szCs w:val="16"/>
          <w:i w:val="1"/>
          <w:iCs w:val="1"/>
          <w:color w:val="262626"/>
        </w:rPr>
        <w:t>Executive Compensation</w:t>
      </w:r>
      <w:r>
        <w:rPr>
          <w:rFonts w:ascii="Arial" w:cs="Arial" w:eastAsia="Arial" w:hAnsi="Arial"/>
          <w:sz w:val="16"/>
          <w:szCs w:val="16"/>
          <w:color w:val="262626"/>
        </w:rPr>
        <w:t>” in this Proxy Statement.”</w:t>
      </w:r>
    </w:p>
    <w:p>
      <w:pPr>
        <w:spacing w:after="0" w:line="90"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In deciding how to vote on this proposal, we encourage our stockholders to read the “</w:t>
      </w:r>
      <w:r>
        <w:rPr>
          <w:rFonts w:ascii="Arial" w:cs="Arial" w:eastAsia="Arial" w:hAnsi="Arial"/>
          <w:sz w:val="16"/>
          <w:szCs w:val="16"/>
          <w:i w:val="1"/>
          <w:iCs w:val="1"/>
          <w:color w:val="262626"/>
        </w:rPr>
        <w:t>Compensation Discussion and</w:t>
      </w:r>
      <w:r>
        <w:rPr>
          <w:rFonts w:ascii="Arial" w:cs="Arial" w:eastAsia="Arial" w:hAnsi="Arial"/>
          <w:sz w:val="16"/>
          <w:szCs w:val="16"/>
          <w:color w:val="262626"/>
        </w:rPr>
        <w:t xml:space="preserve"> </w:t>
      </w:r>
      <w:r>
        <w:rPr>
          <w:rFonts w:ascii="Arial" w:cs="Arial" w:eastAsia="Arial" w:hAnsi="Arial"/>
          <w:sz w:val="16"/>
          <w:szCs w:val="16"/>
          <w:i w:val="1"/>
          <w:iCs w:val="1"/>
          <w:color w:val="262626"/>
        </w:rPr>
        <w:t>Analysis</w:t>
      </w:r>
      <w:r>
        <w:rPr>
          <w:rFonts w:ascii="Arial" w:cs="Arial" w:eastAsia="Arial" w:hAnsi="Arial"/>
          <w:sz w:val="16"/>
          <w:szCs w:val="16"/>
          <w:color w:val="262626"/>
        </w:rPr>
        <w:t>” and “</w:t>
      </w:r>
      <w:r>
        <w:rPr>
          <w:rFonts w:ascii="Arial" w:cs="Arial" w:eastAsia="Arial" w:hAnsi="Arial"/>
          <w:sz w:val="16"/>
          <w:szCs w:val="16"/>
          <w:i w:val="1"/>
          <w:iCs w:val="1"/>
          <w:color w:val="262626"/>
        </w:rPr>
        <w:t>Executive Compensation</w:t>
      </w:r>
      <w:r>
        <w:rPr>
          <w:rFonts w:ascii="Arial" w:cs="Arial" w:eastAsia="Arial" w:hAnsi="Arial"/>
          <w:sz w:val="16"/>
          <w:szCs w:val="16"/>
          <w:color w:val="262626"/>
        </w:rPr>
        <w:t>” sections in this Proxy Statement.</w:t>
      </w:r>
    </w:p>
    <w:p>
      <w:pPr>
        <w:spacing w:after="0" w:line="75" w:lineRule="exact"/>
        <w:rPr>
          <w:sz w:val="20"/>
          <w:szCs w:val="20"/>
          <w:color w:val="auto"/>
        </w:rPr>
      </w:pPr>
    </w:p>
    <w:p>
      <w:pPr>
        <w:jc w:val="both"/>
        <w:ind w:left="1280" w:right="159"/>
        <w:spacing w:after="0" w:line="343" w:lineRule="auto"/>
        <w:rPr>
          <w:sz w:val="20"/>
          <w:szCs w:val="20"/>
          <w:color w:val="auto"/>
        </w:rPr>
      </w:pPr>
      <w:r>
        <w:rPr>
          <w:rFonts w:ascii="Arial" w:cs="Arial" w:eastAsia="Arial" w:hAnsi="Arial"/>
          <w:sz w:val="16"/>
          <w:szCs w:val="16"/>
          <w:color w:val="262626"/>
        </w:rPr>
        <w:t>While the vote on this resolution is advisory and not binding, the Compensation Committee and our Board value input from our stockholders and will consider the outcome of the vote on this resolution when considering future executive compensation decisions.</w:t>
      </w:r>
    </w:p>
    <w:p>
      <w:pPr>
        <w:spacing w:after="0" w:line="200" w:lineRule="exact"/>
        <w:rPr>
          <w:sz w:val="20"/>
          <w:szCs w:val="20"/>
          <w:color w:val="auto"/>
        </w:rPr>
      </w:pPr>
    </w:p>
    <w:p>
      <w:pPr>
        <w:spacing w:after="0" w:line="33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CF0A2C"/>
        </w:rPr>
        <w:t xml:space="preserve">Our Board recommends a vote </w:t>
      </w:r>
      <w:r>
        <w:rPr>
          <w:rFonts w:ascii="Arial" w:cs="Arial" w:eastAsia="Arial" w:hAnsi="Arial"/>
          <w:sz w:val="18"/>
          <w:szCs w:val="18"/>
          <w:b w:val="1"/>
          <w:bCs w:val="1"/>
          <w:u w:val="single" w:color="auto"/>
          <w:color w:val="CF0A2C"/>
        </w:rPr>
        <w:t>FOR</w:t>
      </w:r>
      <w:r>
        <w:rPr>
          <w:rFonts w:ascii="Arial" w:cs="Arial" w:eastAsia="Arial" w:hAnsi="Arial"/>
          <w:sz w:val="18"/>
          <w:szCs w:val="18"/>
          <w:b w:val="1"/>
          <w:bCs w:val="1"/>
          <w:color w:val="CF0A2C"/>
        </w:rPr>
        <w:t xml:space="preserve"> approval of</w:t>
      </w:r>
    </w:p>
    <w:p>
      <w:pPr>
        <w:spacing w:after="0" w:line="1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CF0A2C"/>
        </w:rPr>
        <w:t>the named executive officer compensation on an advisory basis.</w:t>
      </w:r>
    </w:p>
    <w:p>
      <w:pPr>
        <w:spacing w:after="0" w:line="125"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850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2860"/>
        <w:spacing w:after="0"/>
        <w:rPr>
          <w:sz w:val="20"/>
          <w:szCs w:val="20"/>
          <w:color w:val="auto"/>
        </w:rPr>
      </w:pPr>
      <w:r>
        <w:rPr>
          <w:rFonts w:ascii="Arial" w:cs="Arial" w:eastAsia="Arial" w:hAnsi="Arial"/>
          <w:sz w:val="25"/>
          <w:szCs w:val="25"/>
          <w:color w:val="CF0A2C"/>
        </w:rPr>
        <w:t>COMPENSATION DISCUSSION AND ANALYSIS</w:t>
      </w:r>
    </w:p>
    <w:p>
      <w:pPr>
        <w:spacing w:after="0" w:line="258"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This Compensation Discussion and Analysis (“CD&amp;A”) discusses the philosophy, design and objectives that guided decisions under our fiscal 2025 executive compensation program. While this CD&amp;A primarily covers the fiscal 2025 compensation of our NEOs, the strategies underlying our compensation philosophy extend throughout Broadcom and are designed to create long-term stockholder value.</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The NEOs, who were our only executive officers in fiscal 2025, are provided below:</w:t>
      </w:r>
    </w:p>
    <w:p>
      <w:pPr>
        <w:spacing w:after="0" w:line="205"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Hock E. Tan</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79375</wp:posOffset>
            </wp:positionV>
            <wp:extent cx="55225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Kirsten M. Spears</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79375</wp:posOffset>
            </wp:positionV>
            <wp:extent cx="55225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Mark D. Brazeal</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Chief Legal and Corporate Affairs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79375</wp:posOffset>
            </wp:positionV>
            <wp:extent cx="55225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Charlie B. Kawwas, Ph.D.</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President, Semiconductor Solutions Group</w:t>
      </w:r>
    </w:p>
    <w:p>
      <w:pPr>
        <w:spacing w:after="0" w:line="2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OVERVIEW</w:t>
      </w:r>
    </w:p>
    <w:p>
      <w:pPr>
        <w:spacing w:after="0" w:line="214"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Our executive compensation program is designed to (i) reward our executive officers for growing and sustaining stockholder value consistent with our long-term strategic plan, (ii) align the interests of our executive officers with the interests of our stockholders and (iii) attract, motivate and retain critical talent in a highly competitive talent market.</w:t>
      </w:r>
    </w:p>
    <w:p>
      <w:pPr>
        <w:spacing w:after="0" w:line="97" w:lineRule="exact"/>
        <w:rPr>
          <w:sz w:val="20"/>
          <w:szCs w:val="20"/>
          <w:color w:val="auto"/>
        </w:rPr>
      </w:pPr>
    </w:p>
    <w:p>
      <w:pPr>
        <w:jc w:val="both"/>
        <w:ind w:left="1280" w:right="179"/>
        <w:spacing w:after="0" w:line="352" w:lineRule="auto"/>
        <w:rPr>
          <w:sz w:val="20"/>
          <w:szCs w:val="20"/>
          <w:color w:val="auto"/>
        </w:rPr>
      </w:pPr>
      <w:r>
        <w:rPr>
          <w:rFonts w:ascii="Arial" w:cs="Arial" w:eastAsia="Arial" w:hAnsi="Arial"/>
          <w:sz w:val="16"/>
          <w:szCs w:val="16"/>
          <w:color w:val="262626"/>
        </w:rPr>
        <w:t>Our distinctive approach in granting multi-year performance-based equity awards continues to be highly effective, helping us deliver exceptional results to our stockholders. Our TSR of 34,330% since 2009 has significantly outperformed that of our peer companies and has placed us in the top 1% of S&amp;P 500 companies during that period.</w:t>
      </w:r>
    </w:p>
    <w:p>
      <w:pPr>
        <w:spacing w:after="0" w:line="90" w:lineRule="exact"/>
        <w:rPr>
          <w:sz w:val="20"/>
          <w:szCs w:val="20"/>
          <w:color w:val="auto"/>
        </w:rPr>
      </w:pPr>
    </w:p>
    <w:p>
      <w:pPr>
        <w:jc w:val="both"/>
        <w:ind w:left="1280" w:right="159"/>
        <w:spacing w:after="0" w:line="343" w:lineRule="auto"/>
        <w:rPr>
          <w:sz w:val="20"/>
          <w:szCs w:val="20"/>
          <w:color w:val="auto"/>
        </w:rPr>
      </w:pPr>
      <w:r>
        <w:rPr>
          <w:rFonts w:ascii="Arial" w:cs="Arial" w:eastAsia="Arial" w:hAnsi="Arial"/>
          <w:sz w:val="16"/>
          <w:szCs w:val="16"/>
          <w:color w:val="262626"/>
        </w:rPr>
        <w:t>We strongly believe our equity-focused pay-for-performance strategy keeps our executive officers and employees in critical areas engaged and motivated, as evidenced by our low global voluntary attrition rate, which has consistently been below the technology industry benchmark.</w:t>
      </w:r>
    </w:p>
    <w:p>
      <w:pPr>
        <w:spacing w:after="0" w:line="110"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In line with our executive compensation program philosophy, design and objectives, more than 90% of our executive officers’ total compensation is comprised of variable compensation. Our executive officers’ short-term incentives and long-term incentives in the form of PSU awards are subject to challenging and rigorous goals designed to achieve aggressive financial targets and significantly increase stockholder value.</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Fiscal 2025 Highlights</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Total Stockholder Return and Return of Capital</w:t>
      </w:r>
    </w:p>
    <w:p>
      <w:pPr>
        <w:spacing w:after="0" w:line="163" w:lineRule="exact"/>
        <w:rPr>
          <w:sz w:val="20"/>
          <w:szCs w:val="20"/>
          <w:color w:val="auto"/>
        </w:rPr>
      </w:pPr>
    </w:p>
    <w:p>
      <w:pPr>
        <w:jc w:val="both"/>
        <w:ind w:left="1280" w:right="159"/>
        <w:spacing w:after="0" w:line="389" w:lineRule="auto"/>
        <w:rPr>
          <w:sz w:val="20"/>
          <w:szCs w:val="20"/>
          <w:color w:val="auto"/>
        </w:rPr>
      </w:pPr>
      <w:r>
        <w:rPr>
          <w:rFonts w:ascii="Arial" w:cs="Arial" w:eastAsia="Arial" w:hAnsi="Arial"/>
          <w:sz w:val="16"/>
          <w:szCs w:val="16"/>
          <w:color w:val="262626"/>
        </w:rPr>
        <w:t>Our TSR continues to significantly outperform the S&amp;P 500 and our compensation peer group. Over the five-year period through fiscal 2025, we delivered TSR of 1,082% and our market capitalization increased from $141.4 billion to $1.7 trillion.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243840</wp:posOffset>
            </wp:positionV>
            <wp:extent cx="4030980" cy="17729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030980" cy="177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60" w:right="1559"/>
        <w:spacing w:after="0" w:line="282" w:lineRule="auto"/>
        <w:rPr>
          <w:sz w:val="20"/>
          <w:szCs w:val="20"/>
          <w:color w:val="auto"/>
        </w:rPr>
      </w:pPr>
      <w:r>
        <w:rPr>
          <w:rFonts w:ascii="Arial" w:cs="Arial" w:eastAsia="Arial" w:hAnsi="Arial"/>
          <w:sz w:val="14"/>
          <w:szCs w:val="14"/>
          <w:color w:val="262626"/>
        </w:rPr>
        <w:t>*TSR assumes $100 investment in Broadcom common stock on the last trading day of fiscal 2020 and reinvestment of dividends.</w:t>
      </w:r>
    </w:p>
    <w:p>
      <w:pPr>
        <w:sectPr>
          <w:pgSz w:w="11900" w:h="16838" w:orient="portrait"/>
          <w:cols w:equalWidth="0" w:num="1">
            <w:col w:w="10139"/>
          </w:cols>
          <w:pgMar w:left="320" w:top="479" w:right="1440" w:bottom="880" w:gutter="0" w:footer="0" w:header="0"/>
        </w:sectPr>
      </w:pPr>
    </w:p>
    <w:p>
      <w:pPr>
        <w:spacing w:after="0" w:line="83"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79" w:right="1440" w:bottom="88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jc w:val="both"/>
        <w:ind w:left="1280" w:right="159"/>
        <w:spacing w:after="0" w:line="353" w:lineRule="auto"/>
        <w:rPr>
          <w:sz w:val="20"/>
          <w:szCs w:val="20"/>
          <w:color w:val="auto"/>
        </w:rPr>
      </w:pPr>
      <w:r>
        <w:rPr>
          <w:rFonts w:ascii="Arial" w:cs="Arial" w:eastAsia="Arial" w:hAnsi="Arial"/>
          <w:sz w:val="16"/>
          <w:szCs w:val="16"/>
          <w:color w:val="262626"/>
        </w:rPr>
        <w:t>In addition, we returned an aggregate of $13.6 billion to our stockholders during fiscal 2025, consisting of $11.1 billion in cash dividends and $2.5 billion in stock repurchases.</w:t>
      </w:r>
    </w:p>
    <w:p>
      <w:pPr>
        <w:spacing w:after="0" w:line="130"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Furthermore, our strong free cash flow in fiscal 2025 enabled us to increase our quarterly common stock dividend to $0.65 per share in our first quarter of fiscal 2026, an increase of 10% over the quarterly dividends paid in fiscal 2025.</w:t>
      </w:r>
    </w:p>
    <w:p>
      <w:pPr>
        <w:spacing w:after="0" w:line="11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Financial Performance</w:t>
      </w:r>
    </w:p>
    <w:p>
      <w:pPr>
        <w:spacing w:after="0" w:line="176"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Our record revenue, cash from operations and free cash flow in fiscal 2025 were driven by our AI semiconductor solutions and infrastructure software solutions from our acquisition of VMware.</w:t>
      </w:r>
    </w:p>
    <w:p>
      <w:pPr>
        <w:spacing w:after="0" w:line="75"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Due to the increase in our custom accelerator business, our AI semiconductor revenue increased 65% from $12.2 billion in fiscal 2024 to $20.2 billion in fiscal 2025 and represented 55% of our fiscal 2025 semiconductor revenue of $36.9 billion. With the strong adoption of VMware Cloud Foundation, our infrastructure software revenue increased 26% from $21.5 billion in fiscal 2024 to $27.0 billion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184150</wp:posOffset>
            </wp:positionV>
            <wp:extent cx="44145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390" w:lineRule="exact"/>
        <w:rPr>
          <w:sz w:val="20"/>
          <w:szCs w:val="20"/>
          <w:color w:val="auto"/>
        </w:rPr>
      </w:pPr>
    </w:p>
    <w:tbl>
      <w:tblPr>
        <w:tblLayout w:type="fixed"/>
        <w:tblInd w:w="2160" w:type="dxa"/>
        <w:tblCellMar>
          <w:top w:w="0" w:type="dxa"/>
          <w:left w:w="0" w:type="dxa"/>
          <w:bottom w:w="0" w:type="dxa"/>
          <w:right w:w="0" w:type="dxa"/>
        </w:tblCellMar>
      </w:tblPr>
      <w:tr>
        <w:trPr>
          <w:trHeight w:val="222"/>
        </w:trPr>
        <w:tc>
          <w:tcPr>
            <w:tcW w:w="2040" w:type="dxa"/>
            <w:vAlign w:val="bottom"/>
          </w:tcPr>
          <w:p>
            <w:pPr>
              <w:ind w:left="480"/>
              <w:spacing w:after="0"/>
              <w:rPr>
                <w:sz w:val="20"/>
                <w:szCs w:val="20"/>
                <w:color w:val="auto"/>
              </w:rPr>
            </w:pPr>
            <w:r>
              <w:rPr>
                <w:rFonts w:ascii="Arial" w:cs="Arial" w:eastAsia="Arial" w:hAnsi="Arial"/>
                <w:sz w:val="16"/>
                <w:szCs w:val="16"/>
                <w:b w:val="1"/>
                <w:bCs w:val="1"/>
                <w:color w:val="CF0A2C"/>
              </w:rPr>
              <w:t>Record Revenue</w:t>
            </w:r>
          </w:p>
        </w:tc>
        <w:tc>
          <w:tcPr>
            <w:tcW w:w="2740" w:type="dxa"/>
            <w:vAlign w:val="bottom"/>
          </w:tcPr>
          <w:p>
            <w:pPr>
              <w:ind w:left="280"/>
              <w:spacing w:after="0"/>
              <w:rPr>
                <w:sz w:val="20"/>
                <w:szCs w:val="20"/>
                <w:color w:val="auto"/>
              </w:rPr>
            </w:pPr>
            <w:r>
              <w:rPr>
                <w:rFonts w:ascii="Arial" w:cs="Arial" w:eastAsia="Arial" w:hAnsi="Arial"/>
                <w:sz w:val="16"/>
                <w:szCs w:val="16"/>
                <w:b w:val="1"/>
                <w:bCs w:val="1"/>
                <w:color w:val="CF0A2C"/>
              </w:rPr>
              <w:t>Record Cash From Operations</w:t>
            </w:r>
          </w:p>
        </w:tc>
        <w:tc>
          <w:tcPr>
            <w:tcW w:w="2160" w:type="dxa"/>
            <w:vAlign w:val="bottom"/>
          </w:tcPr>
          <w:p>
            <w:pPr>
              <w:ind w:left="120"/>
              <w:spacing w:after="0"/>
              <w:rPr>
                <w:sz w:val="20"/>
                <w:szCs w:val="20"/>
                <w:color w:val="auto"/>
              </w:rPr>
            </w:pPr>
            <w:r>
              <w:rPr>
                <w:rFonts w:ascii="Arial" w:cs="Arial" w:eastAsia="Arial" w:hAnsi="Arial"/>
                <w:sz w:val="16"/>
                <w:szCs w:val="16"/>
                <w:b w:val="1"/>
                <w:bCs w:val="1"/>
                <w:color w:val="CF0A2C"/>
              </w:rPr>
              <w:t>Record Free Cash Flow*</w:t>
            </w:r>
          </w:p>
        </w:tc>
      </w:tr>
      <w:tr>
        <w:trPr>
          <w:trHeight w:val="297"/>
        </w:trPr>
        <w:tc>
          <w:tcPr>
            <w:tcW w:w="2040" w:type="dxa"/>
            <w:vAlign w:val="bottom"/>
          </w:tcPr>
          <w:p>
            <w:pPr>
              <w:jc w:val="center"/>
              <w:ind w:left="105"/>
              <w:spacing w:after="0"/>
              <w:rPr>
                <w:sz w:val="20"/>
                <w:szCs w:val="20"/>
                <w:color w:val="auto"/>
              </w:rPr>
            </w:pPr>
            <w:r>
              <w:rPr>
                <w:rFonts w:ascii="Arial" w:cs="Arial" w:eastAsia="Arial" w:hAnsi="Arial"/>
                <w:sz w:val="23"/>
                <w:szCs w:val="23"/>
                <w:b w:val="1"/>
                <w:bCs w:val="1"/>
                <w:color w:val="262626"/>
              </w:rPr>
              <w:t>$63.9B</w:t>
            </w:r>
          </w:p>
        </w:tc>
        <w:tc>
          <w:tcPr>
            <w:tcW w:w="2740" w:type="dxa"/>
            <w:vAlign w:val="bottom"/>
          </w:tcPr>
          <w:p>
            <w:pPr>
              <w:jc w:val="center"/>
              <w:ind w:left="45"/>
              <w:spacing w:after="0"/>
              <w:rPr>
                <w:sz w:val="20"/>
                <w:szCs w:val="20"/>
                <w:color w:val="auto"/>
              </w:rPr>
            </w:pPr>
            <w:r>
              <w:rPr>
                <w:rFonts w:ascii="Arial" w:cs="Arial" w:eastAsia="Arial" w:hAnsi="Arial"/>
                <w:sz w:val="23"/>
                <w:szCs w:val="23"/>
                <w:b w:val="1"/>
                <w:bCs w:val="1"/>
                <w:color w:val="262626"/>
              </w:rPr>
              <w:t>$27.5B</w:t>
            </w:r>
          </w:p>
        </w:tc>
        <w:tc>
          <w:tcPr>
            <w:tcW w:w="2160" w:type="dxa"/>
            <w:vAlign w:val="bottom"/>
          </w:tcPr>
          <w:p>
            <w:pPr>
              <w:jc w:val="center"/>
              <w:spacing w:after="0"/>
              <w:rPr>
                <w:sz w:val="20"/>
                <w:szCs w:val="20"/>
                <w:color w:val="auto"/>
              </w:rPr>
            </w:pPr>
            <w:r>
              <w:rPr>
                <w:rFonts w:ascii="Arial" w:cs="Arial" w:eastAsia="Arial" w:hAnsi="Arial"/>
                <w:sz w:val="23"/>
                <w:szCs w:val="23"/>
                <w:b w:val="1"/>
                <w:bCs w:val="1"/>
                <w:color w:val="262626"/>
                <w:w w:val="99"/>
              </w:rPr>
              <w:t>$26.9B</w:t>
            </w:r>
          </w:p>
        </w:tc>
      </w:tr>
      <w:tr>
        <w:trPr>
          <w:trHeight w:val="246"/>
        </w:trPr>
        <w:tc>
          <w:tcPr>
            <w:tcW w:w="2040" w:type="dxa"/>
            <w:vAlign w:val="bottom"/>
          </w:tcPr>
          <w:p>
            <w:pPr>
              <w:jc w:val="center"/>
              <w:ind w:left="105"/>
              <w:spacing w:after="0"/>
              <w:rPr>
                <w:sz w:val="20"/>
                <w:szCs w:val="20"/>
                <w:color w:val="auto"/>
              </w:rPr>
            </w:pPr>
            <w:r>
              <w:rPr>
                <w:rFonts w:ascii="Arial" w:cs="Arial" w:eastAsia="Arial" w:hAnsi="Arial"/>
                <w:sz w:val="18"/>
                <w:szCs w:val="18"/>
                <w:b w:val="1"/>
                <w:bCs w:val="1"/>
                <w:color w:val="262626"/>
                <w:w w:val="98"/>
              </w:rPr>
              <w:t>+24%YoY</w:t>
            </w:r>
          </w:p>
        </w:tc>
        <w:tc>
          <w:tcPr>
            <w:tcW w:w="2740" w:type="dxa"/>
            <w:vAlign w:val="bottom"/>
          </w:tcPr>
          <w:p>
            <w:pPr>
              <w:jc w:val="center"/>
              <w:ind w:left="45"/>
              <w:spacing w:after="0"/>
              <w:rPr>
                <w:sz w:val="20"/>
                <w:szCs w:val="20"/>
                <w:color w:val="auto"/>
              </w:rPr>
            </w:pPr>
            <w:r>
              <w:rPr>
                <w:rFonts w:ascii="Arial" w:cs="Arial" w:eastAsia="Arial" w:hAnsi="Arial"/>
                <w:sz w:val="18"/>
                <w:szCs w:val="18"/>
                <w:b w:val="1"/>
                <w:bCs w:val="1"/>
                <w:color w:val="262626"/>
                <w:w w:val="98"/>
              </w:rPr>
              <w:t>+38%YoY</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262626"/>
                <w:w w:val="98"/>
              </w:rPr>
              <w:t>+39%YoY</w:t>
            </w:r>
          </w:p>
        </w:tc>
      </w:tr>
      <w:tr>
        <w:trPr>
          <w:trHeight w:val="41"/>
        </w:trPr>
        <w:tc>
          <w:tcPr>
            <w:tcW w:w="2040" w:type="dxa"/>
            <w:vAlign w:val="bottom"/>
            <w:tcBorders>
              <w:bottom w:val="single" w:sz="8" w:color="CF0A2C"/>
            </w:tcBorders>
          </w:tcPr>
          <w:p>
            <w:pPr>
              <w:spacing w:after="0"/>
              <w:rPr>
                <w:sz w:val="3"/>
                <w:szCs w:val="3"/>
                <w:color w:val="auto"/>
              </w:rPr>
            </w:pPr>
          </w:p>
        </w:tc>
        <w:tc>
          <w:tcPr>
            <w:tcW w:w="2740" w:type="dxa"/>
            <w:vAlign w:val="bottom"/>
            <w:tcBorders>
              <w:bottom w:val="single" w:sz="8" w:color="CF0A2C"/>
            </w:tcBorders>
          </w:tcPr>
          <w:p>
            <w:pPr>
              <w:spacing w:after="0"/>
              <w:rPr>
                <w:sz w:val="3"/>
                <w:szCs w:val="3"/>
                <w:color w:val="auto"/>
              </w:rPr>
            </w:pPr>
          </w:p>
        </w:tc>
        <w:tc>
          <w:tcPr>
            <w:tcW w:w="2160" w:type="dxa"/>
            <w:vAlign w:val="bottom"/>
            <w:tcBorders>
              <w:bottom w:val="single" w:sz="8" w:color="CF0A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1521460</wp:posOffset>
            </wp:positionH>
            <wp:positionV relativeFrom="paragraph">
              <wp:posOffset>76835</wp:posOffset>
            </wp:positionV>
            <wp:extent cx="4107815" cy="1508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07815" cy="1508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400"/>
        <w:spacing w:after="0"/>
        <w:rPr>
          <w:sz w:val="20"/>
          <w:szCs w:val="20"/>
          <w:color w:val="auto"/>
        </w:rPr>
      </w:pPr>
      <w:r>
        <w:rPr>
          <w:rFonts w:ascii="Arial" w:cs="Arial" w:eastAsia="Arial" w:hAnsi="Arial"/>
          <w:sz w:val="14"/>
          <w:szCs w:val="14"/>
          <w:color w:val="262626"/>
        </w:rPr>
        <w:t>*See Appendix A for a reconciliation of non-GAAP financial measures to the most directly comparable GAAP</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measures.</w:t>
      </w:r>
    </w:p>
    <w:p>
      <w:pPr>
        <w:spacing w:after="0" w:line="27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EXECUTIVE COMPENSATION PROGRAM</w:t>
      </w: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Total Compensation Components</w:t>
      </w:r>
    </w:p>
    <w:p>
      <w:pPr>
        <w:spacing w:after="0" w:line="202"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Our executive compensation program is designed to keep our executive officers’ total compensation competitive with the compensation of executives in comparable positions at companies in our compensation peer group. The Compensation Committee and our Board believe long-term equity incentives are necessary to attract, motivate and retain our executive officers and to align the interests of our executive officers with the interests of our stockholders. As a result, the total target cash compensation (base salary and short-term incentives) for our executive officers is significantly lower than the median of the competitive market. However, in combination with long-term incentives, the total compensation for our executive officers can exceed the median of the competitive market upon achieving or exceeding performance goals.</w:t>
      </w:r>
    </w:p>
    <w:p>
      <w:pPr>
        <w:spacing w:after="0" w:line="89"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768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5155" cy="76835"/>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Our annual total compensation for our executive officers consists of three principal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121920</wp:posOffset>
            </wp:positionV>
            <wp:extent cx="55225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93"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2700" w:type="dxa"/>
            <w:vAlign w:val="bottom"/>
          </w:tcPr>
          <w:p>
            <w:pPr>
              <w:spacing w:after="0"/>
              <w:rPr>
                <w:sz w:val="20"/>
                <w:szCs w:val="20"/>
                <w:color w:val="auto"/>
              </w:rPr>
            </w:pPr>
            <w:r>
              <w:rPr>
                <w:rFonts w:ascii="Arial" w:cs="Arial" w:eastAsia="Arial" w:hAnsi="Arial"/>
                <w:sz w:val="16"/>
                <w:szCs w:val="16"/>
                <w:b w:val="1"/>
                <w:bCs w:val="1"/>
                <w:color w:val="262626"/>
              </w:rPr>
              <w:t>Component</w:t>
            </w:r>
          </w:p>
        </w:tc>
        <w:tc>
          <w:tcPr>
            <w:tcW w:w="6000" w:type="dxa"/>
            <w:vAlign w:val="bottom"/>
          </w:tcPr>
          <w:p>
            <w:pPr>
              <w:ind w:left="80"/>
              <w:spacing w:after="0"/>
              <w:rPr>
                <w:sz w:val="20"/>
                <w:szCs w:val="20"/>
                <w:color w:val="auto"/>
              </w:rPr>
            </w:pPr>
            <w:r>
              <w:rPr>
                <w:rFonts w:ascii="Arial" w:cs="Arial" w:eastAsia="Arial" w:hAnsi="Arial"/>
                <w:sz w:val="16"/>
                <w:szCs w:val="16"/>
                <w:b w:val="1"/>
                <w:bCs w:val="1"/>
                <w:color w:val="262626"/>
              </w:rPr>
              <w:t>Purpose &amp; Description</w:t>
            </w:r>
          </w:p>
        </w:tc>
      </w:tr>
      <w:tr>
        <w:trPr>
          <w:trHeight w:val="88"/>
        </w:trPr>
        <w:tc>
          <w:tcPr>
            <w:tcW w:w="2700" w:type="dxa"/>
            <w:vAlign w:val="bottom"/>
            <w:tcBorders>
              <w:bottom w:val="single" w:sz="8" w:color="CF0A2C"/>
            </w:tcBorders>
          </w:tcPr>
          <w:p>
            <w:pPr>
              <w:spacing w:after="0"/>
              <w:rPr>
                <w:sz w:val="7"/>
                <w:szCs w:val="7"/>
                <w:color w:val="auto"/>
              </w:rPr>
            </w:pPr>
          </w:p>
        </w:tc>
        <w:tc>
          <w:tcPr>
            <w:tcW w:w="6000" w:type="dxa"/>
            <w:vAlign w:val="bottom"/>
            <w:tcBorders>
              <w:bottom w:val="single" w:sz="8" w:color="CF0A2C"/>
            </w:tcBorders>
          </w:tcPr>
          <w:p>
            <w:pPr>
              <w:spacing w:after="0"/>
              <w:rPr>
                <w:sz w:val="7"/>
                <w:szCs w:val="7"/>
                <w:color w:val="auto"/>
              </w:rPr>
            </w:pPr>
          </w:p>
        </w:tc>
      </w:tr>
      <w:tr>
        <w:trPr>
          <w:trHeight w:val="322"/>
        </w:trPr>
        <w:tc>
          <w:tcPr>
            <w:tcW w:w="2700" w:type="dxa"/>
            <w:vAlign w:val="bottom"/>
            <w:tcBorders>
              <w:right w:val="single" w:sz="8" w:color="CF0A2C"/>
            </w:tcBorders>
          </w:tcPr>
          <w:p>
            <w:pPr>
              <w:spacing w:after="0"/>
              <w:rPr>
                <w:sz w:val="20"/>
                <w:szCs w:val="20"/>
                <w:color w:val="auto"/>
              </w:rPr>
            </w:pPr>
            <w:r>
              <w:rPr>
                <w:rFonts w:ascii="Arial" w:cs="Arial" w:eastAsia="Arial" w:hAnsi="Arial"/>
                <w:sz w:val="16"/>
                <w:szCs w:val="16"/>
                <w:b w:val="1"/>
                <w:bCs w:val="1"/>
                <w:color w:val="262626"/>
              </w:rPr>
              <w:t>Base Salary</w:t>
            </w:r>
          </w:p>
        </w:tc>
        <w:tc>
          <w:tcPr>
            <w:tcW w:w="6000" w:type="dxa"/>
            <w:vAlign w:val="bottom"/>
          </w:tcPr>
          <w:p>
            <w:pPr>
              <w:ind w:left="80"/>
              <w:spacing w:after="0"/>
              <w:rPr>
                <w:sz w:val="20"/>
                <w:szCs w:val="20"/>
                <w:color w:val="auto"/>
              </w:rPr>
            </w:pPr>
            <w:r>
              <w:rPr>
                <w:rFonts w:ascii="Arial" w:cs="Arial" w:eastAsia="Arial" w:hAnsi="Arial"/>
                <w:sz w:val="16"/>
                <w:szCs w:val="16"/>
                <w:color w:val="262626"/>
              </w:rPr>
              <w:t>•  Provide a level of fixed annual cash for stability and retention</w:t>
            </w:r>
          </w:p>
        </w:tc>
      </w:tr>
      <w:tr>
        <w:trPr>
          <w:trHeight w:val="328"/>
        </w:trPr>
        <w:tc>
          <w:tcPr>
            <w:tcW w:w="2700" w:type="dxa"/>
            <w:vAlign w:val="bottom"/>
            <w:tcBorders>
              <w:right w:val="single" w:sz="8" w:color="CF0A2C"/>
            </w:tcBorders>
          </w:tcPr>
          <w:p>
            <w:pPr>
              <w:spacing w:after="0"/>
              <w:rPr>
                <w:sz w:val="24"/>
                <w:szCs w:val="24"/>
                <w:color w:val="auto"/>
              </w:rPr>
            </w:pPr>
          </w:p>
        </w:tc>
        <w:tc>
          <w:tcPr>
            <w:tcW w:w="6000" w:type="dxa"/>
            <w:vAlign w:val="bottom"/>
          </w:tcPr>
          <w:p>
            <w:pPr>
              <w:ind w:left="80"/>
              <w:spacing w:after="0"/>
              <w:rPr>
                <w:sz w:val="20"/>
                <w:szCs w:val="20"/>
                <w:color w:val="auto"/>
              </w:rPr>
            </w:pPr>
            <w:r>
              <w:rPr>
                <w:rFonts w:ascii="Arial" w:cs="Arial" w:eastAsia="Arial" w:hAnsi="Arial"/>
                <w:sz w:val="16"/>
                <w:szCs w:val="16"/>
                <w:color w:val="262626"/>
              </w:rPr>
              <w:t>•  Reflect scope, responsibilities and sustained individual performance</w:t>
            </w:r>
          </w:p>
        </w:tc>
      </w:tr>
      <w:tr>
        <w:trPr>
          <w:trHeight w:val="336"/>
        </w:trPr>
        <w:tc>
          <w:tcPr>
            <w:tcW w:w="2700" w:type="dxa"/>
            <w:vAlign w:val="bottom"/>
            <w:tcBorders>
              <w:right w:val="single" w:sz="8" w:color="CF0A2C"/>
            </w:tcBorders>
          </w:tcPr>
          <w:p>
            <w:pPr>
              <w:spacing w:after="0"/>
              <w:rPr>
                <w:sz w:val="24"/>
                <w:szCs w:val="24"/>
                <w:color w:val="auto"/>
              </w:rPr>
            </w:pPr>
          </w:p>
        </w:tc>
        <w:tc>
          <w:tcPr>
            <w:tcW w:w="6000" w:type="dxa"/>
            <w:vAlign w:val="bottom"/>
          </w:tcPr>
          <w:p>
            <w:pPr>
              <w:ind w:left="80"/>
              <w:spacing w:after="0"/>
              <w:rPr>
                <w:sz w:val="20"/>
                <w:szCs w:val="20"/>
                <w:color w:val="auto"/>
              </w:rPr>
            </w:pPr>
            <w:r>
              <w:rPr>
                <w:rFonts w:ascii="Arial" w:cs="Arial" w:eastAsia="Arial" w:hAnsi="Arial"/>
                <w:sz w:val="16"/>
                <w:szCs w:val="16"/>
                <w:color w:val="262626"/>
              </w:rPr>
              <w:t>•  Amount set considerably lower than the competitive market median</w:t>
            </w:r>
          </w:p>
        </w:tc>
      </w:tr>
      <w:tr>
        <w:trPr>
          <w:trHeight w:val="163"/>
        </w:trPr>
        <w:tc>
          <w:tcPr>
            <w:tcW w:w="2700" w:type="dxa"/>
            <w:vAlign w:val="bottom"/>
            <w:tcBorders>
              <w:bottom w:val="single" w:sz="8" w:color="CF0A2C"/>
              <w:right w:val="single" w:sz="8" w:color="CF0A2C"/>
            </w:tcBorders>
          </w:tcPr>
          <w:p>
            <w:pPr>
              <w:spacing w:after="0"/>
              <w:rPr>
                <w:sz w:val="14"/>
                <w:szCs w:val="14"/>
                <w:color w:val="auto"/>
              </w:rPr>
            </w:pPr>
          </w:p>
        </w:tc>
        <w:tc>
          <w:tcPr>
            <w:tcW w:w="6000" w:type="dxa"/>
            <w:vAlign w:val="bottom"/>
            <w:tcBorders>
              <w:bottom w:val="single" w:sz="8" w:color="CF0A2C"/>
            </w:tcBorders>
          </w:tcPr>
          <w:p>
            <w:pPr>
              <w:spacing w:after="0"/>
              <w:rPr>
                <w:sz w:val="14"/>
                <w:szCs w:val="14"/>
                <w:color w:val="auto"/>
              </w:rPr>
            </w:pPr>
          </w:p>
        </w:tc>
      </w:tr>
      <w:tr>
        <w:trPr>
          <w:trHeight w:val="322"/>
        </w:trPr>
        <w:tc>
          <w:tcPr>
            <w:tcW w:w="2700" w:type="dxa"/>
            <w:vAlign w:val="bottom"/>
            <w:tcBorders>
              <w:right w:val="single" w:sz="8" w:color="CF0A2C"/>
            </w:tcBorders>
          </w:tcPr>
          <w:p>
            <w:pPr>
              <w:spacing w:after="0"/>
              <w:rPr>
                <w:sz w:val="20"/>
                <w:szCs w:val="20"/>
                <w:color w:val="auto"/>
              </w:rPr>
            </w:pPr>
            <w:r>
              <w:rPr>
                <w:rFonts w:ascii="Arial" w:cs="Arial" w:eastAsia="Arial" w:hAnsi="Arial"/>
                <w:sz w:val="16"/>
                <w:szCs w:val="16"/>
                <w:b w:val="1"/>
                <w:bCs w:val="1"/>
                <w:color w:val="262626"/>
              </w:rPr>
              <w:t>Short-Term Incentives (“STI”)</w:t>
            </w:r>
          </w:p>
        </w:tc>
        <w:tc>
          <w:tcPr>
            <w:tcW w:w="6000" w:type="dxa"/>
            <w:vAlign w:val="bottom"/>
          </w:tcPr>
          <w:p>
            <w:pPr>
              <w:ind w:left="80"/>
              <w:spacing w:after="0"/>
              <w:rPr>
                <w:sz w:val="20"/>
                <w:szCs w:val="20"/>
                <w:color w:val="auto"/>
              </w:rPr>
            </w:pPr>
            <w:r>
              <w:rPr>
                <w:rFonts w:ascii="Arial" w:cs="Arial" w:eastAsia="Arial" w:hAnsi="Arial"/>
                <w:sz w:val="16"/>
                <w:szCs w:val="16"/>
                <w:color w:val="262626"/>
              </w:rPr>
              <w:t>•  Provide meaningful incentives to meet short-term (annual) objectives</w:t>
            </w:r>
          </w:p>
        </w:tc>
      </w:tr>
      <w:tr>
        <w:trPr>
          <w:trHeight w:val="328"/>
        </w:trPr>
        <w:tc>
          <w:tcPr>
            <w:tcW w:w="2700" w:type="dxa"/>
            <w:vAlign w:val="bottom"/>
            <w:tcBorders>
              <w:right w:val="single" w:sz="8" w:color="CF0A2C"/>
            </w:tcBorders>
          </w:tcPr>
          <w:p>
            <w:pPr>
              <w:spacing w:after="0"/>
              <w:rPr>
                <w:sz w:val="24"/>
                <w:szCs w:val="24"/>
                <w:color w:val="auto"/>
              </w:rPr>
            </w:pPr>
          </w:p>
        </w:tc>
        <w:tc>
          <w:tcPr>
            <w:tcW w:w="6000" w:type="dxa"/>
            <w:vAlign w:val="bottom"/>
          </w:tcPr>
          <w:p>
            <w:pPr>
              <w:ind w:left="80"/>
              <w:spacing w:after="0"/>
              <w:rPr>
                <w:sz w:val="20"/>
                <w:szCs w:val="20"/>
                <w:color w:val="auto"/>
              </w:rPr>
            </w:pPr>
            <w:r>
              <w:rPr>
                <w:rFonts w:ascii="Arial" w:cs="Arial" w:eastAsia="Arial" w:hAnsi="Arial"/>
                <w:sz w:val="16"/>
                <w:szCs w:val="16"/>
                <w:color w:val="262626"/>
              </w:rPr>
              <w:t>•  Reward achievement of challenging and rigorous pre-established corporate</w:t>
            </w:r>
          </w:p>
        </w:tc>
      </w:tr>
      <w:tr>
        <w:trPr>
          <w:trHeight w:val="255"/>
        </w:trPr>
        <w:tc>
          <w:tcPr>
            <w:tcW w:w="2700" w:type="dxa"/>
            <w:vAlign w:val="bottom"/>
            <w:tcBorders>
              <w:right w:val="single" w:sz="8" w:color="CF0A2C"/>
            </w:tcBorders>
          </w:tcPr>
          <w:p>
            <w:pPr>
              <w:spacing w:after="0"/>
              <w:rPr>
                <w:sz w:val="22"/>
                <w:szCs w:val="22"/>
                <w:color w:val="auto"/>
              </w:rPr>
            </w:pPr>
          </w:p>
        </w:tc>
        <w:tc>
          <w:tcPr>
            <w:tcW w:w="6000" w:type="dxa"/>
            <w:vAlign w:val="bottom"/>
          </w:tcPr>
          <w:p>
            <w:pPr>
              <w:ind w:left="340"/>
              <w:spacing w:after="0"/>
              <w:rPr>
                <w:sz w:val="20"/>
                <w:szCs w:val="20"/>
                <w:color w:val="auto"/>
              </w:rPr>
            </w:pPr>
            <w:r>
              <w:rPr>
                <w:rFonts w:ascii="Arial" w:cs="Arial" w:eastAsia="Arial" w:hAnsi="Arial"/>
                <w:sz w:val="16"/>
                <w:szCs w:val="16"/>
                <w:color w:val="262626"/>
              </w:rPr>
              <w:t>financial and business division goals</w:t>
            </w:r>
          </w:p>
        </w:tc>
      </w:tr>
      <w:tr>
        <w:trPr>
          <w:trHeight w:val="322"/>
        </w:trPr>
        <w:tc>
          <w:tcPr>
            <w:tcW w:w="2700" w:type="dxa"/>
            <w:vAlign w:val="bottom"/>
            <w:tcBorders>
              <w:right w:val="single" w:sz="8" w:color="CF0A2C"/>
            </w:tcBorders>
          </w:tcPr>
          <w:p>
            <w:pPr>
              <w:spacing w:after="0"/>
              <w:rPr>
                <w:sz w:val="24"/>
                <w:szCs w:val="24"/>
                <w:color w:val="auto"/>
              </w:rPr>
            </w:pPr>
          </w:p>
        </w:tc>
        <w:tc>
          <w:tcPr>
            <w:tcW w:w="6000" w:type="dxa"/>
            <w:vAlign w:val="bottom"/>
          </w:tcPr>
          <w:p>
            <w:pPr>
              <w:ind w:left="80"/>
              <w:spacing w:after="0"/>
              <w:rPr>
                <w:sz w:val="20"/>
                <w:szCs w:val="20"/>
                <w:color w:val="auto"/>
              </w:rPr>
            </w:pPr>
            <w:r>
              <w:rPr>
                <w:rFonts w:ascii="Arial" w:cs="Arial" w:eastAsia="Arial" w:hAnsi="Arial"/>
                <w:sz w:val="16"/>
                <w:szCs w:val="16"/>
                <w:color w:val="262626"/>
              </w:rPr>
              <w:t>•  Recognize individual contributions and performance</w:t>
            </w:r>
          </w:p>
        </w:tc>
      </w:tr>
      <w:tr>
        <w:trPr>
          <w:trHeight w:val="163"/>
        </w:trPr>
        <w:tc>
          <w:tcPr>
            <w:tcW w:w="2700" w:type="dxa"/>
            <w:vAlign w:val="bottom"/>
            <w:tcBorders>
              <w:bottom w:val="single" w:sz="8" w:color="CF0A2C"/>
              <w:right w:val="single" w:sz="8" w:color="CF0A2C"/>
            </w:tcBorders>
          </w:tcPr>
          <w:p>
            <w:pPr>
              <w:spacing w:after="0"/>
              <w:rPr>
                <w:sz w:val="14"/>
                <w:szCs w:val="14"/>
                <w:color w:val="auto"/>
              </w:rPr>
            </w:pPr>
          </w:p>
        </w:tc>
        <w:tc>
          <w:tcPr>
            <w:tcW w:w="6000" w:type="dxa"/>
            <w:vAlign w:val="bottom"/>
            <w:tcBorders>
              <w:bottom w:val="single" w:sz="8" w:color="CF0A2C"/>
            </w:tcBorders>
          </w:tcPr>
          <w:p>
            <w:pPr>
              <w:spacing w:after="0"/>
              <w:rPr>
                <w:sz w:val="14"/>
                <w:szCs w:val="14"/>
                <w:color w:val="auto"/>
              </w:rPr>
            </w:pPr>
          </w:p>
        </w:tc>
      </w:tr>
      <w:tr>
        <w:trPr>
          <w:trHeight w:val="322"/>
        </w:trPr>
        <w:tc>
          <w:tcPr>
            <w:tcW w:w="2700" w:type="dxa"/>
            <w:vAlign w:val="bottom"/>
            <w:tcBorders>
              <w:right w:val="single" w:sz="8" w:color="CF0A2C"/>
            </w:tcBorders>
          </w:tcPr>
          <w:p>
            <w:pPr>
              <w:spacing w:after="0"/>
              <w:rPr>
                <w:sz w:val="20"/>
                <w:szCs w:val="20"/>
                <w:color w:val="auto"/>
              </w:rPr>
            </w:pPr>
            <w:r>
              <w:rPr>
                <w:rFonts w:ascii="Arial" w:cs="Arial" w:eastAsia="Arial" w:hAnsi="Arial"/>
                <w:sz w:val="16"/>
                <w:szCs w:val="16"/>
                <w:b w:val="1"/>
                <w:bCs w:val="1"/>
                <w:color w:val="262626"/>
              </w:rPr>
              <w:t>Long-Term Incentives (“LTI”)</w:t>
            </w:r>
          </w:p>
        </w:tc>
        <w:tc>
          <w:tcPr>
            <w:tcW w:w="6000" w:type="dxa"/>
            <w:vAlign w:val="bottom"/>
          </w:tcPr>
          <w:p>
            <w:pPr>
              <w:ind w:left="80"/>
              <w:spacing w:after="0"/>
              <w:rPr>
                <w:sz w:val="20"/>
                <w:szCs w:val="20"/>
                <w:color w:val="auto"/>
              </w:rPr>
            </w:pPr>
            <w:r>
              <w:rPr>
                <w:rFonts w:ascii="Arial" w:cs="Arial" w:eastAsia="Arial" w:hAnsi="Arial"/>
                <w:sz w:val="16"/>
                <w:szCs w:val="16"/>
                <w:color w:val="262626"/>
              </w:rPr>
              <w:t>•  Reward efforts to grow sustainable, long-term stockholder value</w:t>
            </w:r>
          </w:p>
        </w:tc>
      </w:tr>
      <w:tr>
        <w:trPr>
          <w:trHeight w:val="328"/>
        </w:trPr>
        <w:tc>
          <w:tcPr>
            <w:tcW w:w="2700" w:type="dxa"/>
            <w:vAlign w:val="bottom"/>
            <w:tcBorders>
              <w:right w:val="single" w:sz="8" w:color="CF0A2C"/>
            </w:tcBorders>
          </w:tcPr>
          <w:p>
            <w:pPr>
              <w:spacing w:after="0"/>
              <w:rPr>
                <w:sz w:val="24"/>
                <w:szCs w:val="24"/>
                <w:color w:val="auto"/>
              </w:rPr>
            </w:pPr>
          </w:p>
        </w:tc>
        <w:tc>
          <w:tcPr>
            <w:tcW w:w="6000" w:type="dxa"/>
            <w:vAlign w:val="bottom"/>
          </w:tcPr>
          <w:p>
            <w:pPr>
              <w:ind w:left="80"/>
              <w:spacing w:after="0"/>
              <w:rPr>
                <w:sz w:val="20"/>
                <w:szCs w:val="20"/>
                <w:color w:val="auto"/>
              </w:rPr>
            </w:pPr>
            <w:r>
              <w:rPr>
                <w:rFonts w:ascii="Arial" w:cs="Arial" w:eastAsia="Arial" w:hAnsi="Arial"/>
                <w:sz w:val="16"/>
                <w:szCs w:val="16"/>
                <w:color w:val="262626"/>
              </w:rPr>
              <w:t>•  Encourage retention and mitigate compensation-related risks with stock</w:t>
            </w:r>
          </w:p>
        </w:tc>
      </w:tr>
      <w:tr>
        <w:trPr>
          <w:trHeight w:val="255"/>
        </w:trPr>
        <w:tc>
          <w:tcPr>
            <w:tcW w:w="2700" w:type="dxa"/>
            <w:vAlign w:val="bottom"/>
            <w:tcBorders>
              <w:right w:val="single" w:sz="8" w:color="CF0A2C"/>
            </w:tcBorders>
          </w:tcPr>
          <w:p>
            <w:pPr>
              <w:spacing w:after="0"/>
              <w:rPr>
                <w:sz w:val="22"/>
                <w:szCs w:val="22"/>
                <w:color w:val="auto"/>
              </w:rPr>
            </w:pPr>
          </w:p>
        </w:tc>
        <w:tc>
          <w:tcPr>
            <w:tcW w:w="6000" w:type="dxa"/>
            <w:vAlign w:val="bottom"/>
          </w:tcPr>
          <w:p>
            <w:pPr>
              <w:ind w:left="340"/>
              <w:spacing w:after="0"/>
              <w:rPr>
                <w:sz w:val="20"/>
                <w:szCs w:val="20"/>
                <w:color w:val="auto"/>
              </w:rPr>
            </w:pPr>
            <w:r>
              <w:rPr>
                <w:rFonts w:ascii="Arial" w:cs="Arial" w:eastAsia="Arial" w:hAnsi="Arial"/>
                <w:sz w:val="16"/>
                <w:szCs w:val="16"/>
                <w:color w:val="262626"/>
              </w:rPr>
              <w:t>ownership guidelines</w:t>
            </w:r>
          </w:p>
        </w:tc>
      </w:tr>
      <w:tr>
        <w:trPr>
          <w:trHeight w:val="322"/>
        </w:trPr>
        <w:tc>
          <w:tcPr>
            <w:tcW w:w="2700" w:type="dxa"/>
            <w:vAlign w:val="bottom"/>
            <w:tcBorders>
              <w:right w:val="single" w:sz="8" w:color="CF0A2C"/>
            </w:tcBorders>
          </w:tcPr>
          <w:p>
            <w:pPr>
              <w:spacing w:after="0"/>
              <w:rPr>
                <w:sz w:val="24"/>
                <w:szCs w:val="24"/>
                <w:color w:val="auto"/>
              </w:rPr>
            </w:pPr>
          </w:p>
        </w:tc>
        <w:tc>
          <w:tcPr>
            <w:tcW w:w="6000" w:type="dxa"/>
            <w:vAlign w:val="bottom"/>
          </w:tcPr>
          <w:p>
            <w:pPr>
              <w:ind w:left="80"/>
              <w:spacing w:after="0"/>
              <w:rPr>
                <w:sz w:val="20"/>
                <w:szCs w:val="20"/>
                <w:color w:val="auto"/>
              </w:rPr>
            </w:pPr>
            <w:r>
              <w:rPr>
                <w:rFonts w:ascii="Arial" w:cs="Arial" w:eastAsia="Arial" w:hAnsi="Arial"/>
                <w:sz w:val="16"/>
                <w:szCs w:val="16"/>
                <w:color w:val="262626"/>
              </w:rPr>
              <w:t>•  Value awarded above the competitive market median to incentivize</w:t>
            </w:r>
          </w:p>
        </w:tc>
      </w:tr>
      <w:tr>
        <w:trPr>
          <w:trHeight w:val="255"/>
        </w:trPr>
        <w:tc>
          <w:tcPr>
            <w:tcW w:w="2700" w:type="dxa"/>
            <w:vAlign w:val="bottom"/>
            <w:tcBorders>
              <w:right w:val="single" w:sz="8" w:color="CF0A2C"/>
            </w:tcBorders>
          </w:tcPr>
          <w:p>
            <w:pPr>
              <w:spacing w:after="0"/>
              <w:rPr>
                <w:sz w:val="22"/>
                <w:szCs w:val="22"/>
                <w:color w:val="auto"/>
              </w:rPr>
            </w:pPr>
          </w:p>
        </w:tc>
        <w:tc>
          <w:tcPr>
            <w:tcW w:w="6000" w:type="dxa"/>
            <w:vAlign w:val="bottom"/>
          </w:tcPr>
          <w:p>
            <w:pPr>
              <w:ind w:left="340"/>
              <w:spacing w:after="0"/>
              <w:rPr>
                <w:sz w:val="20"/>
                <w:szCs w:val="20"/>
                <w:color w:val="auto"/>
              </w:rPr>
            </w:pPr>
            <w:r>
              <w:rPr>
                <w:rFonts w:ascii="Arial" w:cs="Arial" w:eastAsia="Arial" w:hAnsi="Arial"/>
                <w:sz w:val="16"/>
                <w:szCs w:val="16"/>
                <w:color w:val="262626"/>
              </w:rPr>
              <w:t>outperformance and achievement of challenging and rigorous performance</w:t>
            </w:r>
          </w:p>
        </w:tc>
      </w:tr>
      <w:tr>
        <w:trPr>
          <w:trHeight w:val="255"/>
        </w:trPr>
        <w:tc>
          <w:tcPr>
            <w:tcW w:w="2700" w:type="dxa"/>
            <w:vAlign w:val="bottom"/>
            <w:tcBorders>
              <w:right w:val="single" w:sz="8" w:color="CF0A2C"/>
            </w:tcBorders>
          </w:tcPr>
          <w:p>
            <w:pPr>
              <w:spacing w:after="0"/>
              <w:rPr>
                <w:sz w:val="22"/>
                <w:szCs w:val="22"/>
                <w:color w:val="auto"/>
              </w:rPr>
            </w:pPr>
          </w:p>
        </w:tc>
        <w:tc>
          <w:tcPr>
            <w:tcW w:w="6000" w:type="dxa"/>
            <w:vAlign w:val="bottom"/>
          </w:tcPr>
          <w:p>
            <w:pPr>
              <w:ind w:left="340"/>
              <w:spacing w:after="0"/>
              <w:rPr>
                <w:sz w:val="20"/>
                <w:szCs w:val="20"/>
                <w:color w:val="auto"/>
              </w:rPr>
            </w:pPr>
            <w:r>
              <w:rPr>
                <w:rFonts w:ascii="Arial" w:cs="Arial" w:eastAsia="Arial" w:hAnsi="Arial"/>
                <w:sz w:val="16"/>
                <w:szCs w:val="16"/>
                <w:color w:val="262626"/>
              </w:rPr>
              <w:t>goals aligned with stockholder interests</w:t>
            </w:r>
          </w:p>
        </w:tc>
      </w:tr>
      <w:tr>
        <w:trPr>
          <w:trHeight w:val="322"/>
        </w:trPr>
        <w:tc>
          <w:tcPr>
            <w:tcW w:w="2700" w:type="dxa"/>
            <w:vAlign w:val="bottom"/>
            <w:tcBorders>
              <w:right w:val="single" w:sz="8" w:color="CF0A2C"/>
            </w:tcBorders>
          </w:tcPr>
          <w:p>
            <w:pPr>
              <w:spacing w:after="0"/>
              <w:rPr>
                <w:sz w:val="24"/>
                <w:szCs w:val="24"/>
                <w:color w:val="auto"/>
              </w:rPr>
            </w:pPr>
          </w:p>
        </w:tc>
        <w:tc>
          <w:tcPr>
            <w:tcW w:w="6000" w:type="dxa"/>
            <w:vAlign w:val="bottom"/>
          </w:tcPr>
          <w:p>
            <w:pPr>
              <w:ind w:left="80"/>
              <w:spacing w:after="0"/>
              <w:rPr>
                <w:sz w:val="20"/>
                <w:szCs w:val="20"/>
                <w:color w:val="auto"/>
              </w:rPr>
            </w:pPr>
            <w:r>
              <w:rPr>
                <w:rFonts w:ascii="Arial" w:cs="Arial" w:eastAsia="Arial" w:hAnsi="Arial"/>
                <w:sz w:val="16"/>
                <w:szCs w:val="16"/>
                <w:color w:val="262626"/>
              </w:rPr>
              <w:t>•  Actual pay delivered linked to stockholder outcomes with corresponding</w:t>
            </w:r>
          </w:p>
        </w:tc>
      </w:tr>
      <w:tr>
        <w:trPr>
          <w:trHeight w:val="270"/>
        </w:trPr>
        <w:tc>
          <w:tcPr>
            <w:tcW w:w="2700" w:type="dxa"/>
            <w:vAlign w:val="bottom"/>
            <w:tcBorders>
              <w:right w:val="single" w:sz="8" w:color="CF0A2C"/>
            </w:tcBorders>
          </w:tcPr>
          <w:p>
            <w:pPr>
              <w:spacing w:after="0"/>
              <w:rPr>
                <w:sz w:val="23"/>
                <w:szCs w:val="23"/>
                <w:color w:val="auto"/>
              </w:rPr>
            </w:pPr>
          </w:p>
        </w:tc>
        <w:tc>
          <w:tcPr>
            <w:tcW w:w="6000" w:type="dxa"/>
            <w:vAlign w:val="bottom"/>
          </w:tcPr>
          <w:p>
            <w:pPr>
              <w:ind w:left="340"/>
              <w:spacing w:after="0"/>
              <w:rPr>
                <w:sz w:val="20"/>
                <w:szCs w:val="20"/>
                <w:color w:val="auto"/>
              </w:rPr>
            </w:pPr>
            <w:r>
              <w:rPr>
                <w:rFonts w:ascii="Arial" w:cs="Arial" w:eastAsia="Arial" w:hAnsi="Arial"/>
                <w:sz w:val="16"/>
                <w:szCs w:val="16"/>
                <w:color w:val="262626"/>
              </w:rPr>
              <w:t>performance leverage and risk</w:t>
            </w:r>
          </w:p>
        </w:tc>
      </w:tr>
    </w:tbl>
    <w:p>
      <w:pPr>
        <w:spacing w:after="0" w:line="21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Fiscal 2025 Total Compensation Components</w:t>
      </w:r>
    </w:p>
    <w:p>
      <w:pPr>
        <w:spacing w:after="0" w:line="215"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Target total compensation consists of (i) base salary, (ii) target STI under the Annual Performance Bonus Plan (“APB Plan”) and (iii) target LTI in the form of RSU and PSU awards based on the fair market value on the grant date (assuming target performance level attainment), as applicable.</w:t>
      </w:r>
    </w:p>
    <w:p>
      <w:pPr>
        <w:spacing w:after="0" w:line="57" w:lineRule="exact"/>
        <w:rPr>
          <w:sz w:val="20"/>
          <w:szCs w:val="20"/>
          <w:color w:val="auto"/>
        </w:rPr>
      </w:pPr>
    </w:p>
    <w:p>
      <w:pPr>
        <w:jc w:val="both"/>
        <w:ind w:left="1280" w:right="159"/>
        <w:spacing w:after="0" w:line="337" w:lineRule="auto"/>
        <w:rPr>
          <w:sz w:val="20"/>
          <w:szCs w:val="20"/>
          <w:color w:val="auto"/>
        </w:rPr>
      </w:pPr>
      <w:r>
        <w:rPr>
          <w:rFonts w:ascii="Arial" w:cs="Arial" w:eastAsia="Arial" w:hAnsi="Arial"/>
          <w:sz w:val="16"/>
          <w:szCs w:val="16"/>
          <w:color w:val="262626"/>
        </w:rPr>
        <w:t>Mr. Tan received a front-loaded PSU award in fiscal 2023 that covers five years of annual STI payouts and five years of annual equity awards, including for fiscal 2025 (the “2023 Tan PSU Award”). Accordingly, Mr. Tan did not receive an annual cash incentive payout under the APB Plan for fiscal 2025. In fiscal 2025, Mr. Tan received the 2025 Tan PSU Award (as defined below), which covers his annual LTI for fiscal 2028 through fiscal 2030. The LTI component of the CEO chart below reflects the annualized value of the 2023 Tan PSU Award assuming target performance level attainment.</w:t>
      </w:r>
    </w:p>
    <w:p>
      <w:pPr>
        <w:spacing w:after="0" w:line="77"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Dr. Kawwas did not receive an annual equity award in fiscal 2025 because he received a front-loaded PSU award in fiscal 2023 that covers five years of his annual equity awards (the “2023 Kawwas PSU Award”). The LTI component of the Other NEOs Average chart below reflects the annualized value of the 2023 Kawwas PSU Award assuming target performance level attainment. In addition, the Other NEOs Average chart below reflects the target LTI value of Ms. Spears’ and Mr. Brazeal’s annual equity awards that commenced vesting in fiscal 2025.</w:t>
      </w:r>
    </w:p>
    <w:p>
      <w:pPr>
        <w:spacing w:after="0" w:line="79"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As shown in the charts below, 96% of our CEO’s and 95% of our other NEOs’ average annualized target total compensation in fiscal 2025 is comprised of variable compensation, with a majority tied to long-term stock price performance (based on the annualized value of their equity awards and assuming target performance level attainment).</w:t>
      </w:r>
    </w:p>
    <w:p>
      <w:pPr>
        <w:spacing w:after="0" w:line="200" w:lineRule="exact"/>
        <w:rPr>
          <w:sz w:val="20"/>
          <w:szCs w:val="20"/>
          <w:color w:val="auto"/>
        </w:rPr>
      </w:pPr>
    </w:p>
    <w:p>
      <w:pPr>
        <w:spacing w:after="0" w:line="327" w:lineRule="exact"/>
        <w:rPr>
          <w:sz w:val="20"/>
          <w:szCs w:val="20"/>
          <w:color w:val="auto"/>
        </w:rPr>
      </w:pPr>
    </w:p>
    <w:p>
      <w:pPr>
        <w:ind w:left="1660"/>
        <w:spacing w:after="0"/>
        <w:rPr>
          <w:sz w:val="20"/>
          <w:szCs w:val="20"/>
          <w:color w:val="auto"/>
        </w:rPr>
      </w:pPr>
      <w:r>
        <w:rPr>
          <w:sz w:val="1"/>
          <w:szCs w:val="1"/>
          <w:color w:val="auto"/>
        </w:rPr>
        <w:drawing>
          <wp:inline distT="0" distB="0" distL="0" distR="0">
            <wp:extent cx="4840605" cy="142303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40605" cy="142303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w:t>
      </w:r>
    </w:p>
    <w:p>
      <w:pPr>
        <w:sectPr>
          <w:pgSz w:w="11900" w:h="16838" w:orient="portrait"/>
          <w:cols w:equalWidth="0" w:num="1">
            <w:col w:w="10139"/>
          </w:cols>
          <w:pgMar w:left="320" w:top="479" w:right="1440" w:bottom="1440" w:gutter="0" w:footer="0" w:header="0"/>
        </w:sectPr>
      </w:pPr>
    </w:p>
    <w:p>
      <w:pPr>
        <w:spacing w:after="0" w:line="138"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43"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Compensation Philosophy and Objectives</w:t>
      </w:r>
    </w:p>
    <w:p>
      <w:pPr>
        <w:spacing w:after="0" w:line="202"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Our executive compensation program does not follow a “one-size-fits-all” approach as the Compensation Committee and our Board believe an effective compensation program should be designed to effectively support Broadcom’s growth opportunities to deliver sustained stockholder value. Our compensation philosophy prioritizes long-term value creation over short-term gains, and we believe our distinctive approach in granting multi-year equity awards continues to be highly effective in achieving these goals. Attracting, motivating and retaining critical talent are crucial for Broadcom’s ongoing success, and thus, fundamental objectives of our executive compensation program. The philosophy and objectives below inform the design of our executive compensation program.</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Pay-for-Performance</w:t>
      </w:r>
    </w:p>
    <w:p>
      <w:pPr>
        <w:spacing w:after="0" w:line="176"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We encourage our executive officers to focus on the achievement of our challenging and rigorous pre-established corporate financial and operational performance goals and increasing stockholder value. We design our incentive compensation opportunities to reward the achievement of rigorous pre-established annual performance goals and long-term stockholder value creation, and to recognize the contributions and performance of each executive officer. Our primary focus for long-term equity awards is on actual pay delivered in relation to stockholder value creation, with accounting grant date fair value as a guideline for competitive alignment.</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Alignment with Stockholders</w:t>
      </w:r>
    </w:p>
    <w:p>
      <w:pPr>
        <w:spacing w:after="0" w:line="176"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We align the interests of our executive officers with those of our stockholders by linking a majority of target total compensation opportunity to stockholder returns in the form of PSU awards that are subject to the attainment of pre-established performance-based objectives. For our CEO and, since fiscal 2023, our President, Semiconductor Solutions Group, all of their equity awards are in the form of PSU awards. For our other NEOs, half of their equity awards are in the form of PSU awards at target and the other half are in the form of RSU awards, where the delivered value fluctuates based on our stock price performance.</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Attract, Motivate and Retain</w:t>
      </w:r>
    </w:p>
    <w:p>
      <w:pPr>
        <w:spacing w:after="0" w:line="163"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Broadcom operates in the extremely competitive Silicon Valley region for executive talent, particularly in the technology sector. Our executive compensation program is designed to contend in this highly competitive talent market to attract qualified, experienced and talented executive officers. We motivate, retain and reward these executive officers, whose skills, knowledge and performance are crucial to our ongoing success.</w:t>
      </w:r>
    </w:p>
    <w:p>
      <w:pPr>
        <w:spacing w:after="0" w:line="115"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Equity awards, especially multi-year equity awards, are a long-term retention tool for our executive officers. When granting equity awards or when recommending to the independent directors an equity award grant to our CEO, the Compensation Committee considers each executive officer’s role, criticality, responsibilities, experience, expertise and overall value to Broadcom, as well as how much unvested equity the executive officer holds as an indicator of retention risk.</w:t>
      </w:r>
    </w:p>
    <w:p>
      <w:pPr>
        <w:spacing w:after="0" w:line="101"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This pay-for-performance strategy keeps our executive officers and other employees in critical areas engaged and motivated, as evidenced by our global voluntary attrition rate of approximately 4.1% in fiscal 2025, which continues to be below the technology industry median of 10.1% (AON, 2025 Salary Increase and Turnover Study — First Edition, May 2025). This low global voluntary attrition rate has helped Broadcom become a leading technology company, achieve record financial results and deliver significant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127635</wp:posOffset>
            </wp:positionV>
            <wp:extent cx="3826510" cy="1943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26510" cy="194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60"/>
        <w:spacing w:after="0"/>
        <w:rPr>
          <w:sz w:val="20"/>
          <w:szCs w:val="20"/>
          <w:color w:val="auto"/>
        </w:rPr>
      </w:pPr>
      <w:r>
        <w:rPr>
          <w:rFonts w:ascii="Arial" w:cs="Arial" w:eastAsia="Arial" w:hAnsi="Arial"/>
          <w:sz w:val="14"/>
          <w:szCs w:val="14"/>
          <w:color w:val="262626"/>
        </w:rPr>
        <w:t>*Excludes employees who joined as a result of the VMware acquisition.</w:t>
      </w:r>
    </w:p>
    <w:p>
      <w:pPr>
        <w:sectPr>
          <w:pgSz w:w="11900" w:h="16838" w:orient="portrait"/>
          <w:cols w:equalWidth="0" w:num="1">
            <w:col w:w="10139"/>
          </w:cols>
          <w:pgMar w:left="320" w:top="479" w:right="1440" w:bottom="1026" w:gutter="0" w:footer="0" w:header="0"/>
        </w:sectPr>
      </w:pPr>
    </w:p>
    <w:p>
      <w:pPr>
        <w:spacing w:after="0" w:line="140"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768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5155" cy="76835"/>
                    </a:xfrm>
                    <a:prstGeom prst="rect">
                      <a:avLst/>
                    </a:prstGeom>
                    <a:noFill/>
                  </pic:spPr>
                </pic:pic>
              </a:graphicData>
            </a:graphic>
          </wp:anchor>
        </w:drawing>
      </w:r>
    </w:p>
    <w:p>
      <w:pPr>
        <w:sectPr>
          <w:pgSz w:w="11900" w:h="16838" w:orient="portrait"/>
          <w:cols w:equalWidth="0" w:num="1">
            <w:col w:w="10139"/>
          </w:cols>
          <w:pgMar w:left="320" w:top="479" w:right="1440" w:bottom="1026"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43"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Executive Compensation Governance</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The table below highlights our key executive compensation program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130810</wp:posOffset>
            </wp:positionV>
            <wp:extent cx="55225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306"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4340" w:type="dxa"/>
            <w:vAlign w:val="bottom"/>
          </w:tcPr>
          <w:p>
            <w:pPr>
              <w:spacing w:after="0"/>
              <w:rPr>
                <w:sz w:val="20"/>
                <w:szCs w:val="20"/>
                <w:color w:val="auto"/>
              </w:rPr>
            </w:pPr>
            <w:r>
              <w:rPr>
                <w:rFonts w:ascii="Arial" w:cs="Arial" w:eastAsia="Arial" w:hAnsi="Arial"/>
                <w:sz w:val="16"/>
                <w:szCs w:val="16"/>
                <w:b w:val="1"/>
                <w:bCs w:val="1"/>
                <w:color w:val="262626"/>
              </w:rPr>
              <w:t>Practices We Employ</w:t>
            </w:r>
          </w:p>
        </w:tc>
        <w:tc>
          <w:tcPr>
            <w:tcW w:w="4360" w:type="dxa"/>
            <w:vAlign w:val="bottom"/>
          </w:tcPr>
          <w:p>
            <w:pPr>
              <w:ind w:left="160"/>
              <w:spacing w:after="0"/>
              <w:rPr>
                <w:sz w:val="20"/>
                <w:szCs w:val="20"/>
                <w:color w:val="auto"/>
              </w:rPr>
            </w:pPr>
            <w:r>
              <w:rPr>
                <w:rFonts w:ascii="Arial" w:cs="Arial" w:eastAsia="Arial" w:hAnsi="Arial"/>
                <w:sz w:val="16"/>
                <w:szCs w:val="16"/>
                <w:b w:val="1"/>
                <w:bCs w:val="1"/>
                <w:color w:val="262626"/>
              </w:rPr>
              <w:t>Practices We Do Not Employ</w:t>
            </w:r>
          </w:p>
        </w:tc>
      </w:tr>
      <w:tr>
        <w:trPr>
          <w:trHeight w:val="88"/>
        </w:trPr>
        <w:tc>
          <w:tcPr>
            <w:tcW w:w="4340" w:type="dxa"/>
            <w:vAlign w:val="bottom"/>
            <w:tcBorders>
              <w:bottom w:val="single" w:sz="8" w:color="CF0A2C"/>
            </w:tcBorders>
          </w:tcPr>
          <w:p>
            <w:pPr>
              <w:spacing w:after="0"/>
              <w:rPr>
                <w:sz w:val="7"/>
                <w:szCs w:val="7"/>
                <w:color w:val="auto"/>
              </w:rPr>
            </w:pPr>
          </w:p>
        </w:tc>
        <w:tc>
          <w:tcPr>
            <w:tcW w:w="4360" w:type="dxa"/>
            <w:vAlign w:val="bottom"/>
            <w:tcBorders>
              <w:bottom w:val="single" w:sz="8" w:color="CF0A2C"/>
            </w:tcBorders>
          </w:tcPr>
          <w:p>
            <w:pPr>
              <w:spacing w:after="0"/>
              <w:rPr>
                <w:sz w:val="7"/>
                <w:szCs w:val="7"/>
                <w:color w:val="auto"/>
              </w:rPr>
            </w:pPr>
          </w:p>
        </w:tc>
      </w:tr>
      <w:tr>
        <w:trPr>
          <w:trHeight w:val="295"/>
        </w:trPr>
        <w:tc>
          <w:tcPr>
            <w:tcW w:w="4340" w:type="dxa"/>
            <w:vAlign w:val="bottom"/>
          </w:tcPr>
          <w:p>
            <w:pPr>
              <w:spacing w:after="0" w:line="207" w:lineRule="exact"/>
              <w:rPr>
                <w:sz w:val="20"/>
                <w:szCs w:val="20"/>
                <w:color w:val="auto"/>
              </w:rPr>
            </w:pPr>
            <w:r>
              <w:rPr>
                <w:rFonts w:ascii="MS PGothic" w:cs="MS PGothic" w:eastAsia="MS PGothic" w:hAnsi="MS PGothic"/>
                <w:sz w:val="18"/>
                <w:szCs w:val="18"/>
                <w:color w:val="CF0A2C"/>
              </w:rPr>
              <w:t>✔</w:t>
            </w:r>
            <w:r>
              <w:rPr>
                <w:rFonts w:ascii="Arial" w:cs="Arial" w:eastAsia="Arial" w:hAnsi="Arial"/>
                <w:sz w:val="18"/>
                <w:szCs w:val="18"/>
                <w:color w:val="CF0A2C"/>
              </w:rPr>
              <w:t xml:space="preserve">   </w:t>
            </w:r>
            <w:r>
              <w:rPr>
                <w:rFonts w:ascii="Arial" w:cs="Arial" w:eastAsia="Arial" w:hAnsi="Arial"/>
                <w:sz w:val="16"/>
                <w:szCs w:val="16"/>
                <w:color w:val="262626"/>
              </w:rPr>
              <w:t>Pay-for-performance compensation philosophy</w:t>
            </w:r>
          </w:p>
        </w:tc>
        <w:tc>
          <w:tcPr>
            <w:tcW w:w="4360" w:type="dxa"/>
            <w:vAlign w:val="bottom"/>
          </w:tcPr>
          <w:p>
            <w:pPr>
              <w:ind w:left="160"/>
              <w:spacing w:after="0"/>
              <w:rPr>
                <w:sz w:val="20"/>
                <w:szCs w:val="20"/>
                <w:color w:val="auto"/>
              </w:rPr>
            </w:pPr>
            <w:r>
              <w:rPr>
                <w:rFonts w:ascii="Arial" w:cs="Arial" w:eastAsia="Arial" w:hAnsi="Arial"/>
                <w:sz w:val="14"/>
                <w:szCs w:val="14"/>
                <w:b w:val="1"/>
                <w:bCs w:val="1"/>
                <w:color w:val="CF0A2C"/>
              </w:rPr>
              <w:t>X</w:t>
            </w:r>
            <w:r>
              <w:rPr>
                <w:rFonts w:ascii="Arial" w:cs="Arial" w:eastAsia="Arial" w:hAnsi="Arial"/>
                <w:sz w:val="17"/>
                <w:szCs w:val="17"/>
                <w:b w:val="1"/>
                <w:bCs w:val="1"/>
                <w:color w:val="CF0A2C"/>
              </w:rPr>
              <w:t xml:space="preserve"> </w:t>
            </w:r>
            <w:r>
              <w:rPr>
                <w:rFonts w:ascii="Arial" w:cs="Arial" w:eastAsia="Arial" w:hAnsi="Arial"/>
                <w:sz w:val="14"/>
                <w:szCs w:val="14"/>
                <w:b w:val="1"/>
                <w:bCs w:val="1"/>
                <w:color w:val="CF0A2C"/>
              </w:rPr>
              <w:t xml:space="preserve">  </w:t>
            </w:r>
            <w:r>
              <w:rPr>
                <w:rFonts w:ascii="Arial" w:cs="Arial" w:eastAsia="Arial" w:hAnsi="Arial"/>
                <w:sz w:val="16"/>
                <w:szCs w:val="16"/>
                <w:color w:val="262626"/>
              </w:rPr>
              <w:t>No excessive risk-taking in incentive plan designs</w:t>
            </w:r>
          </w:p>
        </w:tc>
      </w:tr>
      <w:tr>
        <w:trPr>
          <w:trHeight w:val="344"/>
        </w:trPr>
        <w:tc>
          <w:tcPr>
            <w:tcW w:w="4340" w:type="dxa"/>
            <w:vAlign w:val="bottom"/>
          </w:tcPr>
          <w:p>
            <w:pPr>
              <w:spacing w:after="0" w:line="207" w:lineRule="exact"/>
              <w:rPr>
                <w:sz w:val="20"/>
                <w:szCs w:val="20"/>
                <w:color w:val="auto"/>
              </w:rPr>
            </w:pPr>
            <w:r>
              <w:rPr>
                <w:rFonts w:ascii="MS PGothic" w:cs="MS PGothic" w:eastAsia="MS PGothic" w:hAnsi="MS PGothic"/>
                <w:sz w:val="18"/>
                <w:szCs w:val="18"/>
                <w:color w:val="CF0A2C"/>
              </w:rPr>
              <w:t>✔</w:t>
            </w:r>
            <w:r>
              <w:rPr>
                <w:rFonts w:ascii="Arial" w:cs="Arial" w:eastAsia="Arial" w:hAnsi="Arial"/>
                <w:sz w:val="18"/>
                <w:szCs w:val="18"/>
                <w:color w:val="CF0A2C"/>
              </w:rPr>
              <w:t xml:space="preserve">   </w:t>
            </w:r>
            <w:r>
              <w:rPr>
                <w:rFonts w:ascii="Arial" w:cs="Arial" w:eastAsia="Arial" w:hAnsi="Arial"/>
                <w:sz w:val="16"/>
                <w:szCs w:val="16"/>
                <w:color w:val="262626"/>
              </w:rPr>
              <w:t>Majority of NEO compensation at risk and tied to long-</w:t>
            </w:r>
          </w:p>
        </w:tc>
        <w:tc>
          <w:tcPr>
            <w:tcW w:w="4360" w:type="dxa"/>
            <w:vAlign w:val="bottom"/>
          </w:tcPr>
          <w:p>
            <w:pPr>
              <w:ind w:left="160"/>
              <w:spacing w:after="0"/>
              <w:rPr>
                <w:sz w:val="20"/>
                <w:szCs w:val="20"/>
                <w:color w:val="auto"/>
              </w:rPr>
            </w:pPr>
            <w:r>
              <w:rPr>
                <w:rFonts w:ascii="Arial" w:cs="Arial" w:eastAsia="Arial" w:hAnsi="Arial"/>
                <w:sz w:val="14"/>
                <w:szCs w:val="14"/>
                <w:b w:val="1"/>
                <w:bCs w:val="1"/>
                <w:color w:val="CF0A2C"/>
              </w:rPr>
              <w:t>X</w:t>
            </w:r>
            <w:r>
              <w:rPr>
                <w:rFonts w:ascii="Arial" w:cs="Arial" w:eastAsia="Arial" w:hAnsi="Arial"/>
                <w:sz w:val="17"/>
                <w:szCs w:val="17"/>
                <w:b w:val="1"/>
                <w:bCs w:val="1"/>
                <w:color w:val="CF0A2C"/>
              </w:rPr>
              <w:t xml:space="preserve"> </w:t>
            </w:r>
            <w:r>
              <w:rPr>
                <w:rFonts w:ascii="Arial" w:cs="Arial" w:eastAsia="Arial" w:hAnsi="Arial"/>
                <w:sz w:val="14"/>
                <w:szCs w:val="14"/>
                <w:b w:val="1"/>
                <w:bCs w:val="1"/>
                <w:color w:val="CF0A2C"/>
              </w:rPr>
              <w:t xml:space="preserve">  </w:t>
            </w:r>
            <w:r>
              <w:rPr>
                <w:rFonts w:ascii="Arial" w:cs="Arial" w:eastAsia="Arial" w:hAnsi="Arial"/>
                <w:sz w:val="16"/>
                <w:szCs w:val="16"/>
                <w:color w:val="262626"/>
              </w:rPr>
              <w:t>No re-pricing of underwater stock options without</w:t>
            </w:r>
          </w:p>
        </w:tc>
      </w:tr>
      <w:tr>
        <w:trPr>
          <w:trHeight w:val="225"/>
        </w:trPr>
        <w:tc>
          <w:tcPr>
            <w:tcW w:w="4340" w:type="dxa"/>
            <w:vAlign w:val="bottom"/>
          </w:tcPr>
          <w:p>
            <w:pPr>
              <w:ind w:left="340"/>
              <w:spacing w:after="0"/>
              <w:rPr>
                <w:sz w:val="20"/>
                <w:szCs w:val="20"/>
                <w:color w:val="auto"/>
              </w:rPr>
            </w:pPr>
            <w:r>
              <w:rPr>
                <w:rFonts w:ascii="Arial" w:cs="Arial" w:eastAsia="Arial" w:hAnsi="Arial"/>
                <w:sz w:val="16"/>
                <w:szCs w:val="16"/>
                <w:color w:val="262626"/>
              </w:rPr>
              <w:t>term performance</w:t>
            </w:r>
          </w:p>
        </w:tc>
        <w:tc>
          <w:tcPr>
            <w:tcW w:w="4360" w:type="dxa"/>
            <w:vAlign w:val="bottom"/>
          </w:tcPr>
          <w:p>
            <w:pPr>
              <w:ind w:left="440"/>
              <w:spacing w:after="0"/>
              <w:rPr>
                <w:sz w:val="20"/>
                <w:szCs w:val="20"/>
                <w:color w:val="auto"/>
              </w:rPr>
            </w:pPr>
            <w:r>
              <w:rPr>
                <w:rFonts w:ascii="Arial" w:cs="Arial" w:eastAsia="Arial" w:hAnsi="Arial"/>
                <w:sz w:val="16"/>
                <w:szCs w:val="16"/>
                <w:color w:val="262626"/>
              </w:rPr>
              <w:t>stockholder approval</w:t>
            </w:r>
          </w:p>
        </w:tc>
      </w:tr>
      <w:tr>
        <w:trPr>
          <w:trHeight w:val="379"/>
        </w:trPr>
        <w:tc>
          <w:tcPr>
            <w:tcW w:w="4340" w:type="dxa"/>
            <w:vAlign w:val="bottom"/>
          </w:tcPr>
          <w:p>
            <w:pPr>
              <w:spacing w:after="0" w:line="207" w:lineRule="exact"/>
              <w:rPr>
                <w:sz w:val="20"/>
                <w:szCs w:val="20"/>
                <w:color w:val="auto"/>
              </w:rPr>
            </w:pPr>
            <w:r>
              <w:rPr>
                <w:rFonts w:ascii="MS PGothic" w:cs="MS PGothic" w:eastAsia="MS PGothic" w:hAnsi="MS PGothic"/>
                <w:sz w:val="18"/>
                <w:szCs w:val="18"/>
                <w:color w:val="CF0A2C"/>
              </w:rPr>
              <w:t>✔</w:t>
            </w:r>
            <w:r>
              <w:rPr>
                <w:rFonts w:ascii="Arial" w:cs="Arial" w:eastAsia="Arial" w:hAnsi="Arial"/>
                <w:sz w:val="18"/>
                <w:szCs w:val="18"/>
                <w:color w:val="CF0A2C"/>
              </w:rPr>
              <w:t xml:space="preserve">   </w:t>
            </w:r>
            <w:r>
              <w:rPr>
                <w:rFonts w:ascii="Arial" w:cs="Arial" w:eastAsia="Arial" w:hAnsi="Arial"/>
                <w:sz w:val="16"/>
                <w:szCs w:val="16"/>
                <w:color w:val="262626"/>
              </w:rPr>
              <w:t>Rigorous performance metrics directly tied to value</w:t>
            </w:r>
          </w:p>
        </w:tc>
        <w:tc>
          <w:tcPr>
            <w:tcW w:w="4360" w:type="dxa"/>
            <w:vAlign w:val="bottom"/>
          </w:tcPr>
          <w:p>
            <w:pPr>
              <w:ind w:left="160"/>
              <w:spacing w:after="0"/>
              <w:rPr>
                <w:sz w:val="20"/>
                <w:szCs w:val="20"/>
                <w:color w:val="auto"/>
              </w:rPr>
            </w:pPr>
            <w:r>
              <w:rPr>
                <w:rFonts w:ascii="Arial" w:cs="Arial" w:eastAsia="Arial" w:hAnsi="Arial"/>
                <w:sz w:val="14"/>
                <w:szCs w:val="14"/>
                <w:b w:val="1"/>
                <w:bCs w:val="1"/>
                <w:color w:val="CF0A2C"/>
              </w:rPr>
              <w:t>X</w:t>
            </w:r>
            <w:r>
              <w:rPr>
                <w:rFonts w:ascii="Arial" w:cs="Arial" w:eastAsia="Arial" w:hAnsi="Arial"/>
                <w:sz w:val="17"/>
                <w:szCs w:val="17"/>
                <w:b w:val="1"/>
                <w:bCs w:val="1"/>
                <w:color w:val="CF0A2C"/>
              </w:rPr>
              <w:t xml:space="preserve"> </w:t>
            </w:r>
            <w:r>
              <w:rPr>
                <w:rFonts w:ascii="Arial" w:cs="Arial" w:eastAsia="Arial" w:hAnsi="Arial"/>
                <w:sz w:val="14"/>
                <w:szCs w:val="14"/>
                <w:b w:val="1"/>
                <w:bCs w:val="1"/>
                <w:color w:val="CF0A2C"/>
              </w:rPr>
              <w:t xml:space="preserve">  </w:t>
            </w:r>
            <w:r>
              <w:rPr>
                <w:rFonts w:ascii="Arial" w:cs="Arial" w:eastAsia="Arial" w:hAnsi="Arial"/>
                <w:sz w:val="16"/>
                <w:szCs w:val="16"/>
                <w:color w:val="262626"/>
              </w:rPr>
              <w:t>No excise tax gross-ups</w:t>
            </w:r>
          </w:p>
        </w:tc>
      </w:tr>
      <w:tr>
        <w:trPr>
          <w:trHeight w:val="225"/>
        </w:trPr>
        <w:tc>
          <w:tcPr>
            <w:tcW w:w="4340" w:type="dxa"/>
            <w:vAlign w:val="bottom"/>
          </w:tcPr>
          <w:p>
            <w:pPr>
              <w:ind w:left="340"/>
              <w:spacing w:after="0"/>
              <w:rPr>
                <w:sz w:val="20"/>
                <w:szCs w:val="20"/>
                <w:color w:val="auto"/>
              </w:rPr>
            </w:pPr>
            <w:r>
              <w:rPr>
                <w:rFonts w:ascii="Arial" w:cs="Arial" w:eastAsia="Arial" w:hAnsi="Arial"/>
                <w:sz w:val="16"/>
                <w:szCs w:val="16"/>
                <w:color w:val="262626"/>
              </w:rPr>
              <w:t>creation for stockholders</w:t>
            </w:r>
          </w:p>
        </w:tc>
        <w:tc>
          <w:tcPr>
            <w:tcW w:w="4360" w:type="dxa"/>
            <w:vAlign w:val="bottom"/>
          </w:tcPr>
          <w:p>
            <w:pPr>
              <w:spacing w:after="0"/>
              <w:rPr>
                <w:sz w:val="19"/>
                <w:szCs w:val="19"/>
                <w:color w:val="auto"/>
              </w:rPr>
            </w:pPr>
          </w:p>
        </w:tc>
      </w:tr>
      <w:tr>
        <w:trPr>
          <w:trHeight w:val="379"/>
        </w:trPr>
        <w:tc>
          <w:tcPr>
            <w:tcW w:w="4340" w:type="dxa"/>
            <w:vAlign w:val="bottom"/>
          </w:tcPr>
          <w:p>
            <w:pPr>
              <w:spacing w:after="0" w:line="207" w:lineRule="exact"/>
              <w:rPr>
                <w:sz w:val="20"/>
                <w:szCs w:val="20"/>
                <w:color w:val="auto"/>
              </w:rPr>
            </w:pPr>
            <w:r>
              <w:rPr>
                <w:rFonts w:ascii="MS PGothic" w:cs="MS PGothic" w:eastAsia="MS PGothic" w:hAnsi="MS PGothic"/>
                <w:sz w:val="18"/>
                <w:szCs w:val="18"/>
                <w:color w:val="CF0A2C"/>
              </w:rPr>
              <w:t>✔</w:t>
            </w:r>
            <w:r>
              <w:rPr>
                <w:rFonts w:ascii="Arial" w:cs="Arial" w:eastAsia="Arial" w:hAnsi="Arial"/>
                <w:sz w:val="18"/>
                <w:szCs w:val="18"/>
                <w:color w:val="CF0A2C"/>
              </w:rPr>
              <w:t xml:space="preserve">   </w:t>
            </w:r>
            <w:r>
              <w:rPr>
                <w:rFonts w:ascii="Arial" w:cs="Arial" w:eastAsia="Arial" w:hAnsi="Arial"/>
                <w:sz w:val="16"/>
                <w:szCs w:val="16"/>
                <w:color w:val="262626"/>
              </w:rPr>
              <w:t>Caps on cash and equity incentive plan payouts</w:t>
            </w:r>
          </w:p>
        </w:tc>
        <w:tc>
          <w:tcPr>
            <w:tcW w:w="4360" w:type="dxa"/>
            <w:vAlign w:val="bottom"/>
          </w:tcPr>
          <w:p>
            <w:pPr>
              <w:ind w:left="160"/>
              <w:spacing w:after="0"/>
              <w:rPr>
                <w:sz w:val="20"/>
                <w:szCs w:val="20"/>
                <w:color w:val="auto"/>
              </w:rPr>
            </w:pPr>
            <w:r>
              <w:rPr>
                <w:rFonts w:ascii="Arial" w:cs="Arial" w:eastAsia="Arial" w:hAnsi="Arial"/>
                <w:sz w:val="14"/>
                <w:szCs w:val="14"/>
                <w:b w:val="1"/>
                <w:bCs w:val="1"/>
                <w:color w:val="CF0A2C"/>
              </w:rPr>
              <w:t>X</w:t>
            </w:r>
            <w:r>
              <w:rPr>
                <w:rFonts w:ascii="Arial" w:cs="Arial" w:eastAsia="Arial" w:hAnsi="Arial"/>
                <w:sz w:val="17"/>
                <w:szCs w:val="17"/>
                <w:b w:val="1"/>
                <w:bCs w:val="1"/>
                <w:color w:val="CF0A2C"/>
              </w:rPr>
              <w:t xml:space="preserve"> </w:t>
            </w:r>
            <w:r>
              <w:rPr>
                <w:rFonts w:ascii="Arial" w:cs="Arial" w:eastAsia="Arial" w:hAnsi="Arial"/>
                <w:sz w:val="14"/>
                <w:szCs w:val="14"/>
                <w:b w:val="1"/>
                <w:bCs w:val="1"/>
                <w:color w:val="CF0A2C"/>
              </w:rPr>
              <w:t xml:space="preserve">  </w:t>
            </w:r>
            <w:r>
              <w:rPr>
                <w:rFonts w:ascii="Arial" w:cs="Arial" w:eastAsia="Arial" w:hAnsi="Arial"/>
                <w:sz w:val="16"/>
                <w:szCs w:val="16"/>
                <w:color w:val="262626"/>
              </w:rPr>
              <w:t>No supplemental retirement or pension benefits</w:t>
            </w:r>
          </w:p>
        </w:tc>
      </w:tr>
      <w:tr>
        <w:trPr>
          <w:trHeight w:val="362"/>
        </w:trPr>
        <w:tc>
          <w:tcPr>
            <w:tcW w:w="4340" w:type="dxa"/>
            <w:vAlign w:val="bottom"/>
          </w:tcPr>
          <w:p>
            <w:pPr>
              <w:spacing w:after="0" w:line="207" w:lineRule="exact"/>
              <w:rPr>
                <w:sz w:val="20"/>
                <w:szCs w:val="20"/>
                <w:color w:val="auto"/>
              </w:rPr>
            </w:pPr>
            <w:r>
              <w:rPr>
                <w:rFonts w:ascii="MS PGothic" w:cs="MS PGothic" w:eastAsia="MS PGothic" w:hAnsi="MS PGothic"/>
                <w:sz w:val="18"/>
                <w:szCs w:val="18"/>
                <w:color w:val="CF0A2C"/>
              </w:rPr>
              <w:t>✔</w:t>
            </w:r>
            <w:r>
              <w:rPr>
                <w:rFonts w:ascii="Arial" w:cs="Arial" w:eastAsia="Arial" w:hAnsi="Arial"/>
                <w:sz w:val="18"/>
                <w:szCs w:val="18"/>
                <w:color w:val="CF0A2C"/>
              </w:rPr>
              <w:t xml:space="preserve">   </w:t>
            </w:r>
            <w:r>
              <w:rPr>
                <w:rFonts w:ascii="Arial" w:cs="Arial" w:eastAsia="Arial" w:hAnsi="Arial"/>
                <w:sz w:val="16"/>
                <w:szCs w:val="16"/>
                <w:color w:val="262626"/>
              </w:rPr>
              <w:t>Robust annual stockholder engagement led by</w:t>
            </w:r>
          </w:p>
        </w:tc>
        <w:tc>
          <w:tcPr>
            <w:tcW w:w="4360" w:type="dxa"/>
            <w:vAlign w:val="bottom"/>
          </w:tcPr>
          <w:p>
            <w:pPr>
              <w:ind w:left="160"/>
              <w:spacing w:after="0"/>
              <w:rPr>
                <w:sz w:val="20"/>
                <w:szCs w:val="20"/>
                <w:color w:val="auto"/>
              </w:rPr>
            </w:pPr>
            <w:r>
              <w:rPr>
                <w:rFonts w:ascii="Arial" w:cs="Arial" w:eastAsia="Arial" w:hAnsi="Arial"/>
                <w:sz w:val="14"/>
                <w:szCs w:val="14"/>
                <w:b w:val="1"/>
                <w:bCs w:val="1"/>
                <w:color w:val="CF0A2C"/>
              </w:rPr>
              <w:t>X</w:t>
            </w:r>
            <w:r>
              <w:rPr>
                <w:rFonts w:ascii="Arial" w:cs="Arial" w:eastAsia="Arial" w:hAnsi="Arial"/>
                <w:sz w:val="17"/>
                <w:szCs w:val="17"/>
                <w:b w:val="1"/>
                <w:bCs w:val="1"/>
                <w:color w:val="CF0A2C"/>
              </w:rPr>
              <w:t xml:space="preserve"> </w:t>
            </w:r>
            <w:r>
              <w:rPr>
                <w:rFonts w:ascii="Arial" w:cs="Arial" w:eastAsia="Arial" w:hAnsi="Arial"/>
                <w:sz w:val="14"/>
                <w:szCs w:val="14"/>
                <w:b w:val="1"/>
                <w:bCs w:val="1"/>
                <w:color w:val="CF0A2C"/>
              </w:rPr>
              <w:t xml:space="preserve">  </w:t>
            </w:r>
            <w:r>
              <w:rPr>
                <w:rFonts w:ascii="Arial" w:cs="Arial" w:eastAsia="Arial" w:hAnsi="Arial"/>
                <w:sz w:val="16"/>
                <w:szCs w:val="16"/>
                <w:color w:val="262626"/>
              </w:rPr>
              <w:t>No dividend equivalents on unearned RSUs / PSUs</w:t>
            </w:r>
          </w:p>
        </w:tc>
      </w:tr>
      <w:tr>
        <w:trPr>
          <w:trHeight w:val="225"/>
        </w:trPr>
        <w:tc>
          <w:tcPr>
            <w:tcW w:w="4340" w:type="dxa"/>
            <w:vAlign w:val="bottom"/>
          </w:tcPr>
          <w:p>
            <w:pPr>
              <w:ind w:left="340"/>
              <w:spacing w:after="0"/>
              <w:rPr>
                <w:sz w:val="20"/>
                <w:szCs w:val="20"/>
                <w:color w:val="auto"/>
              </w:rPr>
            </w:pPr>
            <w:r>
              <w:rPr>
                <w:rFonts w:ascii="Arial" w:cs="Arial" w:eastAsia="Arial" w:hAnsi="Arial"/>
                <w:sz w:val="16"/>
                <w:szCs w:val="16"/>
                <w:color w:val="262626"/>
              </w:rPr>
              <w:t>independent directors</w:t>
            </w:r>
          </w:p>
        </w:tc>
        <w:tc>
          <w:tcPr>
            <w:tcW w:w="4360" w:type="dxa"/>
            <w:vAlign w:val="bottom"/>
          </w:tcPr>
          <w:p>
            <w:pPr>
              <w:spacing w:after="0"/>
              <w:rPr>
                <w:sz w:val="19"/>
                <w:szCs w:val="19"/>
                <w:color w:val="auto"/>
              </w:rPr>
            </w:pPr>
          </w:p>
        </w:tc>
      </w:tr>
    </w:tbl>
    <w:p>
      <w:pPr>
        <w:spacing w:after="0" w:line="77" w:lineRule="exact"/>
        <w:rPr>
          <w:sz w:val="20"/>
          <w:szCs w:val="20"/>
          <w:color w:val="auto"/>
        </w:rPr>
      </w:pPr>
    </w:p>
    <w:p>
      <w:pPr>
        <w:sectPr>
          <w:pgSz w:w="11900" w:h="16838" w:orient="portrait"/>
          <w:cols w:equalWidth="0" w:num="1">
            <w:col w:w="10139"/>
          </w:cols>
          <w:pgMar w:left="320" w:top="479" w:right="1440" w:bottom="1440" w:gutter="0" w:footer="0" w:header="0"/>
        </w:sectPr>
      </w:pPr>
    </w:p>
    <w:p>
      <w:pPr>
        <w:ind w:left="1280"/>
        <w:spacing w:after="0" w:line="207" w:lineRule="exact"/>
        <w:rPr>
          <w:sz w:val="20"/>
          <w:szCs w:val="20"/>
          <w:color w:val="auto"/>
        </w:rPr>
      </w:pPr>
      <w:r>
        <w:rPr>
          <w:rFonts w:ascii="MS PGothic" w:cs="MS PGothic" w:eastAsia="MS PGothic" w:hAnsi="MS PGothic"/>
          <w:sz w:val="18"/>
          <w:szCs w:val="18"/>
          <w:color w:val="CF0A2C"/>
        </w:rPr>
        <w:t>✔</w:t>
      </w:r>
      <w:r>
        <w:rPr>
          <w:rFonts w:ascii="Arial" w:cs="Arial" w:eastAsia="Arial" w:hAnsi="Arial"/>
          <w:sz w:val="18"/>
          <w:szCs w:val="18"/>
          <w:color w:val="CF0A2C"/>
        </w:rPr>
        <w:t xml:space="preserve"> </w:t>
      </w:r>
    </w:p>
    <w:p>
      <w:pPr>
        <w:spacing w:after="0" w:line="397" w:lineRule="exact"/>
        <w:rPr>
          <w:sz w:val="20"/>
          <w:szCs w:val="20"/>
          <w:color w:val="auto"/>
        </w:rPr>
      </w:pPr>
    </w:p>
    <w:p>
      <w:pPr>
        <w:ind w:left="1280"/>
        <w:spacing w:after="0" w:line="207" w:lineRule="exact"/>
        <w:rPr>
          <w:sz w:val="20"/>
          <w:szCs w:val="20"/>
          <w:color w:val="auto"/>
        </w:rPr>
      </w:pPr>
      <w:r>
        <w:rPr>
          <w:rFonts w:ascii="MS PGothic" w:cs="MS PGothic" w:eastAsia="MS PGothic" w:hAnsi="MS PGothic"/>
          <w:sz w:val="18"/>
          <w:szCs w:val="18"/>
          <w:color w:val="CF0A2C"/>
        </w:rPr>
        <w:t>✔</w:t>
      </w:r>
      <w:r>
        <w:rPr>
          <w:rFonts w:ascii="Arial" w:cs="Arial" w:eastAsia="Arial" w:hAnsi="Arial"/>
          <w:sz w:val="18"/>
          <w:szCs w:val="18"/>
          <w:color w:val="CF0A2C"/>
        </w:rPr>
        <w:t xml:space="preserve"> </w:t>
      </w:r>
    </w:p>
    <w:p>
      <w:pPr>
        <w:spacing w:after="0" w:line="397" w:lineRule="exact"/>
        <w:rPr>
          <w:sz w:val="20"/>
          <w:szCs w:val="20"/>
          <w:color w:val="auto"/>
        </w:rPr>
      </w:pPr>
    </w:p>
    <w:p>
      <w:pPr>
        <w:ind w:left="1280"/>
        <w:spacing w:after="0" w:line="207" w:lineRule="exact"/>
        <w:rPr>
          <w:sz w:val="20"/>
          <w:szCs w:val="20"/>
          <w:color w:val="auto"/>
        </w:rPr>
      </w:pPr>
      <w:r>
        <w:rPr>
          <w:rFonts w:ascii="MS PGothic" w:cs="MS PGothic" w:eastAsia="MS PGothic" w:hAnsi="MS PGothic"/>
          <w:sz w:val="18"/>
          <w:szCs w:val="18"/>
          <w:color w:val="CF0A2C"/>
        </w:rPr>
        <w:t>✔</w:t>
      </w:r>
      <w:r>
        <w:rPr>
          <w:rFonts w:ascii="Arial" w:cs="Arial" w:eastAsia="Arial" w:hAnsi="Arial"/>
          <w:sz w:val="18"/>
          <w:szCs w:val="18"/>
          <w:color w:val="CF0A2C"/>
        </w:rPr>
        <w:t xml:space="preserve"> </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tabs>
          <w:tab w:leader="none" w:pos="4140" w:val="left"/>
        </w:tabs>
        <w:rPr>
          <w:sz w:val="20"/>
          <w:szCs w:val="20"/>
          <w:color w:val="auto"/>
        </w:rPr>
      </w:pPr>
      <w:r>
        <w:rPr>
          <w:rFonts w:ascii="Arial" w:cs="Arial" w:eastAsia="Arial" w:hAnsi="Arial"/>
          <w:sz w:val="16"/>
          <w:szCs w:val="16"/>
          <w:color w:val="262626"/>
        </w:rPr>
        <w:t>Annual risk assessment of compensation programs</w:t>
      </w:r>
      <w:r>
        <w:rPr>
          <w:sz w:val="20"/>
          <w:szCs w:val="20"/>
          <w:color w:val="auto"/>
        </w:rPr>
        <w:tab/>
      </w:r>
      <w:r>
        <w:rPr>
          <w:rFonts w:ascii="Arial" w:cs="Arial" w:eastAsia="Arial" w:hAnsi="Arial"/>
          <w:sz w:val="14"/>
          <w:szCs w:val="14"/>
          <w:b w:val="1"/>
          <w:bCs w:val="1"/>
          <w:color w:val="CF0A2C"/>
        </w:rPr>
        <w:t>X</w:t>
      </w:r>
      <w:r>
        <w:rPr>
          <w:rFonts w:ascii="Arial" w:cs="Arial" w:eastAsia="Arial" w:hAnsi="Arial"/>
          <w:sz w:val="17"/>
          <w:szCs w:val="17"/>
          <w:b w:val="1"/>
          <w:bCs w:val="1"/>
          <w:color w:val="CF0A2C"/>
        </w:rPr>
        <w:t xml:space="preserve"> </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262626"/>
        </w:rPr>
        <w:t>and practices</w:t>
      </w:r>
    </w:p>
    <w:p>
      <w:pPr>
        <w:spacing w:after="0" w:line="147" w:lineRule="exact"/>
        <w:rPr>
          <w:sz w:val="20"/>
          <w:szCs w:val="20"/>
          <w:color w:val="auto"/>
        </w:rPr>
      </w:pPr>
    </w:p>
    <w:p>
      <w:pPr>
        <w:spacing w:after="0"/>
        <w:tabs>
          <w:tab w:leader="none" w:pos="4140" w:val="left"/>
        </w:tabs>
        <w:rPr>
          <w:sz w:val="20"/>
          <w:szCs w:val="20"/>
          <w:color w:val="auto"/>
        </w:rPr>
      </w:pPr>
      <w:r>
        <w:rPr>
          <w:rFonts w:ascii="Arial" w:cs="Arial" w:eastAsia="Arial" w:hAnsi="Arial"/>
          <w:sz w:val="16"/>
          <w:szCs w:val="16"/>
          <w:color w:val="262626"/>
        </w:rPr>
        <w:t>Engagement of an independent compensation</w:t>
      </w:r>
      <w:r>
        <w:rPr>
          <w:sz w:val="20"/>
          <w:szCs w:val="20"/>
          <w:color w:val="auto"/>
        </w:rPr>
        <w:tab/>
      </w:r>
      <w:r>
        <w:rPr>
          <w:rFonts w:ascii="Arial" w:cs="Arial" w:eastAsia="Arial" w:hAnsi="Arial"/>
          <w:sz w:val="14"/>
          <w:szCs w:val="14"/>
          <w:b w:val="1"/>
          <w:bCs w:val="1"/>
          <w:color w:val="CF0A2C"/>
        </w:rPr>
        <w:t>X</w:t>
      </w:r>
      <w:r>
        <w:rPr>
          <w:rFonts w:ascii="Arial" w:cs="Arial" w:eastAsia="Arial" w:hAnsi="Arial"/>
          <w:sz w:val="17"/>
          <w:szCs w:val="17"/>
          <w:b w:val="1"/>
          <w:bCs w:val="1"/>
          <w:color w:val="CF0A2C"/>
        </w:rPr>
        <w:t xml:space="preserve"> </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262626"/>
        </w:rPr>
        <w:t>consultant</w:t>
      </w:r>
    </w:p>
    <w:p>
      <w:pPr>
        <w:spacing w:after="0" w:line="147" w:lineRule="exact"/>
        <w:rPr>
          <w:sz w:val="20"/>
          <w:szCs w:val="20"/>
          <w:color w:val="auto"/>
        </w:rPr>
      </w:pPr>
    </w:p>
    <w:p>
      <w:pPr>
        <w:spacing w:after="0"/>
        <w:tabs>
          <w:tab w:leader="none" w:pos="4140" w:val="left"/>
        </w:tabs>
        <w:rPr>
          <w:sz w:val="20"/>
          <w:szCs w:val="20"/>
          <w:color w:val="auto"/>
        </w:rPr>
      </w:pPr>
      <w:r>
        <w:rPr>
          <w:rFonts w:ascii="Arial" w:cs="Arial" w:eastAsia="Arial" w:hAnsi="Arial"/>
          <w:sz w:val="16"/>
          <w:szCs w:val="16"/>
          <w:color w:val="262626"/>
        </w:rPr>
        <w:t>CEO compensation reviewed and approved by</w:t>
      </w:r>
      <w:r>
        <w:rPr>
          <w:sz w:val="20"/>
          <w:szCs w:val="20"/>
          <w:color w:val="auto"/>
        </w:rPr>
        <w:tab/>
      </w:r>
      <w:r>
        <w:rPr>
          <w:rFonts w:ascii="Arial" w:cs="Arial" w:eastAsia="Arial" w:hAnsi="Arial"/>
          <w:sz w:val="14"/>
          <w:szCs w:val="14"/>
          <w:b w:val="1"/>
          <w:bCs w:val="1"/>
          <w:color w:val="CF0A2C"/>
        </w:rPr>
        <w:t>X</w:t>
      </w:r>
      <w:r>
        <w:rPr>
          <w:rFonts w:ascii="Arial" w:cs="Arial" w:eastAsia="Arial" w:hAnsi="Arial"/>
          <w:sz w:val="17"/>
          <w:szCs w:val="17"/>
          <w:b w:val="1"/>
          <w:bCs w:val="1"/>
          <w:color w:val="CF0A2C"/>
        </w:rPr>
        <w:t xml:space="preserve"> </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262626"/>
        </w:rPr>
        <w:t>independent directors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262626"/>
        </w:rPr>
        <w:t>No guaranteed bonuses</w:t>
      </w:r>
    </w:p>
    <w:p>
      <w:pPr>
        <w:spacing w:after="0" w:line="200" w:lineRule="exact"/>
        <w:rPr>
          <w:sz w:val="20"/>
          <w:szCs w:val="20"/>
          <w:color w:val="auto"/>
        </w:rPr>
      </w:pPr>
    </w:p>
    <w:p>
      <w:pPr>
        <w:spacing w:after="0" w:line="220" w:lineRule="exact"/>
        <w:rPr>
          <w:sz w:val="20"/>
          <w:szCs w:val="20"/>
          <w:color w:val="auto"/>
        </w:rPr>
      </w:pPr>
    </w:p>
    <w:p>
      <w:pPr>
        <w:ind w:right="599"/>
        <w:spacing w:after="0" w:line="353" w:lineRule="auto"/>
        <w:rPr>
          <w:sz w:val="20"/>
          <w:szCs w:val="20"/>
          <w:color w:val="auto"/>
        </w:rPr>
      </w:pPr>
      <w:r>
        <w:rPr>
          <w:rFonts w:ascii="Arial" w:cs="Arial" w:eastAsia="Arial" w:hAnsi="Arial"/>
          <w:sz w:val="16"/>
          <w:szCs w:val="16"/>
          <w:color w:val="262626"/>
        </w:rPr>
        <w:t>No “single trigger” change in control payments or benefits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262626"/>
        </w:rPr>
        <w:t>No excessive executive perquisites</w:t>
      </w:r>
    </w:p>
    <w:p>
      <w:pPr>
        <w:spacing w:after="0" w:line="348" w:lineRule="exact"/>
        <w:rPr>
          <w:sz w:val="20"/>
          <w:szCs w:val="20"/>
          <w:color w:val="auto"/>
        </w:rPr>
      </w:pPr>
    </w:p>
    <w:p>
      <w:pPr>
        <w:sectPr>
          <w:pgSz w:w="11900" w:h="16838" w:orient="portrait"/>
          <w:cols w:equalWidth="0" w:num="3">
            <w:col w:w="1480" w:space="140"/>
            <w:col w:w="4320" w:space="120"/>
            <w:col w:w="4079"/>
          </w:cols>
          <w:pgMar w:left="320" w:top="479" w:right="1440" w:bottom="1440" w:gutter="0" w:footer="0" w:header="0"/>
          <w:type w:val="continuous"/>
        </w:sectPr>
      </w:pPr>
    </w:p>
    <w:tbl>
      <w:tblPr>
        <w:tblLayout w:type="fixed"/>
        <w:tblInd w:w="1280" w:type="dxa"/>
        <w:tblCellMar>
          <w:top w:w="0" w:type="dxa"/>
          <w:left w:w="0" w:type="dxa"/>
          <w:bottom w:w="0" w:type="dxa"/>
          <w:right w:w="0" w:type="dxa"/>
        </w:tblCellMar>
      </w:tblPr>
      <w:tr>
        <w:trPr>
          <w:trHeight w:val="302"/>
        </w:trPr>
        <w:tc>
          <w:tcPr>
            <w:tcW w:w="260" w:type="dxa"/>
            <w:vAlign w:val="bottom"/>
          </w:tcPr>
          <w:p>
            <w:pPr>
              <w:spacing w:after="0" w:line="207" w:lineRule="exact"/>
              <w:rPr>
                <w:sz w:val="20"/>
                <w:szCs w:val="20"/>
                <w:color w:val="auto"/>
              </w:rPr>
            </w:pPr>
            <w:r>
              <w:rPr>
                <w:rFonts w:ascii="MS PGothic" w:cs="MS PGothic" w:eastAsia="MS PGothic" w:hAnsi="MS PGothic"/>
                <w:sz w:val="18"/>
                <w:szCs w:val="18"/>
                <w:color w:val="CF0A2C"/>
              </w:rPr>
              <w:t>✔</w:t>
            </w:r>
            <w:r>
              <w:rPr>
                <w:rFonts w:ascii="Arial" w:cs="Arial" w:eastAsia="Arial" w:hAnsi="Arial"/>
                <w:sz w:val="18"/>
                <w:szCs w:val="18"/>
                <w:color w:val="CF0A2C"/>
              </w:rPr>
              <w:t xml:space="preserve"> </w:t>
            </w:r>
          </w:p>
        </w:tc>
        <w:tc>
          <w:tcPr>
            <w:tcW w:w="4100" w:type="dxa"/>
            <w:vAlign w:val="bottom"/>
          </w:tcPr>
          <w:p>
            <w:pPr>
              <w:ind w:left="80"/>
              <w:spacing w:after="0"/>
              <w:rPr>
                <w:sz w:val="20"/>
                <w:szCs w:val="20"/>
                <w:color w:val="auto"/>
              </w:rPr>
            </w:pPr>
            <w:r>
              <w:rPr>
                <w:rFonts w:ascii="Arial" w:cs="Arial" w:eastAsia="Arial" w:hAnsi="Arial"/>
                <w:sz w:val="16"/>
                <w:szCs w:val="16"/>
                <w:color w:val="262626"/>
              </w:rPr>
              <w:t>Robust stock ownership guidelines for all executive</w:t>
            </w:r>
          </w:p>
        </w:tc>
        <w:tc>
          <w:tcPr>
            <w:tcW w:w="360" w:type="dxa"/>
            <w:vAlign w:val="bottom"/>
          </w:tcPr>
          <w:p>
            <w:pPr>
              <w:ind w:left="140"/>
              <w:spacing w:after="0"/>
              <w:rPr>
                <w:sz w:val="20"/>
                <w:szCs w:val="20"/>
                <w:color w:val="auto"/>
              </w:rPr>
            </w:pPr>
            <w:r>
              <w:rPr>
                <w:rFonts w:ascii="Arial" w:cs="Arial" w:eastAsia="Arial" w:hAnsi="Arial"/>
                <w:sz w:val="14"/>
                <w:szCs w:val="14"/>
                <w:b w:val="1"/>
                <w:bCs w:val="1"/>
                <w:color w:val="CF0A2C"/>
              </w:rPr>
              <w:t>X</w:t>
            </w:r>
            <w:r>
              <w:rPr>
                <w:rFonts w:ascii="Arial" w:cs="Arial" w:eastAsia="Arial" w:hAnsi="Arial"/>
                <w:sz w:val="17"/>
                <w:szCs w:val="17"/>
                <w:b w:val="1"/>
                <w:bCs w:val="1"/>
                <w:color w:val="CF0A2C"/>
              </w:rPr>
              <w:t xml:space="preserve"> </w:t>
            </w:r>
          </w:p>
        </w:tc>
        <w:tc>
          <w:tcPr>
            <w:tcW w:w="3960" w:type="dxa"/>
            <w:vAlign w:val="bottom"/>
          </w:tcPr>
          <w:p>
            <w:pPr>
              <w:ind w:left="60"/>
              <w:spacing w:after="0"/>
              <w:rPr>
                <w:sz w:val="20"/>
                <w:szCs w:val="20"/>
                <w:color w:val="auto"/>
              </w:rPr>
            </w:pPr>
            <w:r>
              <w:rPr>
                <w:rFonts w:ascii="Arial" w:cs="Arial" w:eastAsia="Arial" w:hAnsi="Arial"/>
                <w:sz w:val="16"/>
                <w:szCs w:val="16"/>
                <w:color w:val="262626"/>
              </w:rPr>
              <w:t>No hedging of stock by executive officers</w:t>
            </w:r>
          </w:p>
        </w:tc>
      </w:tr>
      <w:tr>
        <w:trPr>
          <w:trHeight w:val="225"/>
        </w:trPr>
        <w:tc>
          <w:tcPr>
            <w:tcW w:w="260" w:type="dxa"/>
            <w:vAlign w:val="bottom"/>
          </w:tcPr>
          <w:p>
            <w:pPr>
              <w:spacing w:after="0"/>
              <w:rPr>
                <w:sz w:val="19"/>
                <w:szCs w:val="19"/>
                <w:color w:val="auto"/>
              </w:rPr>
            </w:pPr>
          </w:p>
        </w:tc>
        <w:tc>
          <w:tcPr>
            <w:tcW w:w="4100" w:type="dxa"/>
            <w:vAlign w:val="bottom"/>
          </w:tcPr>
          <w:p>
            <w:pPr>
              <w:ind w:left="80"/>
              <w:spacing w:after="0"/>
              <w:rPr>
                <w:sz w:val="20"/>
                <w:szCs w:val="20"/>
                <w:color w:val="auto"/>
              </w:rPr>
            </w:pPr>
            <w:r>
              <w:rPr>
                <w:rFonts w:ascii="Arial" w:cs="Arial" w:eastAsia="Arial" w:hAnsi="Arial"/>
                <w:sz w:val="16"/>
                <w:szCs w:val="16"/>
                <w:color w:val="262626"/>
              </w:rPr>
              <w:t>officers and directors</w:t>
            </w:r>
          </w:p>
        </w:tc>
        <w:tc>
          <w:tcPr>
            <w:tcW w:w="36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379"/>
        </w:trPr>
        <w:tc>
          <w:tcPr>
            <w:tcW w:w="260" w:type="dxa"/>
            <w:vAlign w:val="bottom"/>
          </w:tcPr>
          <w:p>
            <w:pPr>
              <w:spacing w:after="0" w:line="207" w:lineRule="exact"/>
              <w:rPr>
                <w:sz w:val="20"/>
                <w:szCs w:val="20"/>
                <w:color w:val="auto"/>
              </w:rPr>
            </w:pPr>
            <w:r>
              <w:rPr>
                <w:rFonts w:ascii="MS PGothic" w:cs="MS PGothic" w:eastAsia="MS PGothic" w:hAnsi="MS PGothic"/>
                <w:sz w:val="18"/>
                <w:szCs w:val="18"/>
                <w:color w:val="CF0A2C"/>
              </w:rPr>
              <w:t>✔</w:t>
            </w:r>
            <w:r>
              <w:rPr>
                <w:rFonts w:ascii="Arial" w:cs="Arial" w:eastAsia="Arial" w:hAnsi="Arial"/>
                <w:sz w:val="18"/>
                <w:szCs w:val="18"/>
                <w:color w:val="CF0A2C"/>
              </w:rPr>
              <w:t xml:space="preserve"> </w:t>
            </w:r>
          </w:p>
        </w:tc>
        <w:tc>
          <w:tcPr>
            <w:tcW w:w="4100" w:type="dxa"/>
            <w:vAlign w:val="bottom"/>
          </w:tcPr>
          <w:p>
            <w:pPr>
              <w:ind w:left="80"/>
              <w:spacing w:after="0"/>
              <w:rPr>
                <w:sz w:val="20"/>
                <w:szCs w:val="20"/>
                <w:color w:val="auto"/>
              </w:rPr>
            </w:pPr>
            <w:r>
              <w:rPr>
                <w:rFonts w:ascii="Arial" w:cs="Arial" w:eastAsia="Arial" w:hAnsi="Arial"/>
                <w:sz w:val="16"/>
                <w:szCs w:val="16"/>
                <w:color w:val="262626"/>
              </w:rPr>
              <w:t>Clawback policy in compliance with SEC requirements</w:t>
            </w:r>
          </w:p>
        </w:tc>
        <w:tc>
          <w:tcPr>
            <w:tcW w:w="360" w:type="dxa"/>
            <w:vAlign w:val="bottom"/>
          </w:tcPr>
          <w:p>
            <w:pPr>
              <w:ind w:left="140"/>
              <w:spacing w:after="0"/>
              <w:rPr>
                <w:sz w:val="20"/>
                <w:szCs w:val="20"/>
                <w:color w:val="auto"/>
              </w:rPr>
            </w:pPr>
            <w:r>
              <w:rPr>
                <w:rFonts w:ascii="Arial" w:cs="Arial" w:eastAsia="Arial" w:hAnsi="Arial"/>
                <w:sz w:val="14"/>
                <w:szCs w:val="14"/>
                <w:b w:val="1"/>
                <w:bCs w:val="1"/>
                <w:color w:val="CF0A2C"/>
              </w:rPr>
              <w:t>X</w:t>
            </w:r>
            <w:r>
              <w:rPr>
                <w:rFonts w:ascii="Arial" w:cs="Arial" w:eastAsia="Arial" w:hAnsi="Arial"/>
                <w:sz w:val="17"/>
                <w:szCs w:val="17"/>
                <w:b w:val="1"/>
                <w:bCs w:val="1"/>
                <w:color w:val="CF0A2C"/>
              </w:rPr>
              <w:t xml:space="preserve"> </w:t>
            </w:r>
          </w:p>
        </w:tc>
        <w:tc>
          <w:tcPr>
            <w:tcW w:w="3960" w:type="dxa"/>
            <w:vAlign w:val="bottom"/>
          </w:tcPr>
          <w:p>
            <w:pPr>
              <w:ind w:left="60"/>
              <w:spacing w:after="0"/>
              <w:rPr>
                <w:sz w:val="20"/>
                <w:szCs w:val="20"/>
                <w:color w:val="auto"/>
              </w:rPr>
            </w:pPr>
            <w:r>
              <w:rPr>
                <w:rFonts w:ascii="Arial" w:cs="Arial" w:eastAsia="Arial" w:hAnsi="Arial"/>
                <w:sz w:val="16"/>
                <w:szCs w:val="16"/>
                <w:color w:val="262626"/>
              </w:rPr>
              <w:t>No pledging of stock by executive officers without a</w:t>
            </w:r>
          </w:p>
        </w:tc>
      </w:tr>
      <w:tr>
        <w:trPr>
          <w:trHeight w:val="225"/>
        </w:trPr>
        <w:tc>
          <w:tcPr>
            <w:tcW w:w="260" w:type="dxa"/>
            <w:vAlign w:val="bottom"/>
          </w:tcPr>
          <w:p>
            <w:pPr>
              <w:spacing w:after="0"/>
              <w:rPr>
                <w:sz w:val="19"/>
                <w:szCs w:val="19"/>
                <w:color w:val="auto"/>
              </w:rPr>
            </w:pPr>
          </w:p>
        </w:tc>
        <w:tc>
          <w:tcPr>
            <w:tcW w:w="4100" w:type="dxa"/>
            <w:vAlign w:val="bottom"/>
          </w:tcPr>
          <w:p>
            <w:pPr>
              <w:ind w:left="80"/>
              <w:spacing w:after="0"/>
              <w:rPr>
                <w:sz w:val="20"/>
                <w:szCs w:val="20"/>
                <w:color w:val="auto"/>
              </w:rPr>
            </w:pPr>
            <w:r>
              <w:rPr>
                <w:rFonts w:ascii="Arial" w:cs="Arial" w:eastAsia="Arial" w:hAnsi="Arial"/>
                <w:sz w:val="16"/>
                <w:szCs w:val="16"/>
                <w:color w:val="262626"/>
              </w:rPr>
              <w:t>and Nasdaq listing standards</w:t>
            </w:r>
          </w:p>
        </w:tc>
        <w:tc>
          <w:tcPr>
            <w:tcW w:w="360" w:type="dxa"/>
            <w:vAlign w:val="bottom"/>
          </w:tcPr>
          <w:p>
            <w:pPr>
              <w:spacing w:after="0"/>
              <w:rPr>
                <w:sz w:val="19"/>
                <w:szCs w:val="19"/>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262626"/>
              </w:rPr>
              <w:t>risk analysis and approval of a limited exception by our</w:t>
            </w:r>
          </w:p>
        </w:tc>
      </w:tr>
      <w:tr>
        <w:trPr>
          <w:trHeight w:val="255"/>
        </w:trPr>
        <w:tc>
          <w:tcPr>
            <w:tcW w:w="26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262626"/>
              </w:rPr>
              <w:t>Board and NCG Committee</w:t>
            </w:r>
          </w:p>
        </w:tc>
      </w:tr>
    </w:tbl>
    <w:p>
      <w:pPr>
        <w:spacing w:after="0" w:line="28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Say-on-Pay</w:t>
      </w:r>
    </w:p>
    <w:p>
      <w:pPr>
        <w:spacing w:after="0" w:line="163"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Our stockholders expressed strong support for our 2024 executive compensation program and acknowledged our responsiveness to our stockholders’ concerns in the proxy statement for the 2025 annual meeting, as demonstrated by the 92% of votes cast in favor of the 2025 Say-on-Pay proposal.</w:t>
      </w:r>
    </w:p>
    <w:p>
      <w:pPr>
        <w:spacing w:after="0" w:line="110"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The Compensation Committee values open and ongoing engagement with our stockholders regarding our executive compensation program. Prior to the 2025 annual meeting, we contacted our stockholders representing 52% of our common stock outstanding. Our Compensation Committee Chair, on behalf of our Board, and representatives from the management engagement team met with 13 stockholders representing 35% of common stock outstanding. The feedback received from our stockholders at these meetings was discussed with the Compensation Committee and our Board. More information about our engagement with our stockholders prior to the 2025 annual meeting is provided above in “</w:t>
      </w:r>
      <w:r>
        <w:rPr>
          <w:rFonts w:ascii="Arial" w:cs="Arial" w:eastAsia="Arial" w:hAnsi="Arial"/>
          <w:sz w:val="16"/>
          <w:szCs w:val="16"/>
          <w:i w:val="1"/>
          <w:iCs w:val="1"/>
          <w:color w:val="262626"/>
        </w:rPr>
        <w:t>Corporate</w:t>
      </w:r>
      <w:r>
        <w:rPr>
          <w:rFonts w:ascii="Arial" w:cs="Arial" w:eastAsia="Arial" w:hAnsi="Arial"/>
          <w:sz w:val="16"/>
          <w:szCs w:val="16"/>
          <w:color w:val="262626"/>
        </w:rPr>
        <w:t xml:space="preserve"> </w:t>
      </w:r>
      <w:r>
        <w:rPr>
          <w:rFonts w:ascii="Arial" w:cs="Arial" w:eastAsia="Arial" w:hAnsi="Arial"/>
          <w:sz w:val="16"/>
          <w:szCs w:val="16"/>
          <w:i w:val="1"/>
          <w:iCs w:val="1"/>
          <w:color w:val="262626"/>
        </w:rPr>
        <w:t xml:space="preserve">Governance </w:t>
      </w:r>
      <w:r>
        <w:rPr>
          <w:rFonts w:ascii="Arial" w:cs="Arial" w:eastAsia="Arial" w:hAnsi="Arial"/>
          <w:sz w:val="16"/>
          <w:szCs w:val="16"/>
          <w:color w:val="262626"/>
        </w:rPr>
        <w:t>—</w:t>
      </w:r>
      <w:r>
        <w:rPr>
          <w:rFonts w:ascii="Arial" w:cs="Arial" w:eastAsia="Arial" w:hAnsi="Arial"/>
          <w:sz w:val="16"/>
          <w:szCs w:val="16"/>
          <w:i w:val="1"/>
          <w:iCs w:val="1"/>
          <w:color w:val="262626"/>
        </w:rPr>
        <w:t xml:space="preserve"> Stockholder Engagement</w:t>
      </w:r>
      <w:r>
        <w:rPr>
          <w:rFonts w:ascii="Arial" w:cs="Arial" w:eastAsia="Arial" w:hAnsi="Arial"/>
          <w:sz w:val="16"/>
          <w:szCs w:val="16"/>
          <w:color w:val="262626"/>
        </w:rPr>
        <w:t>.”</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Internal Pay Parity</w:t>
      </w:r>
    </w:p>
    <w:p>
      <w:pPr>
        <w:spacing w:after="0" w:line="176"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While we do not maintain a formal policy regarding internal pay parity, it is considered by the Compensation Committee and the independent directors when determining compensation.</w:t>
      </w:r>
    </w:p>
    <w:p>
      <w:pPr>
        <w:spacing w:after="0" w:line="75"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Consistent with market practice and competitive market benchmarking, our CEO is compensated at a higher level than our other executive officers due to his higher level of experience, responsibility, accountability and peer market benchmarks. Given Mr. Tan’s responsibility for Broadcom’s overall performance, the independent directors believe weighting his total compensation more heavily toward long-term, performance-based incentive compensation is consistent with market practice, appropriately reflects his contributions and directly aligns his incentives with the interests of our stockholders. Accordingly, Mr. Tan receives more of his total compensation in the form of LTI compensation through PSU awards as compared to our other executive officers.</w:t>
      </w:r>
    </w:p>
    <w:p>
      <w:pPr>
        <w:sectPr>
          <w:pgSz w:w="11900" w:h="16838" w:orient="portrait"/>
          <w:cols w:equalWidth="0" w:num="1">
            <w:col w:w="10139"/>
          </w:cols>
          <w:pgMar w:left="320" w:top="479" w:right="1440" w:bottom="1440" w:gutter="0" w:footer="0" w:header="0"/>
          <w:type w:val="continuous"/>
        </w:sectPr>
      </w:pPr>
    </w:p>
    <w:p>
      <w:pPr>
        <w:spacing w:after="0" w:line="89"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Stock Ownership Guidelines</w:t>
      </w:r>
    </w:p>
    <w:p>
      <w:pPr>
        <w:spacing w:after="0" w:line="163"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The Compensation Committee has established robust stock ownership guidelines for our executive officers, as outlined below. Shares owned outright or beneficially owned in a trust, as well as unvested RSU awards and earned-but-unvested PSU awards, count towards satisfying the stock ownership guidelines. Shares subject to stock options, if granted, do not count toward satisfying the stock ownership guidelines. Our executive officers are expected to satisfy the applicable guidelines within five years of the date on which they become an executive officer and to maintain at least such minimum value in shares of common stock while they remain an executive officer. Based on the closing price of Broadcom common stock on the Record Date, all of our NEOs are in compliance with the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67310</wp:posOffset>
            </wp:positionV>
            <wp:extent cx="55225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79"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2800" w:type="dxa"/>
            <w:vAlign w:val="bottom"/>
            <w:vMerge w:val="restart"/>
          </w:tcPr>
          <w:p>
            <w:pPr>
              <w:spacing w:after="0"/>
              <w:rPr>
                <w:sz w:val="20"/>
                <w:szCs w:val="20"/>
                <w:color w:val="auto"/>
              </w:rPr>
            </w:pPr>
            <w:r>
              <w:rPr>
                <w:rFonts w:ascii="Arial" w:cs="Arial" w:eastAsia="Arial" w:hAnsi="Arial"/>
                <w:sz w:val="16"/>
                <w:szCs w:val="16"/>
                <w:b w:val="1"/>
                <w:bCs w:val="1"/>
                <w:color w:val="262626"/>
              </w:rPr>
              <w:t>Position</w:t>
            </w:r>
          </w:p>
        </w:tc>
        <w:tc>
          <w:tcPr>
            <w:tcW w:w="3140" w:type="dxa"/>
            <w:vAlign w:val="bottom"/>
            <w:vMerge w:val="restart"/>
          </w:tcPr>
          <w:p>
            <w:pPr>
              <w:jc w:val="center"/>
              <w:ind w:left="219"/>
              <w:spacing w:after="0"/>
              <w:rPr>
                <w:sz w:val="20"/>
                <w:szCs w:val="20"/>
                <w:color w:val="auto"/>
              </w:rPr>
            </w:pPr>
            <w:r>
              <w:rPr>
                <w:rFonts w:ascii="Arial" w:cs="Arial" w:eastAsia="Arial" w:hAnsi="Arial"/>
                <w:sz w:val="16"/>
                <w:szCs w:val="16"/>
                <w:b w:val="1"/>
                <w:bCs w:val="1"/>
                <w:color w:val="262626"/>
              </w:rPr>
              <w:t>Stock Ownership</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262626"/>
              </w:rPr>
              <w:t>In Compliance of</w:t>
            </w: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3140" w:type="dxa"/>
            <w:vAlign w:val="bottom"/>
            <w:vMerge w:val="continue"/>
          </w:tcPr>
          <w:p>
            <w:pPr>
              <w:spacing w:after="0"/>
              <w:rPr>
                <w:sz w:val="11"/>
                <w:szCs w:val="11"/>
                <w:color w:val="auto"/>
              </w:rPr>
            </w:pPr>
          </w:p>
        </w:tc>
        <w:tc>
          <w:tcPr>
            <w:tcW w:w="2760" w:type="dxa"/>
            <w:vAlign w:val="bottom"/>
            <w:vMerge w:val="restart"/>
          </w:tcPr>
          <w:p>
            <w:pPr>
              <w:jc w:val="center"/>
              <w:spacing w:after="0"/>
              <w:rPr>
                <w:sz w:val="20"/>
                <w:szCs w:val="20"/>
                <w:color w:val="auto"/>
              </w:rPr>
            </w:pPr>
            <w:r>
              <w:rPr>
                <w:rFonts w:ascii="Arial" w:cs="Arial" w:eastAsia="Arial" w:hAnsi="Arial"/>
                <w:sz w:val="16"/>
                <w:szCs w:val="16"/>
                <w:b w:val="1"/>
                <w:bCs w:val="1"/>
                <w:color w:val="262626"/>
              </w:rPr>
              <w:t>Guidelines</w:t>
            </w:r>
          </w:p>
        </w:tc>
        <w:tc>
          <w:tcPr>
            <w:tcW w:w="0" w:type="dxa"/>
            <w:vAlign w:val="bottom"/>
          </w:tcPr>
          <w:p>
            <w:pPr>
              <w:spacing w:after="0"/>
              <w:rPr>
                <w:sz w:val="1"/>
                <w:szCs w:val="1"/>
                <w:color w:val="auto"/>
              </w:rPr>
            </w:pPr>
          </w:p>
        </w:tc>
      </w:tr>
      <w:tr>
        <w:trPr>
          <w:trHeight w:val="94"/>
        </w:trPr>
        <w:tc>
          <w:tcPr>
            <w:tcW w:w="28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800" w:type="dxa"/>
            <w:vAlign w:val="bottom"/>
            <w:tcBorders>
              <w:bottom w:val="single" w:sz="8" w:color="CF0A2C"/>
            </w:tcBorders>
          </w:tcPr>
          <w:p>
            <w:pPr>
              <w:spacing w:after="0"/>
              <w:rPr>
                <w:sz w:val="4"/>
                <w:szCs w:val="4"/>
                <w:color w:val="auto"/>
              </w:rPr>
            </w:pPr>
          </w:p>
        </w:tc>
        <w:tc>
          <w:tcPr>
            <w:tcW w:w="3140" w:type="dxa"/>
            <w:vAlign w:val="bottom"/>
            <w:tcBorders>
              <w:bottom w:val="single" w:sz="8" w:color="CF0A2C"/>
            </w:tcBorders>
          </w:tcPr>
          <w:p>
            <w:pPr>
              <w:spacing w:after="0"/>
              <w:rPr>
                <w:sz w:val="4"/>
                <w:szCs w:val="4"/>
                <w:color w:val="auto"/>
              </w:rPr>
            </w:pPr>
          </w:p>
        </w:tc>
        <w:tc>
          <w:tcPr>
            <w:tcW w:w="2760" w:type="dxa"/>
            <w:vAlign w:val="bottom"/>
            <w:tcBorders>
              <w:bottom w:val="single" w:sz="8" w:color="CF0A2C"/>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800" w:type="dxa"/>
            <w:vAlign w:val="bottom"/>
          </w:tcPr>
          <w:p>
            <w:pPr>
              <w:spacing w:after="0"/>
              <w:rPr>
                <w:sz w:val="20"/>
                <w:szCs w:val="20"/>
                <w:color w:val="auto"/>
              </w:rPr>
            </w:pPr>
            <w:r>
              <w:rPr>
                <w:rFonts w:ascii="Arial" w:cs="Arial" w:eastAsia="Arial" w:hAnsi="Arial"/>
                <w:sz w:val="16"/>
                <w:szCs w:val="16"/>
                <w:color w:val="262626"/>
              </w:rPr>
              <w:t>CEO</w:t>
            </w:r>
          </w:p>
        </w:tc>
        <w:tc>
          <w:tcPr>
            <w:tcW w:w="3140" w:type="dxa"/>
            <w:vAlign w:val="bottom"/>
          </w:tcPr>
          <w:p>
            <w:pPr>
              <w:jc w:val="center"/>
              <w:ind w:left="219"/>
              <w:spacing w:after="0"/>
              <w:rPr>
                <w:sz w:val="20"/>
                <w:szCs w:val="20"/>
                <w:color w:val="auto"/>
              </w:rPr>
            </w:pPr>
            <w:r>
              <w:rPr>
                <w:rFonts w:ascii="Arial" w:cs="Arial" w:eastAsia="Arial" w:hAnsi="Arial"/>
                <w:sz w:val="16"/>
                <w:szCs w:val="16"/>
                <w:color w:val="262626"/>
              </w:rPr>
              <w:t>6x Base Salary</w:t>
            </w:r>
          </w:p>
        </w:tc>
        <w:tc>
          <w:tcPr>
            <w:tcW w:w="2760" w:type="dxa"/>
            <w:vAlign w:val="bottom"/>
          </w:tcPr>
          <w:p>
            <w:pPr>
              <w:jc w:val="center"/>
              <w:spacing w:after="0" w:line="161" w:lineRule="exact"/>
              <w:rPr>
                <w:sz w:val="20"/>
                <w:szCs w:val="20"/>
                <w:color w:val="auto"/>
              </w:rPr>
            </w:pPr>
            <w:r>
              <w:rPr>
                <w:rFonts w:ascii="MS PGothic" w:cs="MS PGothic" w:eastAsia="MS PGothic" w:hAnsi="MS PGothic"/>
                <w:sz w:val="16"/>
                <w:szCs w:val="16"/>
                <w:color w:val="CF0A2C"/>
                <w:w w:val="87"/>
              </w:rPr>
              <w:t>✔</w:t>
            </w:r>
          </w:p>
        </w:tc>
        <w:tc>
          <w:tcPr>
            <w:tcW w:w="0" w:type="dxa"/>
            <w:vAlign w:val="bottom"/>
          </w:tcPr>
          <w:p>
            <w:pPr>
              <w:spacing w:after="0"/>
              <w:rPr>
                <w:sz w:val="1"/>
                <w:szCs w:val="1"/>
                <w:color w:val="auto"/>
              </w:rPr>
            </w:pPr>
          </w:p>
        </w:tc>
      </w:tr>
      <w:tr>
        <w:trPr>
          <w:trHeight w:val="299"/>
        </w:trPr>
        <w:tc>
          <w:tcPr>
            <w:tcW w:w="2800" w:type="dxa"/>
            <w:vAlign w:val="bottom"/>
          </w:tcPr>
          <w:p>
            <w:pPr>
              <w:spacing w:after="0"/>
              <w:rPr>
                <w:sz w:val="20"/>
                <w:szCs w:val="20"/>
                <w:color w:val="auto"/>
              </w:rPr>
            </w:pPr>
            <w:r>
              <w:rPr>
                <w:rFonts w:ascii="Arial" w:cs="Arial" w:eastAsia="Arial" w:hAnsi="Arial"/>
                <w:sz w:val="16"/>
                <w:szCs w:val="16"/>
                <w:color w:val="262626"/>
              </w:rPr>
              <w:t>Other Executive Officers</w:t>
            </w:r>
          </w:p>
        </w:tc>
        <w:tc>
          <w:tcPr>
            <w:tcW w:w="3140" w:type="dxa"/>
            <w:vAlign w:val="bottom"/>
          </w:tcPr>
          <w:p>
            <w:pPr>
              <w:jc w:val="center"/>
              <w:ind w:left="219"/>
              <w:spacing w:after="0"/>
              <w:rPr>
                <w:sz w:val="20"/>
                <w:szCs w:val="20"/>
                <w:color w:val="auto"/>
              </w:rPr>
            </w:pPr>
            <w:r>
              <w:rPr>
                <w:rFonts w:ascii="Arial" w:cs="Arial" w:eastAsia="Arial" w:hAnsi="Arial"/>
                <w:sz w:val="16"/>
                <w:szCs w:val="16"/>
                <w:color w:val="262626"/>
              </w:rPr>
              <w:t>3x Base Salary</w:t>
            </w:r>
          </w:p>
        </w:tc>
        <w:tc>
          <w:tcPr>
            <w:tcW w:w="2760" w:type="dxa"/>
            <w:vAlign w:val="bottom"/>
          </w:tcPr>
          <w:p>
            <w:pPr>
              <w:jc w:val="center"/>
              <w:spacing w:after="0" w:line="161" w:lineRule="exact"/>
              <w:rPr>
                <w:sz w:val="20"/>
                <w:szCs w:val="20"/>
                <w:color w:val="auto"/>
              </w:rPr>
            </w:pPr>
            <w:r>
              <w:rPr>
                <w:rFonts w:ascii="MS PGothic" w:cs="MS PGothic" w:eastAsia="MS PGothic" w:hAnsi="MS PGothic"/>
                <w:sz w:val="16"/>
                <w:szCs w:val="16"/>
                <w:color w:val="CF0A2C"/>
                <w:w w:val="87"/>
              </w:rPr>
              <w:t>✔</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Compensation Clawback Policy</w:t>
      </w:r>
    </w:p>
    <w:p>
      <w:pPr>
        <w:spacing w:after="0" w:line="163" w:lineRule="exact"/>
        <w:rPr>
          <w:sz w:val="20"/>
          <w:szCs w:val="20"/>
          <w:color w:val="auto"/>
        </w:rPr>
      </w:pPr>
    </w:p>
    <w:p>
      <w:pPr>
        <w:jc w:val="both"/>
        <w:ind w:left="1280" w:right="179"/>
        <w:spacing w:after="0" w:line="337" w:lineRule="auto"/>
        <w:rPr>
          <w:sz w:val="20"/>
          <w:szCs w:val="20"/>
          <w:color w:val="auto"/>
        </w:rPr>
      </w:pPr>
      <w:r>
        <w:rPr>
          <w:rFonts w:ascii="Arial" w:cs="Arial" w:eastAsia="Arial" w:hAnsi="Arial"/>
          <w:sz w:val="16"/>
          <w:szCs w:val="16"/>
          <w:color w:val="262626"/>
        </w:rPr>
        <w:t>Based on the recommendation of the Compensation Committee, our Board has put in place a comprehensive clawback policy in compliance with SEC and Nasdaq rules. Our clawback policy requires the repayment of certain cash and equity-based incentive compensation received by current or former executive officers in the event of a restatement of financial statements if such compensation exceeds the amount that the executive officers would have received based on the restated financial statements.</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Role of the Compensation Committee</w:t>
      </w:r>
    </w:p>
    <w:p>
      <w:pPr>
        <w:spacing w:after="0" w:line="202"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The Compensation Committee devotes extensive time throughout the year to our executive compensation program to ensure that it aligns executive compensation with corporate performance and rewards our executive officers for pursuing corporate financial, operational and strategic goals that will continue Broadcom’s ongoing success and increase long-term stockholder value.</w:t>
      </w:r>
    </w:p>
    <w:p>
      <w:pPr>
        <w:spacing w:after="0" w:line="101"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The Compensation Committee reviews and approves the compensation of our executive officers, except our CEO, for whom the Compensation Committee makes recommendations for review and approval by the independent directors.</w:t>
      </w:r>
    </w:p>
    <w:p>
      <w:pPr>
        <w:spacing w:after="0" w:line="13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Individual Executive Compensation Assessment</w:t>
      </w:r>
    </w:p>
    <w:p>
      <w:pPr>
        <w:spacing w:after="0" w:line="163" w:lineRule="exact"/>
        <w:rPr>
          <w:sz w:val="20"/>
          <w:szCs w:val="20"/>
          <w:color w:val="auto"/>
        </w:rPr>
      </w:pPr>
    </w:p>
    <w:p>
      <w:pPr>
        <w:jc w:val="both"/>
        <w:ind w:left="1280" w:right="159"/>
        <w:spacing w:after="0" w:line="352" w:lineRule="auto"/>
        <w:rPr>
          <w:sz w:val="20"/>
          <w:szCs w:val="20"/>
          <w:color w:val="auto"/>
        </w:rPr>
      </w:pPr>
      <w:r>
        <w:rPr>
          <w:rFonts w:ascii="Arial" w:cs="Arial" w:eastAsia="Arial" w:hAnsi="Arial"/>
          <w:sz w:val="16"/>
          <w:szCs w:val="16"/>
          <w:color w:val="262626"/>
        </w:rPr>
        <w:t>In addition to market compensation data provided by its independent compensation consultant, the Compensation Committee (and, in the case of our CEO, the independent directors) considers the following factors, among others, when determining the compensation of each executive officer:</w:t>
      </w:r>
    </w:p>
    <w:p>
      <w:pPr>
        <w:spacing w:after="0" w:line="90" w:lineRule="exact"/>
        <w:rPr>
          <w:sz w:val="20"/>
          <w:szCs w:val="20"/>
          <w:color w:val="auto"/>
        </w:rPr>
      </w:pPr>
    </w:p>
    <w:p>
      <w:pPr>
        <w:ind w:left="1860" w:right="179" w:hanging="249"/>
        <w:spacing w:after="0" w:line="371" w:lineRule="auto"/>
        <w:tabs>
          <w:tab w:leader="none" w:pos="1860" w:val="left"/>
        </w:tabs>
        <w:numPr>
          <w:ilvl w:val="0"/>
          <w:numId w:val="18"/>
        </w:numPr>
        <w:rPr>
          <w:rFonts w:ascii="Arial" w:cs="Arial" w:eastAsia="Arial" w:hAnsi="Arial"/>
          <w:sz w:val="16"/>
          <w:szCs w:val="16"/>
          <w:color w:val="262626"/>
        </w:rPr>
      </w:pPr>
      <w:r>
        <w:rPr>
          <w:rFonts w:ascii="Arial" w:cs="Arial" w:eastAsia="Arial" w:hAnsi="Arial"/>
          <w:sz w:val="16"/>
          <w:szCs w:val="16"/>
          <w:color w:val="262626"/>
        </w:rPr>
        <w:t>current base salary, target APB Plan opportunities (and prior fiscal year payouts), the accumulated value of outstanding and unvested equity awards and other benefits;</w:t>
      </w:r>
    </w:p>
    <w:p>
      <w:pPr>
        <w:spacing w:after="0" w:line="75" w:lineRule="exact"/>
        <w:rPr>
          <w:rFonts w:ascii="Arial" w:cs="Arial" w:eastAsia="Arial" w:hAnsi="Arial"/>
          <w:sz w:val="16"/>
          <w:szCs w:val="16"/>
          <w:color w:val="262626"/>
        </w:rPr>
      </w:pPr>
    </w:p>
    <w:p>
      <w:pPr>
        <w:ind w:left="1860" w:right="179" w:hanging="249"/>
        <w:spacing w:after="0" w:line="371" w:lineRule="auto"/>
        <w:tabs>
          <w:tab w:leader="none" w:pos="1860" w:val="left"/>
        </w:tabs>
        <w:numPr>
          <w:ilvl w:val="0"/>
          <w:numId w:val="18"/>
        </w:numPr>
        <w:rPr>
          <w:rFonts w:ascii="Arial" w:cs="Arial" w:eastAsia="Arial" w:hAnsi="Arial"/>
          <w:sz w:val="16"/>
          <w:szCs w:val="16"/>
          <w:color w:val="262626"/>
        </w:rPr>
      </w:pPr>
      <w:r>
        <w:rPr>
          <w:rFonts w:ascii="Arial" w:cs="Arial" w:eastAsia="Arial" w:hAnsi="Arial"/>
          <w:sz w:val="16"/>
          <w:szCs w:val="16"/>
          <w:color w:val="262626"/>
        </w:rPr>
        <w:t>the individual’s overall performance, role, responsibilities, knowledge, skills, criticality, leadership and contributions to Broadcom’s values and culture;</w:t>
      </w:r>
    </w:p>
    <w:p>
      <w:pPr>
        <w:spacing w:after="0" w:line="75" w:lineRule="exact"/>
        <w:rPr>
          <w:rFonts w:ascii="Arial" w:cs="Arial" w:eastAsia="Arial" w:hAnsi="Arial"/>
          <w:sz w:val="16"/>
          <w:szCs w:val="16"/>
          <w:color w:val="262626"/>
        </w:rPr>
      </w:pPr>
    </w:p>
    <w:p>
      <w:pPr>
        <w:ind w:left="1860" w:right="179" w:hanging="249"/>
        <w:spacing w:after="0" w:line="371" w:lineRule="auto"/>
        <w:tabs>
          <w:tab w:leader="none" w:pos="1860" w:val="left"/>
        </w:tabs>
        <w:numPr>
          <w:ilvl w:val="0"/>
          <w:numId w:val="18"/>
        </w:numPr>
        <w:rPr>
          <w:rFonts w:ascii="Arial" w:cs="Arial" w:eastAsia="Arial" w:hAnsi="Arial"/>
          <w:sz w:val="16"/>
          <w:szCs w:val="16"/>
          <w:color w:val="262626"/>
        </w:rPr>
      </w:pPr>
      <w:r>
        <w:rPr>
          <w:rFonts w:ascii="Arial" w:cs="Arial" w:eastAsia="Arial" w:hAnsi="Arial"/>
          <w:sz w:val="16"/>
          <w:szCs w:val="16"/>
          <w:color w:val="262626"/>
        </w:rPr>
        <w:t>the highly competitive landscape for executive talent among Silicon Valley-based global technology companies; and</w:t>
      </w:r>
    </w:p>
    <w:p>
      <w:pPr>
        <w:spacing w:after="0" w:line="75" w:lineRule="exact"/>
        <w:rPr>
          <w:rFonts w:ascii="Arial" w:cs="Arial" w:eastAsia="Arial" w:hAnsi="Arial"/>
          <w:sz w:val="16"/>
          <w:szCs w:val="16"/>
          <w:color w:val="262626"/>
        </w:rPr>
      </w:pPr>
    </w:p>
    <w:p>
      <w:pPr>
        <w:ind w:left="1860" w:right="179" w:hanging="249"/>
        <w:spacing w:after="0" w:line="305" w:lineRule="auto"/>
        <w:tabs>
          <w:tab w:leader="none" w:pos="1860" w:val="left"/>
        </w:tabs>
        <w:numPr>
          <w:ilvl w:val="0"/>
          <w:numId w:val="18"/>
        </w:numPr>
        <w:rPr>
          <w:rFonts w:ascii="Arial" w:cs="Arial" w:eastAsia="Arial" w:hAnsi="Arial"/>
          <w:sz w:val="16"/>
          <w:szCs w:val="16"/>
          <w:color w:val="262626"/>
        </w:rPr>
      </w:pPr>
      <w:r>
        <w:rPr>
          <w:rFonts w:ascii="Arial" w:cs="Arial" w:eastAsia="Arial" w:hAnsi="Arial"/>
          <w:sz w:val="16"/>
          <w:szCs w:val="16"/>
          <w:color w:val="262626"/>
        </w:rPr>
        <w:t>our CEO’s recommendation on compensation and individual performance for executive officers other than himself.</w:t>
      </w:r>
    </w:p>
    <w:p>
      <w:pPr>
        <w:spacing w:after="0" w:line="200" w:lineRule="exact"/>
        <w:rPr>
          <w:sz w:val="20"/>
          <w:szCs w:val="20"/>
          <w:color w:val="auto"/>
        </w:rPr>
      </w:pPr>
    </w:p>
    <w:p>
      <w:pPr>
        <w:spacing w:after="0" w:line="210"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This information enables the Compensation Committee and the independent directors to assess the long-term retentive value and total compensation delivered to our executive officers.</w:t>
      </w:r>
    </w:p>
    <w:p>
      <w:pPr>
        <w:spacing w:after="0" w:line="75"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The Compensation Committee does not consider the accounting or tax implications of compensation awarded to our executive officers when making executive compensation decisions. The primary drivers of the individual compensation decisions are the competitive talent-market and our pay-for-performance philosophy.</w:t>
      </w:r>
    </w:p>
    <w:p>
      <w:pPr>
        <w:sectPr>
          <w:pgSz w:w="11900" w:h="16838" w:orient="portrait"/>
          <w:cols w:equalWidth="0" w:num="1">
            <w:col w:w="10139"/>
          </w:cols>
          <w:pgMar w:left="320" w:top="480" w:right="1440" w:bottom="1440" w:gutter="0" w:footer="0" w:header="0"/>
        </w:sectPr>
      </w:pPr>
    </w:p>
    <w:p>
      <w:pPr>
        <w:spacing w:after="0" w:line="80"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850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Compensation Risk Oversight</w:t>
      </w:r>
    </w:p>
    <w:p>
      <w:pPr>
        <w:spacing w:after="0" w:line="163" w:lineRule="exact"/>
        <w:rPr>
          <w:sz w:val="20"/>
          <w:szCs w:val="20"/>
          <w:color w:val="auto"/>
        </w:rPr>
      </w:pPr>
    </w:p>
    <w:p>
      <w:pPr>
        <w:jc w:val="both"/>
        <w:ind w:left="1280" w:right="179"/>
        <w:spacing w:after="0" w:line="352" w:lineRule="auto"/>
        <w:rPr>
          <w:sz w:val="20"/>
          <w:szCs w:val="20"/>
          <w:color w:val="auto"/>
        </w:rPr>
      </w:pPr>
      <w:r>
        <w:rPr>
          <w:rFonts w:ascii="Arial" w:cs="Arial" w:eastAsia="Arial" w:hAnsi="Arial"/>
          <w:sz w:val="16"/>
          <w:szCs w:val="16"/>
          <w:color w:val="262626"/>
        </w:rPr>
        <w:t>While our Board has overall responsibility for risk oversight, the Compensation Committee, with the assistance of its independent compensation consultant, annually reviews and discusses the risks that relate to our compensation policies and practices, including incentive and commission arrangements below the executive level.</w:t>
      </w:r>
    </w:p>
    <w:p>
      <w:pPr>
        <w:spacing w:after="0" w:line="14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Role of Compensation Consultant</w:t>
      </w:r>
    </w:p>
    <w:p>
      <w:pPr>
        <w:spacing w:after="0" w:line="202" w:lineRule="exact"/>
        <w:rPr>
          <w:sz w:val="20"/>
          <w:szCs w:val="20"/>
          <w:color w:val="auto"/>
        </w:rPr>
      </w:pPr>
    </w:p>
    <w:p>
      <w:pPr>
        <w:jc w:val="both"/>
        <w:ind w:left="1280" w:right="179"/>
        <w:spacing w:after="0" w:line="337" w:lineRule="auto"/>
        <w:rPr>
          <w:sz w:val="20"/>
          <w:szCs w:val="20"/>
          <w:color w:val="auto"/>
        </w:rPr>
      </w:pPr>
      <w:r>
        <w:rPr>
          <w:rFonts w:ascii="Arial" w:cs="Arial" w:eastAsia="Arial" w:hAnsi="Arial"/>
          <w:sz w:val="16"/>
          <w:szCs w:val="16"/>
          <w:color w:val="262626"/>
        </w:rPr>
        <w:t>Meridian provided consulting services on executive and non-employee director compensation-related matters to the Compensation Committee and the independent directors in fiscal 2025, including competitive market compensation data analyses. Meridian also provided the Compensation Committee periodic updates on regulatory developments and market trends related to executive and non-employee director compensation. Meridian did not provide any other services to Broadcom in fiscal 2025.</w:t>
      </w:r>
    </w:p>
    <w:p>
      <w:pPr>
        <w:spacing w:after="0" w:line="104" w:lineRule="exact"/>
        <w:rPr>
          <w:sz w:val="20"/>
          <w:szCs w:val="20"/>
          <w:color w:val="auto"/>
        </w:rPr>
      </w:pPr>
    </w:p>
    <w:p>
      <w:pPr>
        <w:jc w:val="both"/>
        <w:ind w:left="1280" w:right="179"/>
        <w:spacing w:after="0" w:line="352" w:lineRule="auto"/>
        <w:rPr>
          <w:sz w:val="20"/>
          <w:szCs w:val="20"/>
          <w:color w:val="auto"/>
        </w:rPr>
      </w:pPr>
      <w:r>
        <w:rPr>
          <w:rFonts w:ascii="Arial" w:cs="Arial" w:eastAsia="Arial" w:hAnsi="Arial"/>
          <w:sz w:val="16"/>
          <w:szCs w:val="16"/>
          <w:color w:val="262626"/>
        </w:rPr>
        <w:t>The Compensation Committee assessed the independence of Meridian pursuant to SEC and Nasdaq rules and concluded that Meridian is independent and its work for the Compensation Committee and the independent directors do not raise any conflict of interest.</w:t>
      </w:r>
    </w:p>
    <w:p>
      <w:pPr>
        <w:spacing w:after="0" w:line="14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Competitive Market Positioning</w:t>
      </w:r>
    </w:p>
    <w:p>
      <w:pPr>
        <w:spacing w:after="0" w:line="215" w:lineRule="exact"/>
        <w:rPr>
          <w:sz w:val="20"/>
          <w:szCs w:val="20"/>
          <w:color w:val="auto"/>
        </w:rPr>
      </w:pPr>
    </w:p>
    <w:p>
      <w:pPr>
        <w:jc w:val="both"/>
        <w:ind w:left="1280" w:right="159"/>
        <w:spacing w:after="0" w:line="332" w:lineRule="auto"/>
        <w:rPr>
          <w:sz w:val="20"/>
          <w:szCs w:val="20"/>
          <w:color w:val="auto"/>
        </w:rPr>
      </w:pPr>
      <w:r>
        <w:rPr>
          <w:rFonts w:ascii="Arial" w:cs="Arial" w:eastAsia="Arial" w:hAnsi="Arial"/>
          <w:sz w:val="16"/>
          <w:szCs w:val="16"/>
          <w:color w:val="262626"/>
        </w:rPr>
        <w:t>The Compensation Committee, in consultation with its independent compensation consultant, develops a meaningful compensation peer group for purposes of understanding competitive market compensation practices. The compensation peer group is evaluated annually and updated as necessary based on revenue, market capitalization and relevant industries as further described below. The Compensation Committee also considers a broader review of global enterprises of similar size, scale and operational complexity, reflecting the scarce market for executive talent from which we actively recruit and to which we are most at risk. The compensation peer group is utilized for comparative purposes only. The Compensation Committee does not benchmark any pay elements or target total compensation to a specific percentile. In the absence of relevant peer group data, the Compensation Committee reviews industry-based market pay survey data.</w:t>
      </w:r>
    </w:p>
    <w:p>
      <w:pPr>
        <w:spacing w:after="0" w:line="353"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Our established selection criteria is outlined below:</w:t>
      </w:r>
    </w:p>
    <w:p>
      <w:pPr>
        <w:spacing w:after="0" w:line="219" w:lineRule="exact"/>
        <w:rPr>
          <w:sz w:val="20"/>
          <w:szCs w:val="20"/>
          <w:color w:val="auto"/>
        </w:rPr>
      </w:pPr>
    </w:p>
    <w:p>
      <w:pPr>
        <w:ind w:left="1860" w:hanging="249"/>
        <w:spacing w:after="0"/>
        <w:tabs>
          <w:tab w:leader="none" w:pos="1860" w:val="left"/>
        </w:tabs>
        <w:numPr>
          <w:ilvl w:val="0"/>
          <w:numId w:val="19"/>
        </w:numPr>
        <w:rPr>
          <w:rFonts w:ascii="Arial" w:cs="Arial" w:eastAsia="Arial" w:hAnsi="Arial"/>
          <w:sz w:val="16"/>
          <w:szCs w:val="16"/>
          <w:color w:val="262626"/>
        </w:rPr>
      </w:pPr>
      <w:r>
        <w:rPr>
          <w:rFonts w:ascii="Arial" w:cs="Arial" w:eastAsia="Arial" w:hAnsi="Arial"/>
          <w:sz w:val="16"/>
          <w:szCs w:val="16"/>
          <w:color w:val="262626"/>
        </w:rPr>
        <w:t>Revenue: comparability across annual revenue, generally 0.25 to 4.0 times that of Broadcom</w:t>
      </w:r>
    </w:p>
    <w:p>
      <w:pPr>
        <w:spacing w:after="0" w:line="218" w:lineRule="exact"/>
        <w:rPr>
          <w:rFonts w:ascii="Arial" w:cs="Arial" w:eastAsia="Arial" w:hAnsi="Arial"/>
          <w:sz w:val="16"/>
          <w:szCs w:val="16"/>
          <w:color w:val="262626"/>
        </w:rPr>
      </w:pPr>
    </w:p>
    <w:p>
      <w:pPr>
        <w:ind w:left="1860" w:hanging="249"/>
        <w:spacing w:after="0"/>
        <w:tabs>
          <w:tab w:leader="none" w:pos="1860" w:val="left"/>
        </w:tabs>
        <w:numPr>
          <w:ilvl w:val="0"/>
          <w:numId w:val="19"/>
        </w:numPr>
        <w:rPr>
          <w:rFonts w:ascii="Arial" w:cs="Arial" w:eastAsia="Arial" w:hAnsi="Arial"/>
          <w:sz w:val="16"/>
          <w:szCs w:val="16"/>
          <w:color w:val="262626"/>
        </w:rPr>
      </w:pPr>
      <w:r>
        <w:rPr>
          <w:rFonts w:ascii="Arial" w:cs="Arial" w:eastAsia="Arial" w:hAnsi="Arial"/>
          <w:sz w:val="16"/>
          <w:szCs w:val="16"/>
          <w:color w:val="262626"/>
        </w:rPr>
        <w:t>Market capitalization: market capitalization that generally falls between 0.25 to 4.0 times that of Broadcom</w:t>
      </w:r>
    </w:p>
    <w:p>
      <w:pPr>
        <w:spacing w:after="0" w:line="218" w:lineRule="exact"/>
        <w:rPr>
          <w:rFonts w:ascii="Arial" w:cs="Arial" w:eastAsia="Arial" w:hAnsi="Arial"/>
          <w:sz w:val="16"/>
          <w:szCs w:val="16"/>
          <w:color w:val="262626"/>
        </w:rPr>
      </w:pPr>
    </w:p>
    <w:p>
      <w:pPr>
        <w:ind w:left="1860" w:right="179" w:hanging="249"/>
        <w:spacing w:after="0" w:line="371" w:lineRule="auto"/>
        <w:tabs>
          <w:tab w:leader="none" w:pos="1860" w:val="left"/>
        </w:tabs>
        <w:numPr>
          <w:ilvl w:val="0"/>
          <w:numId w:val="19"/>
        </w:numPr>
        <w:rPr>
          <w:rFonts w:ascii="Arial" w:cs="Arial" w:eastAsia="Arial" w:hAnsi="Arial"/>
          <w:sz w:val="16"/>
          <w:szCs w:val="16"/>
          <w:color w:val="262626"/>
        </w:rPr>
      </w:pPr>
      <w:r>
        <w:rPr>
          <w:rFonts w:ascii="Arial" w:cs="Arial" w:eastAsia="Arial" w:hAnsi="Arial"/>
          <w:sz w:val="16"/>
          <w:szCs w:val="16"/>
          <w:color w:val="262626"/>
        </w:rPr>
        <w:t>Industry: companies in semiconductor-related and other technology-focused industries of comparable scale and complexity</w:t>
      </w:r>
    </w:p>
    <w:p>
      <w:pPr>
        <w:spacing w:after="0" w:line="75"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Based on this holistic assessment, the Compensation Committee, in consultation with Meridian, approved the compensation peer group below for fiscal 2025. Mastercard Incorporated and Visa Inc. were removed to better reflect Broadcom’s relevant technology industry peers. Alphabet Inc. and Apple Inc. were added as they met one or more of the established criteria and reflected the limited selection of similarly-sized global enterprises that both matched our scale and compete directly in our talent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67945</wp:posOffset>
            </wp:positionV>
            <wp:extent cx="55225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07"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262626"/>
        </w:rPr>
        <w:t>Fiscal 2025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79375</wp:posOffset>
            </wp:positionV>
            <wp:extent cx="55225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99"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2240" w:type="dxa"/>
            <w:vAlign w:val="bottom"/>
          </w:tcPr>
          <w:p>
            <w:pPr>
              <w:spacing w:after="0"/>
              <w:rPr>
                <w:sz w:val="20"/>
                <w:szCs w:val="20"/>
                <w:color w:val="auto"/>
              </w:rPr>
            </w:pPr>
            <w:r>
              <w:rPr>
                <w:rFonts w:ascii="Arial" w:cs="Arial" w:eastAsia="Arial" w:hAnsi="Arial"/>
                <w:sz w:val="16"/>
                <w:szCs w:val="16"/>
                <w:color w:val="262626"/>
              </w:rPr>
              <w:t>Accenture plc</w:t>
            </w:r>
          </w:p>
        </w:tc>
        <w:tc>
          <w:tcPr>
            <w:tcW w:w="1980" w:type="dxa"/>
            <w:vAlign w:val="bottom"/>
          </w:tcPr>
          <w:p>
            <w:pPr>
              <w:ind w:left="100"/>
              <w:spacing w:after="0"/>
              <w:rPr>
                <w:sz w:val="20"/>
                <w:szCs w:val="20"/>
                <w:color w:val="auto"/>
              </w:rPr>
            </w:pPr>
            <w:r>
              <w:rPr>
                <w:rFonts w:ascii="Arial" w:cs="Arial" w:eastAsia="Arial" w:hAnsi="Arial"/>
                <w:sz w:val="16"/>
                <w:szCs w:val="16"/>
                <w:color w:val="262626"/>
              </w:rPr>
              <w:t>Apple Inc.</w:t>
            </w:r>
          </w:p>
        </w:tc>
        <w:tc>
          <w:tcPr>
            <w:tcW w:w="2180" w:type="dxa"/>
            <w:vAlign w:val="bottom"/>
          </w:tcPr>
          <w:p>
            <w:pPr>
              <w:ind w:left="300"/>
              <w:spacing w:after="0"/>
              <w:rPr>
                <w:sz w:val="20"/>
                <w:szCs w:val="20"/>
                <w:color w:val="auto"/>
              </w:rPr>
            </w:pPr>
            <w:r>
              <w:rPr>
                <w:rFonts w:ascii="Arial" w:cs="Arial" w:eastAsia="Arial" w:hAnsi="Arial"/>
                <w:sz w:val="16"/>
                <w:szCs w:val="16"/>
                <w:color w:val="262626"/>
              </w:rPr>
              <w:t>International Business</w:t>
            </w:r>
          </w:p>
        </w:tc>
        <w:tc>
          <w:tcPr>
            <w:tcW w:w="2020" w:type="dxa"/>
            <w:vAlign w:val="bottom"/>
          </w:tcPr>
          <w:p>
            <w:pPr>
              <w:ind w:left="300"/>
              <w:spacing w:after="0"/>
              <w:rPr>
                <w:sz w:val="20"/>
                <w:szCs w:val="20"/>
                <w:color w:val="auto"/>
              </w:rPr>
            </w:pPr>
            <w:r>
              <w:rPr>
                <w:rFonts w:ascii="Arial" w:cs="Arial" w:eastAsia="Arial" w:hAnsi="Arial"/>
                <w:sz w:val="16"/>
                <w:szCs w:val="16"/>
                <w:color w:val="262626"/>
              </w:rPr>
              <w:t>Oracle Corporation</w:t>
            </w:r>
          </w:p>
        </w:tc>
      </w:tr>
      <w:tr>
        <w:trPr>
          <w:trHeight w:val="214"/>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80" w:type="dxa"/>
            <w:vAlign w:val="bottom"/>
          </w:tcPr>
          <w:p>
            <w:pPr>
              <w:ind w:left="300"/>
              <w:spacing w:after="0"/>
              <w:rPr>
                <w:sz w:val="20"/>
                <w:szCs w:val="20"/>
                <w:color w:val="auto"/>
              </w:rPr>
            </w:pPr>
            <w:r>
              <w:rPr>
                <w:rFonts w:ascii="Arial" w:cs="Arial" w:eastAsia="Arial" w:hAnsi="Arial"/>
                <w:sz w:val="16"/>
                <w:szCs w:val="16"/>
                <w:color w:val="262626"/>
              </w:rPr>
              <w:t>Machines Corporation</w:t>
            </w:r>
          </w:p>
        </w:tc>
        <w:tc>
          <w:tcPr>
            <w:tcW w:w="2020" w:type="dxa"/>
            <w:vAlign w:val="bottom"/>
          </w:tcPr>
          <w:p>
            <w:pPr>
              <w:spacing w:after="0"/>
              <w:rPr>
                <w:sz w:val="18"/>
                <w:szCs w:val="18"/>
                <w:color w:val="auto"/>
              </w:rPr>
            </w:pPr>
          </w:p>
        </w:tc>
      </w:tr>
      <w:tr>
        <w:trPr>
          <w:trHeight w:val="362"/>
        </w:trPr>
        <w:tc>
          <w:tcPr>
            <w:tcW w:w="2240" w:type="dxa"/>
            <w:vAlign w:val="bottom"/>
          </w:tcPr>
          <w:p>
            <w:pPr>
              <w:spacing w:after="0"/>
              <w:rPr>
                <w:sz w:val="20"/>
                <w:szCs w:val="20"/>
                <w:color w:val="auto"/>
              </w:rPr>
            </w:pPr>
            <w:r>
              <w:rPr>
                <w:rFonts w:ascii="Arial" w:cs="Arial" w:eastAsia="Arial" w:hAnsi="Arial"/>
                <w:sz w:val="16"/>
                <w:szCs w:val="16"/>
                <w:color w:val="262626"/>
              </w:rPr>
              <w:t>Adobe Inc.</w:t>
            </w:r>
          </w:p>
        </w:tc>
        <w:tc>
          <w:tcPr>
            <w:tcW w:w="1980" w:type="dxa"/>
            <w:vAlign w:val="bottom"/>
          </w:tcPr>
          <w:p>
            <w:pPr>
              <w:ind w:left="100"/>
              <w:spacing w:after="0"/>
              <w:rPr>
                <w:sz w:val="20"/>
                <w:szCs w:val="20"/>
                <w:color w:val="auto"/>
              </w:rPr>
            </w:pPr>
            <w:r>
              <w:rPr>
                <w:rFonts w:ascii="Arial" w:cs="Arial" w:eastAsia="Arial" w:hAnsi="Arial"/>
                <w:sz w:val="16"/>
                <w:szCs w:val="16"/>
                <w:color w:val="262626"/>
              </w:rPr>
              <w:t>Applied Materials, Inc.</w:t>
            </w:r>
          </w:p>
        </w:tc>
        <w:tc>
          <w:tcPr>
            <w:tcW w:w="2180" w:type="dxa"/>
            <w:vAlign w:val="bottom"/>
          </w:tcPr>
          <w:p>
            <w:pPr>
              <w:ind w:left="300"/>
              <w:spacing w:after="0"/>
              <w:rPr>
                <w:sz w:val="20"/>
                <w:szCs w:val="20"/>
                <w:color w:val="auto"/>
              </w:rPr>
            </w:pPr>
            <w:r>
              <w:rPr>
                <w:rFonts w:ascii="Arial" w:cs="Arial" w:eastAsia="Arial" w:hAnsi="Arial"/>
                <w:sz w:val="16"/>
                <w:szCs w:val="16"/>
                <w:color w:val="262626"/>
              </w:rPr>
              <w:t>Intuit Inc.</w:t>
            </w:r>
          </w:p>
        </w:tc>
        <w:tc>
          <w:tcPr>
            <w:tcW w:w="2020" w:type="dxa"/>
            <w:vAlign w:val="bottom"/>
          </w:tcPr>
          <w:p>
            <w:pPr>
              <w:ind w:left="300"/>
              <w:spacing w:after="0"/>
              <w:rPr>
                <w:sz w:val="20"/>
                <w:szCs w:val="20"/>
                <w:color w:val="auto"/>
              </w:rPr>
            </w:pPr>
            <w:r>
              <w:rPr>
                <w:rFonts w:ascii="Arial" w:cs="Arial" w:eastAsia="Arial" w:hAnsi="Arial"/>
                <w:sz w:val="16"/>
                <w:szCs w:val="16"/>
                <w:color w:val="262626"/>
                <w:w w:val="99"/>
              </w:rPr>
              <w:t>Qualcomm Incorporated</w:t>
            </w:r>
          </w:p>
        </w:tc>
      </w:tr>
      <w:tr>
        <w:trPr>
          <w:trHeight w:val="362"/>
        </w:trPr>
        <w:tc>
          <w:tcPr>
            <w:tcW w:w="2240" w:type="dxa"/>
            <w:vAlign w:val="bottom"/>
          </w:tcPr>
          <w:p>
            <w:pPr>
              <w:spacing w:after="0"/>
              <w:rPr>
                <w:sz w:val="20"/>
                <w:szCs w:val="20"/>
                <w:color w:val="auto"/>
              </w:rPr>
            </w:pPr>
            <w:r>
              <w:rPr>
                <w:rFonts w:ascii="Arial" w:cs="Arial" w:eastAsia="Arial" w:hAnsi="Arial"/>
                <w:sz w:val="16"/>
                <w:szCs w:val="16"/>
                <w:color w:val="262626"/>
              </w:rPr>
              <w:t>Advanced Micro Devices, Inc.</w:t>
            </w:r>
          </w:p>
        </w:tc>
        <w:tc>
          <w:tcPr>
            <w:tcW w:w="1980" w:type="dxa"/>
            <w:vAlign w:val="bottom"/>
          </w:tcPr>
          <w:p>
            <w:pPr>
              <w:ind w:left="100"/>
              <w:spacing w:after="0"/>
              <w:rPr>
                <w:sz w:val="20"/>
                <w:szCs w:val="20"/>
                <w:color w:val="auto"/>
              </w:rPr>
            </w:pPr>
            <w:r>
              <w:rPr>
                <w:rFonts w:ascii="Arial" w:cs="Arial" w:eastAsia="Arial" w:hAnsi="Arial"/>
                <w:sz w:val="16"/>
                <w:szCs w:val="16"/>
                <w:color w:val="262626"/>
              </w:rPr>
              <w:t>Cisco Systems, Inc.</w:t>
            </w:r>
          </w:p>
        </w:tc>
        <w:tc>
          <w:tcPr>
            <w:tcW w:w="2180" w:type="dxa"/>
            <w:vAlign w:val="bottom"/>
          </w:tcPr>
          <w:p>
            <w:pPr>
              <w:ind w:left="300"/>
              <w:spacing w:after="0"/>
              <w:rPr>
                <w:sz w:val="20"/>
                <w:szCs w:val="20"/>
                <w:color w:val="auto"/>
              </w:rPr>
            </w:pPr>
            <w:r>
              <w:rPr>
                <w:rFonts w:ascii="Arial" w:cs="Arial" w:eastAsia="Arial" w:hAnsi="Arial"/>
                <w:sz w:val="16"/>
                <w:szCs w:val="16"/>
                <w:color w:val="262626"/>
              </w:rPr>
              <w:t>Meta Platforms, Inc.</w:t>
            </w:r>
          </w:p>
        </w:tc>
        <w:tc>
          <w:tcPr>
            <w:tcW w:w="2020" w:type="dxa"/>
            <w:vAlign w:val="bottom"/>
          </w:tcPr>
          <w:p>
            <w:pPr>
              <w:ind w:left="300"/>
              <w:spacing w:after="0"/>
              <w:rPr>
                <w:sz w:val="20"/>
                <w:szCs w:val="20"/>
                <w:color w:val="auto"/>
              </w:rPr>
            </w:pPr>
            <w:r>
              <w:rPr>
                <w:rFonts w:ascii="Arial" w:cs="Arial" w:eastAsia="Arial" w:hAnsi="Arial"/>
                <w:sz w:val="16"/>
                <w:szCs w:val="16"/>
                <w:color w:val="262626"/>
              </w:rPr>
              <w:t>Salesforce, Inc.</w:t>
            </w:r>
          </w:p>
        </w:tc>
      </w:tr>
      <w:tr>
        <w:trPr>
          <w:trHeight w:val="337"/>
        </w:trPr>
        <w:tc>
          <w:tcPr>
            <w:tcW w:w="2240" w:type="dxa"/>
            <w:vAlign w:val="bottom"/>
          </w:tcPr>
          <w:p>
            <w:pPr>
              <w:spacing w:after="0"/>
              <w:rPr>
                <w:sz w:val="20"/>
                <w:szCs w:val="20"/>
                <w:color w:val="auto"/>
              </w:rPr>
            </w:pPr>
            <w:r>
              <w:rPr>
                <w:rFonts w:ascii="Arial" w:cs="Arial" w:eastAsia="Arial" w:hAnsi="Arial"/>
                <w:sz w:val="16"/>
                <w:szCs w:val="16"/>
                <w:color w:val="262626"/>
              </w:rPr>
              <w:t>Alphabet Inc.</w:t>
            </w:r>
          </w:p>
        </w:tc>
        <w:tc>
          <w:tcPr>
            <w:tcW w:w="1980" w:type="dxa"/>
            <w:vAlign w:val="bottom"/>
          </w:tcPr>
          <w:p>
            <w:pPr>
              <w:ind w:left="100"/>
              <w:spacing w:after="0"/>
              <w:rPr>
                <w:sz w:val="20"/>
                <w:szCs w:val="20"/>
                <w:color w:val="auto"/>
              </w:rPr>
            </w:pPr>
            <w:r>
              <w:rPr>
                <w:rFonts w:ascii="Arial" w:cs="Arial" w:eastAsia="Arial" w:hAnsi="Arial"/>
                <w:sz w:val="16"/>
                <w:szCs w:val="16"/>
                <w:color w:val="262626"/>
              </w:rPr>
              <w:t>Intel Corporation</w:t>
            </w:r>
          </w:p>
        </w:tc>
        <w:tc>
          <w:tcPr>
            <w:tcW w:w="2180" w:type="dxa"/>
            <w:vAlign w:val="bottom"/>
          </w:tcPr>
          <w:p>
            <w:pPr>
              <w:ind w:left="300"/>
              <w:spacing w:after="0"/>
              <w:rPr>
                <w:sz w:val="20"/>
                <w:szCs w:val="20"/>
                <w:color w:val="auto"/>
              </w:rPr>
            </w:pPr>
            <w:r>
              <w:rPr>
                <w:rFonts w:ascii="Arial" w:cs="Arial" w:eastAsia="Arial" w:hAnsi="Arial"/>
                <w:sz w:val="16"/>
                <w:szCs w:val="16"/>
                <w:color w:val="262626"/>
              </w:rPr>
              <w:t>NVIDIA Corporation</w:t>
            </w:r>
          </w:p>
        </w:tc>
        <w:tc>
          <w:tcPr>
            <w:tcW w:w="2020" w:type="dxa"/>
            <w:vAlign w:val="bottom"/>
          </w:tcPr>
          <w:p>
            <w:pPr>
              <w:ind w:left="300"/>
              <w:spacing w:after="0"/>
              <w:rPr>
                <w:sz w:val="20"/>
                <w:szCs w:val="20"/>
                <w:color w:val="auto"/>
              </w:rPr>
            </w:pPr>
            <w:r>
              <w:rPr>
                <w:rFonts w:ascii="Arial" w:cs="Arial" w:eastAsia="Arial" w:hAnsi="Arial"/>
                <w:sz w:val="16"/>
                <w:szCs w:val="16"/>
                <w:color w:val="262626"/>
              </w:rPr>
              <w:t>Texas Instruments</w:t>
            </w:r>
          </w:p>
        </w:tc>
      </w:tr>
      <w:tr>
        <w:trPr>
          <w:trHeight w:val="214"/>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20" w:type="dxa"/>
            <w:vAlign w:val="bottom"/>
          </w:tcPr>
          <w:p>
            <w:pPr>
              <w:ind w:left="300"/>
              <w:spacing w:after="0"/>
              <w:rPr>
                <w:sz w:val="20"/>
                <w:szCs w:val="20"/>
                <w:color w:val="auto"/>
              </w:rPr>
            </w:pPr>
            <w:r>
              <w:rPr>
                <w:rFonts w:ascii="Arial" w:cs="Arial" w:eastAsia="Arial" w:hAnsi="Arial"/>
                <w:sz w:val="16"/>
                <w:szCs w:val="16"/>
                <w:color w:val="262626"/>
              </w:rPr>
              <w:t>Incorporated</w:t>
            </w:r>
          </w:p>
        </w:tc>
      </w:tr>
    </w:tbl>
    <w:p>
      <w:pPr>
        <w:spacing w:after="0" w:line="186" w:lineRule="exact"/>
        <w:rPr>
          <w:sz w:val="20"/>
          <w:szCs w:val="20"/>
          <w:color w:val="auto"/>
        </w:rPr>
      </w:pPr>
    </w:p>
    <w:p>
      <w:pPr>
        <w:sectPr>
          <w:pgSz w:w="11900" w:h="16838" w:orient="portrait"/>
          <w:cols w:equalWidth="0" w:num="1">
            <w:col w:w="10139"/>
          </w:cols>
          <w:pgMar w:left="320" w:top="480" w:right="1440" w:bottom="1440" w:gutter="0" w:footer="0" w:header="0"/>
        </w:sectPr>
      </w:pPr>
    </w:p>
    <w:p>
      <w:pPr>
        <w:ind w:left="9800"/>
        <w:spacing w:after="0"/>
        <w:rPr>
          <w:sz w:val="20"/>
          <w:szCs w:val="20"/>
          <w:color w:val="auto"/>
        </w:rPr>
      </w:pPr>
      <w:r>
        <w:rPr>
          <w:rFonts w:ascii="Arial" w:cs="Arial" w:eastAsia="Arial" w:hAnsi="Arial"/>
          <w:sz w:val="15"/>
          <w:szCs w:val="15"/>
          <w:color w:val="262626"/>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215265</wp:posOffset>
            </wp:positionV>
            <wp:extent cx="55225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372"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24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40" w:type="dxa"/>
            <w:vAlign w:val="bottom"/>
          </w:tcPr>
          <w:p>
            <w:pPr>
              <w:jc w:val="center"/>
              <w:ind w:right="19"/>
              <w:spacing w:after="0"/>
              <w:rPr>
                <w:sz w:val="20"/>
                <w:szCs w:val="20"/>
                <w:color w:val="auto"/>
              </w:rPr>
            </w:pPr>
            <w:r>
              <w:rPr>
                <w:rFonts w:ascii="Arial" w:cs="Arial" w:eastAsia="Arial" w:hAnsi="Arial"/>
                <w:sz w:val="16"/>
                <w:szCs w:val="16"/>
                <w:b w:val="1"/>
                <w:bCs w:val="1"/>
                <w:color w:val="262626"/>
              </w:rPr>
              <w:t>Revenue</w:t>
            </w:r>
          </w:p>
        </w:tc>
        <w:tc>
          <w:tcPr>
            <w:tcW w:w="2240" w:type="dxa"/>
            <w:vAlign w:val="bottom"/>
          </w:tcPr>
          <w:p>
            <w:pPr>
              <w:jc w:val="center"/>
              <w:ind w:left="519"/>
              <w:spacing w:after="0"/>
              <w:rPr>
                <w:sz w:val="20"/>
                <w:szCs w:val="20"/>
                <w:color w:val="auto"/>
              </w:rPr>
            </w:pPr>
            <w:r>
              <w:rPr>
                <w:rFonts w:ascii="Arial" w:cs="Arial" w:eastAsia="Arial" w:hAnsi="Arial"/>
                <w:sz w:val="16"/>
                <w:szCs w:val="16"/>
                <w:b w:val="1"/>
                <w:bCs w:val="1"/>
                <w:color w:val="262626"/>
                <w:w w:val="99"/>
              </w:rPr>
              <w:t>Market Capitalization</w:t>
            </w:r>
          </w:p>
        </w:tc>
      </w:tr>
      <w:tr>
        <w:trPr>
          <w:trHeight w:val="283"/>
        </w:trPr>
        <w:tc>
          <w:tcPr>
            <w:tcW w:w="2420" w:type="dxa"/>
            <w:vAlign w:val="bottom"/>
            <w:tcBorders>
              <w:bottom w:val="single" w:sz="8" w:color="CF0A2C"/>
            </w:tcBorders>
          </w:tcPr>
          <w:p>
            <w:pPr>
              <w:spacing w:after="0"/>
              <w:rPr>
                <w:sz w:val="24"/>
                <w:szCs w:val="24"/>
                <w:color w:val="auto"/>
              </w:rPr>
            </w:pPr>
          </w:p>
        </w:tc>
        <w:tc>
          <w:tcPr>
            <w:tcW w:w="2100" w:type="dxa"/>
            <w:vAlign w:val="bottom"/>
            <w:tcBorders>
              <w:bottom w:val="single" w:sz="8" w:color="CF0A2C"/>
            </w:tcBorders>
          </w:tcPr>
          <w:p>
            <w:pPr>
              <w:jc w:val="center"/>
              <w:ind w:left="39"/>
              <w:spacing w:after="0"/>
              <w:rPr>
                <w:sz w:val="20"/>
                <w:szCs w:val="20"/>
                <w:color w:val="auto"/>
              </w:rPr>
            </w:pPr>
            <w:r>
              <w:rPr>
                <w:rFonts w:ascii="Arial" w:cs="Arial" w:eastAsia="Arial" w:hAnsi="Arial"/>
                <w:sz w:val="16"/>
                <w:szCs w:val="16"/>
                <w:b w:val="1"/>
                <w:bCs w:val="1"/>
                <w:color w:val="262626"/>
              </w:rPr>
              <w:t>Percentile</w:t>
            </w:r>
          </w:p>
        </w:tc>
        <w:tc>
          <w:tcPr>
            <w:tcW w:w="1940" w:type="dxa"/>
            <w:vAlign w:val="bottom"/>
            <w:tcBorders>
              <w:bottom w:val="single" w:sz="8" w:color="CF0A2C"/>
            </w:tcBorders>
          </w:tcPr>
          <w:p>
            <w:pPr>
              <w:jc w:val="center"/>
              <w:ind w:right="19"/>
              <w:spacing w:after="0"/>
              <w:rPr>
                <w:sz w:val="20"/>
                <w:szCs w:val="20"/>
                <w:color w:val="auto"/>
              </w:rPr>
            </w:pPr>
            <w:r>
              <w:rPr>
                <w:rFonts w:ascii="Arial" w:cs="Arial" w:eastAsia="Arial" w:hAnsi="Arial"/>
                <w:sz w:val="16"/>
                <w:szCs w:val="16"/>
                <w:b w:val="1"/>
                <w:bCs w:val="1"/>
                <w:color w:val="262626"/>
                <w:w w:val="91"/>
              </w:rPr>
              <w:t>($M)</w:t>
            </w:r>
            <w:r>
              <w:rPr>
                <w:rFonts w:ascii="Arial" w:cs="Arial" w:eastAsia="Arial" w:hAnsi="Arial"/>
                <w:sz w:val="24"/>
                <w:szCs w:val="24"/>
                <w:b w:val="1"/>
                <w:bCs w:val="1"/>
                <w:color w:val="262626"/>
                <w:w w:val="91"/>
                <w:vertAlign w:val="superscript"/>
              </w:rPr>
              <w:t>(1)</w:t>
            </w:r>
          </w:p>
        </w:tc>
        <w:tc>
          <w:tcPr>
            <w:tcW w:w="2240" w:type="dxa"/>
            <w:vAlign w:val="bottom"/>
            <w:tcBorders>
              <w:bottom w:val="single" w:sz="8" w:color="CF0A2C"/>
            </w:tcBorders>
          </w:tcPr>
          <w:p>
            <w:pPr>
              <w:jc w:val="center"/>
              <w:ind w:left="519"/>
              <w:spacing w:after="0"/>
              <w:rPr>
                <w:sz w:val="20"/>
                <w:szCs w:val="20"/>
                <w:color w:val="auto"/>
              </w:rPr>
            </w:pPr>
            <w:r>
              <w:rPr>
                <w:rFonts w:ascii="Arial" w:cs="Arial" w:eastAsia="Arial" w:hAnsi="Arial"/>
                <w:sz w:val="16"/>
                <w:szCs w:val="16"/>
                <w:b w:val="1"/>
                <w:bCs w:val="1"/>
                <w:color w:val="262626"/>
                <w:w w:val="91"/>
              </w:rPr>
              <w:t>($M)</w:t>
            </w:r>
            <w:r>
              <w:rPr>
                <w:rFonts w:ascii="Arial" w:cs="Arial" w:eastAsia="Arial" w:hAnsi="Arial"/>
                <w:sz w:val="24"/>
                <w:szCs w:val="24"/>
                <w:b w:val="1"/>
                <w:bCs w:val="1"/>
                <w:color w:val="262626"/>
                <w:w w:val="91"/>
                <w:vertAlign w:val="superscript"/>
              </w:rPr>
              <w:t>(2)</w:t>
            </w:r>
          </w:p>
        </w:tc>
      </w:tr>
      <w:tr>
        <w:trPr>
          <w:trHeight w:val="207"/>
        </w:trPr>
        <w:tc>
          <w:tcPr>
            <w:tcW w:w="2420" w:type="dxa"/>
            <w:vAlign w:val="bottom"/>
          </w:tcPr>
          <w:p>
            <w:pPr>
              <w:spacing w:after="0"/>
              <w:rPr>
                <w:sz w:val="18"/>
                <w:szCs w:val="18"/>
                <w:color w:val="auto"/>
              </w:rPr>
            </w:pPr>
          </w:p>
        </w:tc>
        <w:tc>
          <w:tcPr>
            <w:tcW w:w="2100" w:type="dxa"/>
            <w:vAlign w:val="bottom"/>
          </w:tcPr>
          <w:p>
            <w:pPr>
              <w:jc w:val="center"/>
              <w:ind w:left="59"/>
              <w:spacing w:after="0"/>
              <w:rPr>
                <w:sz w:val="20"/>
                <w:szCs w:val="20"/>
                <w:color w:val="auto"/>
              </w:rPr>
            </w:pPr>
            <w:r>
              <w:rPr>
                <w:rFonts w:ascii="Arial" w:cs="Arial" w:eastAsia="Arial" w:hAnsi="Arial"/>
                <w:sz w:val="16"/>
                <w:szCs w:val="16"/>
                <w:color w:val="262626"/>
              </w:rPr>
              <w:t>25th</w:t>
            </w:r>
          </w:p>
        </w:tc>
        <w:tc>
          <w:tcPr>
            <w:tcW w:w="1940" w:type="dxa"/>
            <w:vAlign w:val="bottom"/>
          </w:tcPr>
          <w:p>
            <w:pPr>
              <w:ind w:left="640"/>
              <w:spacing w:after="0"/>
              <w:rPr>
                <w:sz w:val="20"/>
                <w:szCs w:val="20"/>
                <w:color w:val="auto"/>
              </w:rPr>
            </w:pPr>
            <w:r>
              <w:rPr>
                <w:rFonts w:ascii="Arial" w:cs="Arial" w:eastAsia="Arial" w:hAnsi="Arial"/>
                <w:sz w:val="16"/>
                <w:szCs w:val="16"/>
                <w:color w:val="262626"/>
              </w:rPr>
              <w:t>25,960 </w:t>
            </w:r>
          </w:p>
        </w:tc>
        <w:tc>
          <w:tcPr>
            <w:tcW w:w="2240" w:type="dxa"/>
            <w:vAlign w:val="bottom"/>
          </w:tcPr>
          <w:p>
            <w:pPr>
              <w:jc w:val="center"/>
              <w:ind w:left="519"/>
              <w:spacing w:after="0"/>
              <w:rPr>
                <w:sz w:val="20"/>
                <w:szCs w:val="20"/>
                <w:color w:val="auto"/>
              </w:rPr>
            </w:pPr>
            <w:r>
              <w:rPr>
                <w:rFonts w:ascii="Arial" w:cs="Arial" w:eastAsia="Arial" w:hAnsi="Arial"/>
                <w:sz w:val="16"/>
                <w:szCs w:val="16"/>
                <w:color w:val="262626"/>
              </w:rPr>
              <w:t>180,754</w:t>
            </w:r>
          </w:p>
        </w:tc>
      </w:tr>
      <w:tr>
        <w:trPr>
          <w:trHeight w:val="268"/>
        </w:trPr>
        <w:tc>
          <w:tcPr>
            <w:tcW w:w="2420" w:type="dxa"/>
            <w:vAlign w:val="bottom"/>
          </w:tcPr>
          <w:p>
            <w:pPr>
              <w:spacing w:after="0"/>
              <w:rPr>
                <w:sz w:val="20"/>
                <w:szCs w:val="20"/>
                <w:color w:val="auto"/>
              </w:rPr>
            </w:pPr>
            <w:r>
              <w:rPr>
                <w:rFonts w:ascii="Arial" w:cs="Arial" w:eastAsia="Arial" w:hAnsi="Arial"/>
                <w:sz w:val="16"/>
                <w:szCs w:val="16"/>
                <w:color w:val="262626"/>
              </w:rPr>
              <w:t>Fiscal 2025 Peer Group</w:t>
            </w:r>
          </w:p>
        </w:tc>
        <w:tc>
          <w:tcPr>
            <w:tcW w:w="2100" w:type="dxa"/>
            <w:vAlign w:val="bottom"/>
          </w:tcPr>
          <w:p>
            <w:pPr>
              <w:jc w:val="center"/>
              <w:ind w:left="59"/>
              <w:spacing w:after="0"/>
              <w:rPr>
                <w:sz w:val="20"/>
                <w:szCs w:val="20"/>
                <w:color w:val="auto"/>
              </w:rPr>
            </w:pPr>
            <w:r>
              <w:rPr>
                <w:rFonts w:ascii="Arial" w:cs="Arial" w:eastAsia="Arial" w:hAnsi="Arial"/>
                <w:sz w:val="16"/>
                <w:szCs w:val="16"/>
                <w:color w:val="262626"/>
                <w:w w:val="99"/>
              </w:rPr>
              <w:t>Median</w:t>
            </w:r>
          </w:p>
        </w:tc>
        <w:tc>
          <w:tcPr>
            <w:tcW w:w="1940" w:type="dxa"/>
            <w:vAlign w:val="bottom"/>
          </w:tcPr>
          <w:p>
            <w:pPr>
              <w:ind w:left="640"/>
              <w:spacing w:after="0"/>
              <w:rPr>
                <w:sz w:val="20"/>
                <w:szCs w:val="20"/>
                <w:color w:val="auto"/>
              </w:rPr>
            </w:pPr>
            <w:r>
              <w:rPr>
                <w:rFonts w:ascii="Arial" w:cs="Arial" w:eastAsia="Arial" w:hAnsi="Arial"/>
                <w:sz w:val="16"/>
                <w:szCs w:val="16"/>
                <w:color w:val="262626"/>
              </w:rPr>
              <w:t>53,382 </w:t>
            </w:r>
          </w:p>
        </w:tc>
        <w:tc>
          <w:tcPr>
            <w:tcW w:w="2240" w:type="dxa"/>
            <w:vAlign w:val="bottom"/>
          </w:tcPr>
          <w:p>
            <w:pPr>
              <w:jc w:val="center"/>
              <w:ind w:left="519"/>
              <w:spacing w:after="0"/>
              <w:rPr>
                <w:sz w:val="20"/>
                <w:szCs w:val="20"/>
                <w:color w:val="auto"/>
              </w:rPr>
            </w:pPr>
            <w:r>
              <w:rPr>
                <w:rFonts w:ascii="Arial" w:cs="Arial" w:eastAsia="Arial" w:hAnsi="Arial"/>
                <w:sz w:val="16"/>
                <w:szCs w:val="16"/>
                <w:color w:val="262626"/>
              </w:rPr>
              <w:t>225,791</w:t>
            </w:r>
          </w:p>
        </w:tc>
      </w:tr>
      <w:tr>
        <w:trPr>
          <w:trHeight w:val="268"/>
        </w:trPr>
        <w:tc>
          <w:tcPr>
            <w:tcW w:w="2420" w:type="dxa"/>
            <w:vAlign w:val="bottom"/>
          </w:tcPr>
          <w:p>
            <w:pPr>
              <w:spacing w:after="0"/>
              <w:rPr>
                <w:sz w:val="23"/>
                <w:szCs w:val="23"/>
                <w:color w:val="auto"/>
              </w:rPr>
            </w:pPr>
          </w:p>
        </w:tc>
        <w:tc>
          <w:tcPr>
            <w:tcW w:w="2100" w:type="dxa"/>
            <w:vAlign w:val="bottom"/>
          </w:tcPr>
          <w:p>
            <w:pPr>
              <w:jc w:val="center"/>
              <w:ind w:left="59"/>
              <w:spacing w:after="0"/>
              <w:rPr>
                <w:sz w:val="20"/>
                <w:szCs w:val="20"/>
                <w:color w:val="auto"/>
              </w:rPr>
            </w:pPr>
            <w:r>
              <w:rPr>
                <w:rFonts w:ascii="Arial" w:cs="Arial" w:eastAsia="Arial" w:hAnsi="Arial"/>
                <w:sz w:val="16"/>
                <w:szCs w:val="16"/>
                <w:color w:val="262626"/>
              </w:rPr>
              <w:t>75th</w:t>
            </w:r>
          </w:p>
        </w:tc>
        <w:tc>
          <w:tcPr>
            <w:tcW w:w="1940" w:type="dxa"/>
            <w:vAlign w:val="bottom"/>
          </w:tcPr>
          <w:p>
            <w:pPr>
              <w:ind w:left="640"/>
              <w:spacing w:after="0"/>
              <w:rPr>
                <w:sz w:val="20"/>
                <w:szCs w:val="20"/>
                <w:color w:val="auto"/>
              </w:rPr>
            </w:pPr>
            <w:r>
              <w:rPr>
                <w:rFonts w:ascii="Arial" w:cs="Arial" w:eastAsia="Arial" w:hAnsi="Arial"/>
                <w:sz w:val="16"/>
                <w:szCs w:val="16"/>
                <w:color w:val="262626"/>
              </w:rPr>
              <w:t>72,434</w:t>
            </w:r>
          </w:p>
        </w:tc>
        <w:tc>
          <w:tcPr>
            <w:tcW w:w="2240" w:type="dxa"/>
            <w:vAlign w:val="bottom"/>
          </w:tcPr>
          <w:p>
            <w:pPr>
              <w:jc w:val="center"/>
              <w:ind w:left="519"/>
              <w:spacing w:after="0"/>
              <w:rPr>
                <w:sz w:val="20"/>
                <w:szCs w:val="20"/>
                <w:color w:val="auto"/>
              </w:rPr>
            </w:pPr>
            <w:r>
              <w:rPr>
                <w:rFonts w:ascii="Arial" w:cs="Arial" w:eastAsia="Arial" w:hAnsi="Arial"/>
                <w:sz w:val="16"/>
                <w:szCs w:val="16"/>
                <w:color w:val="262626"/>
              </w:rPr>
              <w:t>599,375</w:t>
            </w:r>
          </w:p>
        </w:tc>
      </w:tr>
      <w:tr>
        <w:trPr>
          <w:trHeight w:val="69"/>
        </w:trPr>
        <w:tc>
          <w:tcPr>
            <w:tcW w:w="2420" w:type="dxa"/>
            <w:vAlign w:val="bottom"/>
            <w:tcBorders>
              <w:bottom w:val="single" w:sz="8" w:color="CF0A2C"/>
            </w:tcBorders>
          </w:tcPr>
          <w:p>
            <w:pPr>
              <w:spacing w:after="0"/>
              <w:rPr>
                <w:sz w:val="5"/>
                <w:szCs w:val="5"/>
                <w:color w:val="auto"/>
              </w:rPr>
            </w:pPr>
          </w:p>
        </w:tc>
        <w:tc>
          <w:tcPr>
            <w:tcW w:w="2100" w:type="dxa"/>
            <w:vAlign w:val="bottom"/>
            <w:tcBorders>
              <w:bottom w:val="single" w:sz="8" w:color="CF0A2C"/>
            </w:tcBorders>
          </w:tcPr>
          <w:p>
            <w:pPr>
              <w:spacing w:after="0"/>
              <w:rPr>
                <w:sz w:val="5"/>
                <w:szCs w:val="5"/>
                <w:color w:val="auto"/>
              </w:rPr>
            </w:pPr>
          </w:p>
        </w:tc>
        <w:tc>
          <w:tcPr>
            <w:tcW w:w="1940" w:type="dxa"/>
            <w:vAlign w:val="bottom"/>
            <w:tcBorders>
              <w:bottom w:val="single" w:sz="8" w:color="CF0A2C"/>
            </w:tcBorders>
          </w:tcPr>
          <w:p>
            <w:pPr>
              <w:spacing w:after="0"/>
              <w:rPr>
                <w:sz w:val="5"/>
                <w:szCs w:val="5"/>
                <w:color w:val="auto"/>
              </w:rPr>
            </w:pPr>
          </w:p>
        </w:tc>
        <w:tc>
          <w:tcPr>
            <w:tcW w:w="2240" w:type="dxa"/>
            <w:vAlign w:val="bottom"/>
            <w:tcBorders>
              <w:bottom w:val="single" w:sz="8" w:color="CF0A2C"/>
            </w:tcBorders>
          </w:tcPr>
          <w:p>
            <w:pPr>
              <w:spacing w:after="0"/>
              <w:rPr>
                <w:sz w:val="5"/>
                <w:szCs w:val="5"/>
                <w:color w:val="auto"/>
              </w:rPr>
            </w:pPr>
          </w:p>
        </w:tc>
      </w:tr>
      <w:tr>
        <w:trPr>
          <w:trHeight w:val="342"/>
        </w:trPr>
        <w:tc>
          <w:tcPr>
            <w:tcW w:w="2420" w:type="dxa"/>
            <w:vAlign w:val="bottom"/>
          </w:tcPr>
          <w:p>
            <w:pPr>
              <w:spacing w:after="0"/>
              <w:rPr>
                <w:sz w:val="20"/>
                <w:szCs w:val="20"/>
                <w:color w:val="auto"/>
              </w:rPr>
            </w:pPr>
            <w:r>
              <w:rPr>
                <w:rFonts w:ascii="Arial" w:cs="Arial" w:eastAsia="Arial" w:hAnsi="Arial"/>
                <w:sz w:val="16"/>
                <w:szCs w:val="16"/>
                <w:b w:val="1"/>
                <w:bCs w:val="1"/>
                <w:color w:val="262626"/>
              </w:rPr>
              <w:t>Broadcom</w:t>
            </w:r>
          </w:p>
        </w:tc>
        <w:tc>
          <w:tcPr>
            <w:tcW w:w="2100" w:type="dxa"/>
            <w:vAlign w:val="bottom"/>
          </w:tcPr>
          <w:p>
            <w:pPr>
              <w:spacing w:after="0"/>
              <w:rPr>
                <w:sz w:val="24"/>
                <w:szCs w:val="24"/>
                <w:color w:val="auto"/>
              </w:rPr>
            </w:pPr>
          </w:p>
        </w:tc>
        <w:tc>
          <w:tcPr>
            <w:tcW w:w="1940" w:type="dxa"/>
            <w:vAlign w:val="bottom"/>
          </w:tcPr>
          <w:p>
            <w:pPr>
              <w:ind w:left="620"/>
              <w:spacing w:after="0"/>
              <w:rPr>
                <w:sz w:val="20"/>
                <w:szCs w:val="20"/>
                <w:color w:val="auto"/>
              </w:rPr>
            </w:pPr>
            <w:r>
              <w:rPr>
                <w:rFonts w:ascii="Arial" w:cs="Arial" w:eastAsia="Arial" w:hAnsi="Arial"/>
                <w:sz w:val="16"/>
                <w:szCs w:val="16"/>
                <w:color w:val="262626"/>
              </w:rPr>
              <w:t>51,000</w:t>
            </w:r>
            <w:r>
              <w:rPr>
                <w:rFonts w:ascii="Arial" w:cs="Arial" w:eastAsia="Arial" w:hAnsi="Arial"/>
                <w:sz w:val="24"/>
                <w:szCs w:val="24"/>
                <w:color w:val="262626"/>
                <w:vertAlign w:val="superscript"/>
              </w:rPr>
              <w:t>(3)</w:t>
            </w:r>
            <w:r>
              <w:rPr>
                <w:rFonts w:ascii="Arial" w:cs="Arial" w:eastAsia="Arial" w:hAnsi="Arial"/>
                <w:sz w:val="16"/>
                <w:szCs w:val="16"/>
                <w:color w:val="262626"/>
              </w:rPr>
              <w:t>  </w:t>
            </w:r>
          </w:p>
        </w:tc>
        <w:tc>
          <w:tcPr>
            <w:tcW w:w="2240" w:type="dxa"/>
            <w:vAlign w:val="bottom"/>
          </w:tcPr>
          <w:p>
            <w:pPr>
              <w:jc w:val="center"/>
              <w:ind w:left="519"/>
              <w:spacing w:after="0"/>
              <w:rPr>
                <w:sz w:val="20"/>
                <w:szCs w:val="20"/>
                <w:color w:val="auto"/>
              </w:rPr>
            </w:pPr>
            <w:r>
              <w:rPr>
                <w:rFonts w:ascii="Arial" w:cs="Arial" w:eastAsia="Arial" w:hAnsi="Arial"/>
                <w:sz w:val="16"/>
                <w:szCs w:val="16"/>
                <w:color w:val="262626"/>
              </w:rPr>
              <w:t>737,010</w:t>
            </w:r>
          </w:p>
        </w:tc>
      </w:tr>
      <w:tr>
        <w:trPr>
          <w:trHeight w:val="222"/>
        </w:trPr>
        <w:tc>
          <w:tcPr>
            <w:tcW w:w="2420" w:type="dxa"/>
            <w:vAlign w:val="bottom"/>
          </w:tcPr>
          <w:p>
            <w:pPr>
              <w:spacing w:after="0"/>
              <w:rPr>
                <w:sz w:val="19"/>
                <w:szCs w:val="19"/>
                <w:color w:val="auto"/>
              </w:rPr>
            </w:pPr>
          </w:p>
        </w:tc>
        <w:tc>
          <w:tcPr>
            <w:tcW w:w="2100" w:type="dxa"/>
            <w:vAlign w:val="bottom"/>
          </w:tcPr>
          <w:p>
            <w:pPr>
              <w:jc w:val="center"/>
              <w:ind w:left="59"/>
              <w:spacing w:after="0"/>
              <w:rPr>
                <w:sz w:val="20"/>
                <w:szCs w:val="20"/>
                <w:color w:val="auto"/>
              </w:rPr>
            </w:pPr>
            <w:r>
              <w:rPr>
                <w:rFonts w:ascii="Arial" w:cs="Arial" w:eastAsia="Arial" w:hAnsi="Arial"/>
                <w:sz w:val="16"/>
                <w:szCs w:val="16"/>
                <w:b w:val="1"/>
                <w:bCs w:val="1"/>
                <w:color w:val="262626"/>
              </w:rPr>
              <w:t>Rank</w:t>
            </w:r>
          </w:p>
        </w:tc>
        <w:tc>
          <w:tcPr>
            <w:tcW w:w="1940" w:type="dxa"/>
            <w:vAlign w:val="bottom"/>
          </w:tcPr>
          <w:p>
            <w:pPr>
              <w:ind w:left="780"/>
              <w:spacing w:after="0"/>
              <w:rPr>
                <w:sz w:val="20"/>
                <w:szCs w:val="20"/>
                <w:color w:val="auto"/>
              </w:rPr>
            </w:pPr>
            <w:r>
              <w:rPr>
                <w:rFonts w:ascii="Arial" w:cs="Arial" w:eastAsia="Arial" w:hAnsi="Arial"/>
                <w:sz w:val="16"/>
                <w:szCs w:val="16"/>
                <w:b w:val="1"/>
                <w:bCs w:val="1"/>
                <w:color w:val="262626"/>
              </w:rPr>
              <w:t>46%</w:t>
            </w:r>
          </w:p>
        </w:tc>
        <w:tc>
          <w:tcPr>
            <w:tcW w:w="2240" w:type="dxa"/>
            <w:vAlign w:val="bottom"/>
          </w:tcPr>
          <w:p>
            <w:pPr>
              <w:jc w:val="center"/>
              <w:ind w:left="519"/>
              <w:spacing w:after="0"/>
              <w:rPr>
                <w:sz w:val="20"/>
                <w:szCs w:val="20"/>
                <w:color w:val="auto"/>
              </w:rPr>
            </w:pPr>
            <w:r>
              <w:rPr>
                <w:rFonts w:ascii="Arial" w:cs="Arial" w:eastAsia="Arial" w:hAnsi="Arial"/>
                <w:sz w:val="16"/>
                <w:szCs w:val="16"/>
                <w:b w:val="1"/>
                <w:bCs w:val="1"/>
                <w:color w:val="262626"/>
                <w:w w:val="99"/>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89535</wp:posOffset>
            </wp:positionV>
            <wp:extent cx="4343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166" w:lineRule="exact"/>
        <w:rPr>
          <w:sz w:val="20"/>
          <w:szCs w:val="20"/>
          <w:color w:val="auto"/>
        </w:rPr>
      </w:pPr>
    </w:p>
    <w:p>
      <w:pPr>
        <w:ind w:left="1620" w:hanging="344"/>
        <w:spacing w:after="0"/>
        <w:tabs>
          <w:tab w:leader="none" w:pos="1620" w:val="left"/>
        </w:tabs>
        <w:numPr>
          <w:ilvl w:val="0"/>
          <w:numId w:val="20"/>
        </w:numPr>
        <w:rPr>
          <w:rFonts w:ascii="Arial" w:cs="Arial" w:eastAsia="Arial" w:hAnsi="Arial"/>
          <w:sz w:val="14"/>
          <w:szCs w:val="14"/>
          <w:color w:val="262626"/>
        </w:rPr>
      </w:pPr>
      <w:r>
        <w:rPr>
          <w:rFonts w:ascii="Arial" w:cs="Arial" w:eastAsia="Arial" w:hAnsi="Arial"/>
          <w:sz w:val="14"/>
          <w:szCs w:val="14"/>
          <w:color w:val="262626"/>
        </w:rPr>
        <w:t>Based on the most recently available trailing four quarters as of August 9, 2024, except as noted in footnote 3.</w:t>
      </w:r>
    </w:p>
    <w:p>
      <w:pPr>
        <w:spacing w:after="0" w:line="40" w:lineRule="exact"/>
        <w:rPr>
          <w:rFonts w:ascii="Arial" w:cs="Arial" w:eastAsia="Arial" w:hAnsi="Arial"/>
          <w:sz w:val="14"/>
          <w:szCs w:val="14"/>
          <w:color w:val="262626"/>
        </w:rPr>
      </w:pPr>
    </w:p>
    <w:p>
      <w:pPr>
        <w:ind w:left="1620" w:hanging="344"/>
        <w:spacing w:after="0"/>
        <w:tabs>
          <w:tab w:leader="none" w:pos="1620" w:val="left"/>
        </w:tabs>
        <w:numPr>
          <w:ilvl w:val="0"/>
          <w:numId w:val="20"/>
        </w:numPr>
        <w:rPr>
          <w:rFonts w:ascii="Arial" w:cs="Arial" w:eastAsia="Arial" w:hAnsi="Arial"/>
          <w:sz w:val="14"/>
          <w:szCs w:val="14"/>
          <w:color w:val="262626"/>
        </w:rPr>
      </w:pPr>
      <w:r>
        <w:rPr>
          <w:rFonts w:ascii="Arial" w:cs="Arial" w:eastAsia="Arial" w:hAnsi="Arial"/>
          <w:sz w:val="14"/>
          <w:szCs w:val="14"/>
          <w:color w:val="262626"/>
        </w:rPr>
        <w:t>Based on the 30-trading day average as of August 9, 2024.</w:t>
      </w:r>
    </w:p>
    <w:p>
      <w:pPr>
        <w:spacing w:after="0" w:line="40" w:lineRule="exact"/>
        <w:rPr>
          <w:rFonts w:ascii="Arial" w:cs="Arial" w:eastAsia="Arial" w:hAnsi="Arial"/>
          <w:sz w:val="14"/>
          <w:szCs w:val="14"/>
          <w:color w:val="262626"/>
        </w:rPr>
      </w:pPr>
    </w:p>
    <w:p>
      <w:pPr>
        <w:ind w:left="1620" w:hanging="344"/>
        <w:spacing w:after="0"/>
        <w:tabs>
          <w:tab w:leader="none" w:pos="1620" w:val="left"/>
        </w:tabs>
        <w:numPr>
          <w:ilvl w:val="0"/>
          <w:numId w:val="20"/>
        </w:numPr>
        <w:rPr>
          <w:rFonts w:ascii="Arial" w:cs="Arial" w:eastAsia="Arial" w:hAnsi="Arial"/>
          <w:sz w:val="14"/>
          <w:szCs w:val="14"/>
          <w:color w:val="262626"/>
        </w:rPr>
      </w:pPr>
      <w:r>
        <w:rPr>
          <w:rFonts w:ascii="Arial" w:cs="Arial" w:eastAsia="Arial" w:hAnsi="Arial"/>
          <w:sz w:val="14"/>
          <w:szCs w:val="14"/>
          <w:color w:val="262626"/>
        </w:rPr>
        <w:t>Reflects revenue guidance publicly disclosed by Broadcom on June 12, 2024.</w:t>
      </w: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ELEMENTS OF FISCAL 2025 EXECUTIVE COMPENSATION PROGRAM</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The principal elements of our executive compensation program are:</w:t>
      </w:r>
    </w:p>
    <w:p>
      <w:pPr>
        <w:spacing w:after="0" w:line="205" w:lineRule="exact"/>
        <w:rPr>
          <w:sz w:val="20"/>
          <w:szCs w:val="20"/>
          <w:color w:val="auto"/>
        </w:rPr>
      </w:pPr>
    </w:p>
    <w:p>
      <w:pPr>
        <w:ind w:left="1860" w:hanging="249"/>
        <w:spacing w:after="0"/>
        <w:tabs>
          <w:tab w:leader="none" w:pos="1860" w:val="left"/>
        </w:tabs>
        <w:numPr>
          <w:ilvl w:val="0"/>
          <w:numId w:val="21"/>
        </w:numPr>
        <w:rPr>
          <w:rFonts w:ascii="Arial" w:cs="Arial" w:eastAsia="Arial" w:hAnsi="Arial"/>
          <w:sz w:val="16"/>
          <w:szCs w:val="16"/>
          <w:color w:val="262626"/>
        </w:rPr>
      </w:pPr>
      <w:r>
        <w:rPr>
          <w:rFonts w:ascii="Arial" w:cs="Arial" w:eastAsia="Arial" w:hAnsi="Arial"/>
          <w:sz w:val="16"/>
          <w:szCs w:val="16"/>
          <w:color w:val="262626"/>
        </w:rPr>
        <w:t>base salary;</w:t>
      </w:r>
    </w:p>
    <w:p>
      <w:pPr>
        <w:spacing w:after="0" w:line="218" w:lineRule="exact"/>
        <w:rPr>
          <w:rFonts w:ascii="Arial" w:cs="Arial" w:eastAsia="Arial" w:hAnsi="Arial"/>
          <w:sz w:val="16"/>
          <w:szCs w:val="16"/>
          <w:color w:val="262626"/>
        </w:rPr>
      </w:pPr>
    </w:p>
    <w:p>
      <w:pPr>
        <w:ind w:left="1860" w:hanging="249"/>
        <w:spacing w:after="0"/>
        <w:tabs>
          <w:tab w:leader="none" w:pos="1860" w:val="left"/>
        </w:tabs>
        <w:numPr>
          <w:ilvl w:val="0"/>
          <w:numId w:val="21"/>
        </w:numPr>
        <w:rPr>
          <w:rFonts w:ascii="Arial" w:cs="Arial" w:eastAsia="Arial" w:hAnsi="Arial"/>
          <w:sz w:val="16"/>
          <w:szCs w:val="16"/>
          <w:color w:val="262626"/>
        </w:rPr>
      </w:pPr>
      <w:r>
        <w:rPr>
          <w:rFonts w:ascii="Arial" w:cs="Arial" w:eastAsia="Arial" w:hAnsi="Arial"/>
          <w:sz w:val="16"/>
          <w:szCs w:val="16"/>
          <w:color w:val="262626"/>
        </w:rPr>
        <w:t>STI under the APB Plan;</w:t>
      </w:r>
    </w:p>
    <w:p>
      <w:pPr>
        <w:spacing w:after="0" w:line="218" w:lineRule="exact"/>
        <w:rPr>
          <w:rFonts w:ascii="Arial" w:cs="Arial" w:eastAsia="Arial" w:hAnsi="Arial"/>
          <w:sz w:val="16"/>
          <w:szCs w:val="16"/>
          <w:color w:val="262626"/>
        </w:rPr>
      </w:pPr>
    </w:p>
    <w:p>
      <w:pPr>
        <w:ind w:left="1860" w:hanging="249"/>
        <w:spacing w:after="0"/>
        <w:tabs>
          <w:tab w:leader="none" w:pos="1860" w:val="left"/>
        </w:tabs>
        <w:numPr>
          <w:ilvl w:val="0"/>
          <w:numId w:val="21"/>
        </w:numPr>
        <w:rPr>
          <w:rFonts w:ascii="Arial" w:cs="Arial" w:eastAsia="Arial" w:hAnsi="Arial"/>
          <w:sz w:val="16"/>
          <w:szCs w:val="16"/>
          <w:color w:val="262626"/>
        </w:rPr>
      </w:pPr>
      <w:r>
        <w:rPr>
          <w:rFonts w:ascii="Arial" w:cs="Arial" w:eastAsia="Arial" w:hAnsi="Arial"/>
          <w:sz w:val="16"/>
          <w:szCs w:val="16"/>
          <w:color w:val="262626"/>
        </w:rPr>
        <w:t>LTI in the form of RSU and PSU awards;</w:t>
      </w:r>
    </w:p>
    <w:p>
      <w:pPr>
        <w:spacing w:after="0" w:line="218" w:lineRule="exact"/>
        <w:rPr>
          <w:rFonts w:ascii="Arial" w:cs="Arial" w:eastAsia="Arial" w:hAnsi="Arial"/>
          <w:sz w:val="16"/>
          <w:szCs w:val="16"/>
          <w:color w:val="262626"/>
        </w:rPr>
      </w:pPr>
    </w:p>
    <w:p>
      <w:pPr>
        <w:ind w:left="1860" w:hanging="249"/>
        <w:spacing w:after="0"/>
        <w:tabs>
          <w:tab w:leader="none" w:pos="1860" w:val="left"/>
        </w:tabs>
        <w:numPr>
          <w:ilvl w:val="0"/>
          <w:numId w:val="21"/>
        </w:numPr>
        <w:rPr>
          <w:rFonts w:ascii="Arial" w:cs="Arial" w:eastAsia="Arial" w:hAnsi="Arial"/>
          <w:sz w:val="16"/>
          <w:szCs w:val="16"/>
          <w:color w:val="262626"/>
        </w:rPr>
      </w:pPr>
      <w:r>
        <w:rPr>
          <w:rFonts w:ascii="Arial" w:cs="Arial" w:eastAsia="Arial" w:hAnsi="Arial"/>
          <w:sz w:val="16"/>
          <w:szCs w:val="16"/>
          <w:color w:val="262626"/>
        </w:rPr>
        <w:t>severance and change in control payments and benefits; and</w:t>
      </w:r>
    </w:p>
    <w:p>
      <w:pPr>
        <w:spacing w:after="0" w:line="218" w:lineRule="exact"/>
        <w:rPr>
          <w:rFonts w:ascii="Arial" w:cs="Arial" w:eastAsia="Arial" w:hAnsi="Arial"/>
          <w:sz w:val="16"/>
          <w:szCs w:val="16"/>
          <w:color w:val="262626"/>
        </w:rPr>
      </w:pPr>
    </w:p>
    <w:p>
      <w:pPr>
        <w:ind w:left="1860" w:hanging="249"/>
        <w:spacing w:after="0"/>
        <w:tabs>
          <w:tab w:leader="none" w:pos="1860" w:val="left"/>
        </w:tabs>
        <w:numPr>
          <w:ilvl w:val="0"/>
          <w:numId w:val="21"/>
        </w:numPr>
        <w:rPr>
          <w:rFonts w:ascii="Arial" w:cs="Arial" w:eastAsia="Arial" w:hAnsi="Arial"/>
          <w:sz w:val="16"/>
          <w:szCs w:val="16"/>
          <w:color w:val="262626"/>
        </w:rPr>
      </w:pPr>
      <w:r>
        <w:rPr>
          <w:rFonts w:ascii="Arial" w:cs="Arial" w:eastAsia="Arial" w:hAnsi="Arial"/>
          <w:sz w:val="16"/>
          <w:szCs w:val="16"/>
          <w:color w:val="262626"/>
        </w:rPr>
        <w:t>reasonable perquisites and other personal benefits.</w:t>
      </w: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Base Salary</w:t>
      </w:r>
    </w:p>
    <w:p>
      <w:pPr>
        <w:spacing w:after="0" w:line="202"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Base salaries provide fixed compensation and are set at levels intended to reflect each executive officer’s level and scope of responsibility and contributions, while also taking into account internal pay parity among our executive officers. While generally set significantly lower than the competitive market median, base salaries are still within a competitive range for similar positions at the companies in our compensation peer group and/or market survey data.</w:t>
      </w:r>
    </w:p>
    <w:p>
      <w:pPr>
        <w:spacing w:after="0" w:line="115"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The base salaries of our executive officers are reviewed annually by the Compensation Committee, and our CEO makes recommendations to the Compensation Committee with respect to base salary adjustments for our executive officers (other than himself). Based on this review, the Compensation Committee did not approve any base salary increases for our NEOs in fiscal 2025. Our CEO has not received a base salary increase since 2020 and our other NEOs have not received an increase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127635</wp:posOffset>
            </wp:positionV>
            <wp:extent cx="55225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34"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3820" w:type="dxa"/>
            <w:vAlign w:val="bottom"/>
          </w:tcPr>
          <w:p>
            <w:pPr>
              <w:jc w:val="center"/>
              <w:ind w:left="1219"/>
              <w:spacing w:after="0"/>
              <w:rPr>
                <w:sz w:val="20"/>
                <w:szCs w:val="20"/>
                <w:color w:val="auto"/>
              </w:rPr>
            </w:pPr>
            <w:r>
              <w:rPr>
                <w:rFonts w:ascii="Arial" w:cs="Arial" w:eastAsia="Arial" w:hAnsi="Arial"/>
                <w:sz w:val="16"/>
                <w:szCs w:val="16"/>
                <w:b w:val="1"/>
                <w:bCs w:val="1"/>
                <w:color w:val="262626"/>
              </w:rPr>
              <w:t>Base Salary</w:t>
            </w: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262626"/>
              </w:rPr>
              <w:t>Change in</w:t>
            </w:r>
          </w:p>
        </w:tc>
      </w:tr>
      <w:tr>
        <w:trPr>
          <w:trHeight w:val="188"/>
        </w:trPr>
        <w:tc>
          <w:tcPr>
            <w:tcW w:w="3520" w:type="dxa"/>
            <w:vAlign w:val="bottom"/>
          </w:tcPr>
          <w:p>
            <w:pPr>
              <w:spacing w:after="0"/>
              <w:rPr>
                <w:sz w:val="16"/>
                <w:szCs w:val="16"/>
                <w:color w:val="auto"/>
              </w:rPr>
            </w:pPr>
          </w:p>
        </w:tc>
        <w:tc>
          <w:tcPr>
            <w:tcW w:w="3820" w:type="dxa"/>
            <w:vAlign w:val="bottom"/>
          </w:tcPr>
          <w:p>
            <w:pPr>
              <w:jc w:val="center"/>
              <w:ind w:left="1219"/>
              <w:spacing w:after="0"/>
              <w:rPr>
                <w:sz w:val="20"/>
                <w:szCs w:val="20"/>
                <w:color w:val="auto"/>
              </w:rPr>
            </w:pPr>
            <w:r>
              <w:rPr>
                <w:rFonts w:ascii="Arial" w:cs="Arial" w:eastAsia="Arial" w:hAnsi="Arial"/>
                <w:sz w:val="16"/>
                <w:szCs w:val="16"/>
                <w:b w:val="1"/>
                <w:bCs w:val="1"/>
                <w:color w:val="262626"/>
              </w:rPr>
              <w:t>Effective in Fiscal 2025</w:t>
            </w: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262626"/>
              </w:rPr>
              <w:t>Fiscal 2025</w:t>
            </w:r>
          </w:p>
        </w:tc>
      </w:tr>
      <w:tr>
        <w:trPr>
          <w:trHeight w:val="239"/>
        </w:trPr>
        <w:tc>
          <w:tcPr>
            <w:tcW w:w="352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262626"/>
              </w:rPr>
              <w:t>NEO</w:t>
            </w:r>
          </w:p>
        </w:tc>
        <w:tc>
          <w:tcPr>
            <w:tcW w:w="3820" w:type="dxa"/>
            <w:vAlign w:val="bottom"/>
            <w:tcBorders>
              <w:bottom w:val="single" w:sz="8" w:color="CF0A2C"/>
            </w:tcBorders>
          </w:tcPr>
          <w:p>
            <w:pPr>
              <w:jc w:val="center"/>
              <w:ind w:left="1219"/>
              <w:spacing w:after="0"/>
              <w:rPr>
                <w:sz w:val="20"/>
                <w:szCs w:val="20"/>
                <w:color w:val="auto"/>
              </w:rPr>
            </w:pPr>
            <w:r>
              <w:rPr>
                <w:rFonts w:ascii="Arial" w:cs="Arial" w:eastAsia="Arial" w:hAnsi="Arial"/>
                <w:sz w:val="16"/>
                <w:szCs w:val="16"/>
                <w:b w:val="1"/>
                <w:bCs w:val="1"/>
                <w:color w:val="262626"/>
              </w:rPr>
              <w:t>($)</w:t>
            </w:r>
          </w:p>
        </w:tc>
        <w:tc>
          <w:tcPr>
            <w:tcW w:w="1360" w:type="dxa"/>
            <w:vAlign w:val="bottom"/>
            <w:tcBorders>
              <w:bottom w:val="single" w:sz="8" w:color="CF0A2C"/>
            </w:tcBorders>
          </w:tcPr>
          <w:p>
            <w:pPr>
              <w:jc w:val="right"/>
              <w:ind w:right="339"/>
              <w:spacing w:after="0"/>
              <w:rPr>
                <w:sz w:val="20"/>
                <w:szCs w:val="20"/>
                <w:color w:val="auto"/>
              </w:rPr>
            </w:pPr>
            <w:r>
              <w:rPr>
                <w:rFonts w:ascii="Arial" w:cs="Arial" w:eastAsia="Arial" w:hAnsi="Arial"/>
                <w:sz w:val="16"/>
                <w:szCs w:val="16"/>
                <w:b w:val="1"/>
                <w:bCs w:val="1"/>
                <w:color w:val="262626"/>
              </w:rPr>
              <w:t>(%)</w:t>
            </w:r>
          </w:p>
        </w:tc>
      </w:tr>
      <w:tr>
        <w:trPr>
          <w:trHeight w:val="237"/>
        </w:trPr>
        <w:tc>
          <w:tcPr>
            <w:tcW w:w="3520" w:type="dxa"/>
            <w:vAlign w:val="bottom"/>
          </w:tcPr>
          <w:p>
            <w:pPr>
              <w:spacing w:after="0"/>
              <w:rPr>
                <w:sz w:val="20"/>
                <w:szCs w:val="20"/>
                <w:color w:val="auto"/>
              </w:rPr>
            </w:pPr>
            <w:r>
              <w:rPr>
                <w:rFonts w:ascii="Arial" w:cs="Arial" w:eastAsia="Arial" w:hAnsi="Arial"/>
                <w:sz w:val="16"/>
                <w:szCs w:val="16"/>
                <w:color w:val="262626"/>
              </w:rPr>
              <w:t>Hock E. Tan</w:t>
            </w:r>
          </w:p>
        </w:tc>
        <w:tc>
          <w:tcPr>
            <w:tcW w:w="3820" w:type="dxa"/>
            <w:vAlign w:val="bottom"/>
          </w:tcPr>
          <w:p>
            <w:pPr>
              <w:jc w:val="right"/>
              <w:ind w:right="799"/>
              <w:spacing w:after="0"/>
              <w:rPr>
                <w:sz w:val="20"/>
                <w:szCs w:val="20"/>
                <w:color w:val="auto"/>
              </w:rPr>
            </w:pPr>
            <w:r>
              <w:rPr>
                <w:rFonts w:ascii="Arial" w:cs="Arial" w:eastAsia="Arial" w:hAnsi="Arial"/>
                <w:sz w:val="16"/>
                <w:szCs w:val="16"/>
                <w:color w:val="262626"/>
              </w:rPr>
              <w:t>1,200,000</w:t>
            </w:r>
          </w:p>
        </w:tc>
        <w:tc>
          <w:tcPr>
            <w:tcW w:w="1360" w:type="dxa"/>
            <w:vAlign w:val="bottom"/>
          </w:tcPr>
          <w:p>
            <w:pPr>
              <w:jc w:val="right"/>
              <w:ind w:right="359"/>
              <w:spacing w:after="0"/>
              <w:rPr>
                <w:sz w:val="20"/>
                <w:szCs w:val="20"/>
                <w:color w:val="auto"/>
              </w:rPr>
            </w:pPr>
            <w:r>
              <w:rPr>
                <w:rFonts w:ascii="Arial" w:cs="Arial" w:eastAsia="Arial" w:hAnsi="Arial"/>
                <w:sz w:val="16"/>
                <w:szCs w:val="16"/>
                <w:color w:val="262626"/>
              </w:rPr>
              <w:t>—</w:t>
            </w:r>
          </w:p>
        </w:tc>
      </w:tr>
      <w:tr>
        <w:trPr>
          <w:trHeight w:val="295"/>
        </w:trPr>
        <w:tc>
          <w:tcPr>
            <w:tcW w:w="3520" w:type="dxa"/>
            <w:vAlign w:val="bottom"/>
          </w:tcPr>
          <w:p>
            <w:pPr>
              <w:spacing w:after="0"/>
              <w:rPr>
                <w:sz w:val="20"/>
                <w:szCs w:val="20"/>
                <w:color w:val="auto"/>
              </w:rPr>
            </w:pPr>
            <w:r>
              <w:rPr>
                <w:rFonts w:ascii="Arial" w:cs="Arial" w:eastAsia="Arial" w:hAnsi="Arial"/>
                <w:sz w:val="16"/>
                <w:szCs w:val="16"/>
                <w:color w:val="262626"/>
              </w:rPr>
              <w:t>Kirsten M. Spears</w:t>
            </w:r>
          </w:p>
        </w:tc>
        <w:tc>
          <w:tcPr>
            <w:tcW w:w="3820" w:type="dxa"/>
            <w:vAlign w:val="bottom"/>
          </w:tcPr>
          <w:p>
            <w:pPr>
              <w:jc w:val="right"/>
              <w:ind w:right="799"/>
              <w:spacing w:after="0"/>
              <w:rPr>
                <w:sz w:val="20"/>
                <w:szCs w:val="20"/>
                <w:color w:val="auto"/>
              </w:rPr>
            </w:pPr>
            <w:r>
              <w:rPr>
                <w:rFonts w:ascii="Arial" w:cs="Arial" w:eastAsia="Arial" w:hAnsi="Arial"/>
                <w:sz w:val="16"/>
                <w:szCs w:val="16"/>
                <w:color w:val="262626"/>
              </w:rPr>
              <w:t>412,000</w:t>
            </w:r>
          </w:p>
        </w:tc>
        <w:tc>
          <w:tcPr>
            <w:tcW w:w="1360" w:type="dxa"/>
            <w:vAlign w:val="bottom"/>
          </w:tcPr>
          <w:p>
            <w:pPr>
              <w:jc w:val="right"/>
              <w:ind w:right="359"/>
              <w:spacing w:after="0"/>
              <w:rPr>
                <w:sz w:val="20"/>
                <w:szCs w:val="20"/>
                <w:color w:val="auto"/>
              </w:rPr>
            </w:pPr>
            <w:r>
              <w:rPr>
                <w:rFonts w:ascii="Arial" w:cs="Arial" w:eastAsia="Arial" w:hAnsi="Arial"/>
                <w:sz w:val="16"/>
                <w:szCs w:val="16"/>
                <w:color w:val="262626"/>
              </w:rPr>
              <w:t>—</w:t>
            </w:r>
          </w:p>
        </w:tc>
      </w:tr>
      <w:tr>
        <w:trPr>
          <w:trHeight w:val="295"/>
        </w:trPr>
        <w:tc>
          <w:tcPr>
            <w:tcW w:w="3520" w:type="dxa"/>
            <w:vAlign w:val="bottom"/>
          </w:tcPr>
          <w:p>
            <w:pPr>
              <w:spacing w:after="0"/>
              <w:rPr>
                <w:sz w:val="20"/>
                <w:szCs w:val="20"/>
                <w:color w:val="auto"/>
              </w:rPr>
            </w:pPr>
            <w:r>
              <w:rPr>
                <w:rFonts w:ascii="Arial" w:cs="Arial" w:eastAsia="Arial" w:hAnsi="Arial"/>
                <w:sz w:val="16"/>
                <w:szCs w:val="16"/>
                <w:color w:val="262626"/>
              </w:rPr>
              <w:t>Mark D. Brazeal</w:t>
            </w:r>
          </w:p>
        </w:tc>
        <w:tc>
          <w:tcPr>
            <w:tcW w:w="3820" w:type="dxa"/>
            <w:vAlign w:val="bottom"/>
          </w:tcPr>
          <w:p>
            <w:pPr>
              <w:jc w:val="right"/>
              <w:ind w:right="799"/>
              <w:spacing w:after="0"/>
              <w:rPr>
                <w:sz w:val="20"/>
                <w:szCs w:val="20"/>
                <w:color w:val="auto"/>
              </w:rPr>
            </w:pPr>
            <w:r>
              <w:rPr>
                <w:rFonts w:ascii="Arial" w:cs="Arial" w:eastAsia="Arial" w:hAnsi="Arial"/>
                <w:sz w:val="16"/>
                <w:szCs w:val="16"/>
                <w:color w:val="262626"/>
              </w:rPr>
              <w:t>515,000</w:t>
            </w:r>
          </w:p>
        </w:tc>
        <w:tc>
          <w:tcPr>
            <w:tcW w:w="1360" w:type="dxa"/>
            <w:vAlign w:val="bottom"/>
          </w:tcPr>
          <w:p>
            <w:pPr>
              <w:jc w:val="right"/>
              <w:ind w:right="359"/>
              <w:spacing w:after="0"/>
              <w:rPr>
                <w:sz w:val="20"/>
                <w:szCs w:val="20"/>
                <w:color w:val="auto"/>
              </w:rPr>
            </w:pPr>
            <w:r>
              <w:rPr>
                <w:rFonts w:ascii="Arial" w:cs="Arial" w:eastAsia="Arial" w:hAnsi="Arial"/>
                <w:sz w:val="16"/>
                <w:szCs w:val="16"/>
                <w:color w:val="262626"/>
              </w:rPr>
              <w:t>—</w:t>
            </w:r>
          </w:p>
        </w:tc>
      </w:tr>
      <w:tr>
        <w:trPr>
          <w:trHeight w:val="295"/>
        </w:trPr>
        <w:tc>
          <w:tcPr>
            <w:tcW w:w="3520" w:type="dxa"/>
            <w:vAlign w:val="bottom"/>
          </w:tcPr>
          <w:p>
            <w:pPr>
              <w:spacing w:after="0"/>
              <w:rPr>
                <w:sz w:val="20"/>
                <w:szCs w:val="20"/>
                <w:color w:val="auto"/>
              </w:rPr>
            </w:pPr>
            <w:r>
              <w:rPr>
                <w:rFonts w:ascii="Arial" w:cs="Arial" w:eastAsia="Arial" w:hAnsi="Arial"/>
                <w:sz w:val="16"/>
                <w:szCs w:val="16"/>
                <w:color w:val="262626"/>
              </w:rPr>
              <w:t>Charlie B. Kawwas, Ph.D.</w:t>
            </w:r>
          </w:p>
        </w:tc>
        <w:tc>
          <w:tcPr>
            <w:tcW w:w="3820" w:type="dxa"/>
            <w:vAlign w:val="bottom"/>
          </w:tcPr>
          <w:p>
            <w:pPr>
              <w:jc w:val="right"/>
              <w:ind w:right="799"/>
              <w:spacing w:after="0"/>
              <w:rPr>
                <w:sz w:val="20"/>
                <w:szCs w:val="20"/>
                <w:color w:val="auto"/>
              </w:rPr>
            </w:pPr>
            <w:r>
              <w:rPr>
                <w:rFonts w:ascii="Arial" w:cs="Arial" w:eastAsia="Arial" w:hAnsi="Arial"/>
                <w:sz w:val="16"/>
                <w:szCs w:val="16"/>
                <w:color w:val="262626"/>
              </w:rPr>
              <w:t>721,000</w:t>
            </w:r>
          </w:p>
        </w:tc>
        <w:tc>
          <w:tcPr>
            <w:tcW w:w="1360" w:type="dxa"/>
            <w:vAlign w:val="bottom"/>
          </w:tcPr>
          <w:p>
            <w:pPr>
              <w:jc w:val="right"/>
              <w:ind w:right="359"/>
              <w:spacing w:after="0"/>
              <w:rPr>
                <w:sz w:val="20"/>
                <w:szCs w:val="20"/>
                <w:color w:val="auto"/>
              </w:rPr>
            </w:pPr>
            <w:r>
              <w:rPr>
                <w:rFonts w:ascii="Arial" w:cs="Arial" w:eastAsia="Arial" w:hAnsi="Arial"/>
                <w:sz w:val="16"/>
                <w:szCs w:val="16"/>
                <w:color w:val="262626"/>
              </w:rPr>
              <w:t>—</w:t>
            </w:r>
          </w:p>
        </w:tc>
      </w:tr>
    </w:tbl>
    <w:p>
      <w:pPr>
        <w:spacing w:after="0" w:line="181"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Annual Cash Incentive Bonus Plan</w:t>
      </w:r>
    </w:p>
    <w:p>
      <w:pPr>
        <w:spacing w:after="0" w:line="175"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The Compensation Committee believes that a significant portion of our executive officers’ target total compensation should be dependent upon Broadcom’s performance. Our executive officers are eligible to earn annual cash incentives under the APB Plan. The APB Plan is designed to encourage and motivate our executive officers to achieve our overall fiscal year corporate financial goals, divisional goals where appropriate, and to drive positive contributions to Broadcom’s growth and performance.</w:t>
      </w:r>
    </w:p>
    <w:p>
      <w:pPr>
        <w:sectPr>
          <w:pgSz w:w="11900" w:h="16838" w:orient="portrait"/>
          <w:cols w:equalWidth="0" w:num="1">
            <w:col w:w="10139"/>
          </w:cols>
          <w:pgMar w:left="320" w:top="479" w:right="1440" w:bottom="1440" w:gutter="0" w:footer="0" w:header="0"/>
        </w:sectPr>
      </w:pPr>
    </w:p>
    <w:p>
      <w:pPr>
        <w:spacing w:after="0" w:line="89"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850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Each executive officer is assigned a target annual cash incentive opportunity under the APB Plan, expressed as a percentage of such executive officer’s base salary. The Compensation Committee considers compensation peer group and market data in determining an executive officer’s target annual cash incentive opportunity. With respect to our CEO, the Compensation Committee provides such information in its recommendation to the independent directors.</w:t>
      </w:r>
    </w:p>
    <w:p>
      <w:pPr>
        <w:spacing w:after="0" w:line="101"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The target annual cash incentive opportunities for our NEOs remained unchanged in fiscal 2025 as compared to fiscal 2024. Our CEO did not receive an APB Plan payout in fiscal 2025 and the independent directors do not intend to provide our CEO with an annual cash incentive opportunity through fiscal 2027. As discussed in the proxy statement for the 2024 annual meeting, the 2023 Tan PSU Award was front-loaded to cover five years of annual cash incentive opportunities under the APB Plan and five years of 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67945</wp:posOffset>
            </wp:positionV>
            <wp:extent cx="55225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40" w:lineRule="exact"/>
        <w:rPr>
          <w:sz w:val="20"/>
          <w:szCs w:val="20"/>
          <w:color w:val="auto"/>
        </w:rPr>
      </w:pPr>
    </w:p>
    <w:tbl>
      <w:tblPr>
        <w:tblLayout w:type="fixed"/>
        <w:tblInd w:w="1280" w:type="dxa"/>
        <w:tblCellMar>
          <w:top w:w="0" w:type="dxa"/>
          <w:left w:w="0" w:type="dxa"/>
          <w:bottom w:w="0" w:type="dxa"/>
          <w:right w:w="0" w:type="dxa"/>
        </w:tblCellMar>
      </w:tblPr>
      <w:tr>
        <w:trPr>
          <w:trHeight w:val="201"/>
        </w:trPr>
        <w:tc>
          <w:tcPr>
            <w:tcW w:w="3740" w:type="dxa"/>
            <w:vAlign w:val="bottom"/>
          </w:tcPr>
          <w:p>
            <w:pPr>
              <w:spacing w:after="0"/>
              <w:rPr>
                <w:sz w:val="17"/>
                <w:szCs w:val="17"/>
                <w:color w:val="auto"/>
              </w:rPr>
            </w:pPr>
          </w:p>
        </w:tc>
        <w:tc>
          <w:tcPr>
            <w:tcW w:w="3940" w:type="dxa"/>
            <w:vAlign w:val="bottom"/>
          </w:tcPr>
          <w:p>
            <w:pPr>
              <w:jc w:val="center"/>
              <w:ind w:left="1681"/>
              <w:spacing w:after="0"/>
              <w:rPr>
                <w:sz w:val="20"/>
                <w:szCs w:val="20"/>
                <w:color w:val="auto"/>
              </w:rPr>
            </w:pPr>
            <w:r>
              <w:rPr>
                <w:rFonts w:ascii="Arial" w:cs="Arial" w:eastAsia="Arial" w:hAnsi="Arial"/>
                <w:sz w:val="16"/>
                <w:szCs w:val="16"/>
                <w:b w:val="1"/>
                <w:bCs w:val="1"/>
                <w:color w:val="262626"/>
              </w:rPr>
              <w:t>Fiscal 2025</w:t>
            </w:r>
          </w:p>
        </w:tc>
        <w:tc>
          <w:tcPr>
            <w:tcW w:w="1020" w:type="dxa"/>
            <w:vAlign w:val="bottom"/>
          </w:tcPr>
          <w:p>
            <w:pPr>
              <w:jc w:val="center"/>
              <w:ind w:left="39"/>
              <w:spacing w:after="0"/>
              <w:rPr>
                <w:sz w:val="20"/>
                <w:szCs w:val="20"/>
                <w:color w:val="auto"/>
              </w:rPr>
            </w:pPr>
            <w:r>
              <w:rPr>
                <w:rFonts w:ascii="Arial" w:cs="Arial" w:eastAsia="Arial" w:hAnsi="Arial"/>
                <w:sz w:val="16"/>
                <w:szCs w:val="16"/>
                <w:b w:val="1"/>
                <w:bCs w:val="1"/>
                <w:color w:val="262626"/>
              </w:rPr>
              <w:t>Change in</w:t>
            </w:r>
          </w:p>
        </w:tc>
      </w:tr>
      <w:tr>
        <w:trPr>
          <w:trHeight w:val="188"/>
        </w:trPr>
        <w:tc>
          <w:tcPr>
            <w:tcW w:w="3740" w:type="dxa"/>
            <w:vAlign w:val="bottom"/>
          </w:tcPr>
          <w:p>
            <w:pPr>
              <w:spacing w:after="0"/>
              <w:rPr>
                <w:sz w:val="16"/>
                <w:szCs w:val="16"/>
                <w:color w:val="auto"/>
              </w:rPr>
            </w:pPr>
          </w:p>
        </w:tc>
        <w:tc>
          <w:tcPr>
            <w:tcW w:w="3940" w:type="dxa"/>
            <w:vAlign w:val="bottom"/>
          </w:tcPr>
          <w:p>
            <w:pPr>
              <w:jc w:val="center"/>
              <w:ind w:left="1681"/>
              <w:spacing w:after="0"/>
              <w:rPr>
                <w:sz w:val="20"/>
                <w:szCs w:val="20"/>
                <w:color w:val="auto"/>
              </w:rPr>
            </w:pPr>
            <w:r>
              <w:rPr>
                <w:rFonts w:ascii="Arial" w:cs="Arial" w:eastAsia="Arial" w:hAnsi="Arial"/>
                <w:sz w:val="16"/>
                <w:szCs w:val="16"/>
                <w:b w:val="1"/>
                <w:bCs w:val="1"/>
                <w:color w:val="262626"/>
                <w:w w:val="99"/>
              </w:rPr>
              <w:t>APB Plan Target Bonus</w:t>
            </w:r>
          </w:p>
        </w:tc>
        <w:tc>
          <w:tcPr>
            <w:tcW w:w="1020" w:type="dxa"/>
            <w:vAlign w:val="bottom"/>
          </w:tcPr>
          <w:p>
            <w:pPr>
              <w:jc w:val="center"/>
              <w:ind w:left="39"/>
              <w:spacing w:after="0"/>
              <w:rPr>
                <w:sz w:val="20"/>
                <w:szCs w:val="20"/>
                <w:color w:val="auto"/>
              </w:rPr>
            </w:pPr>
            <w:r>
              <w:rPr>
                <w:rFonts w:ascii="Arial" w:cs="Arial" w:eastAsia="Arial" w:hAnsi="Arial"/>
                <w:sz w:val="16"/>
                <w:szCs w:val="16"/>
                <w:b w:val="1"/>
                <w:bCs w:val="1"/>
                <w:color w:val="262626"/>
              </w:rPr>
              <w:t>Fiscal 2025</w:t>
            </w:r>
          </w:p>
        </w:tc>
      </w:tr>
      <w:tr>
        <w:trPr>
          <w:trHeight w:val="229"/>
        </w:trPr>
        <w:tc>
          <w:tcPr>
            <w:tcW w:w="374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262626"/>
              </w:rPr>
              <w:t>NEO</w:t>
            </w:r>
          </w:p>
        </w:tc>
        <w:tc>
          <w:tcPr>
            <w:tcW w:w="3940" w:type="dxa"/>
            <w:vAlign w:val="bottom"/>
            <w:tcBorders>
              <w:bottom w:val="single" w:sz="8" w:color="CF0A2C"/>
            </w:tcBorders>
          </w:tcPr>
          <w:p>
            <w:pPr>
              <w:jc w:val="center"/>
              <w:ind w:left="1701"/>
              <w:spacing w:after="0"/>
              <w:rPr>
                <w:sz w:val="20"/>
                <w:szCs w:val="20"/>
                <w:color w:val="auto"/>
              </w:rPr>
            </w:pPr>
            <w:r>
              <w:rPr>
                <w:rFonts w:ascii="Arial" w:cs="Arial" w:eastAsia="Arial" w:hAnsi="Arial"/>
                <w:sz w:val="14"/>
                <w:szCs w:val="14"/>
                <w:b w:val="1"/>
                <w:bCs w:val="1"/>
                <w:color w:val="262626"/>
              </w:rPr>
              <w:t>(as a % of eligible earnings)</w:t>
            </w:r>
          </w:p>
        </w:tc>
        <w:tc>
          <w:tcPr>
            <w:tcW w:w="1020" w:type="dxa"/>
            <w:vAlign w:val="bottom"/>
            <w:tcBorders>
              <w:bottom w:val="single" w:sz="8" w:color="CF0A2C"/>
            </w:tcBorders>
          </w:tcPr>
          <w:p>
            <w:pPr>
              <w:jc w:val="center"/>
              <w:ind w:left="59"/>
              <w:spacing w:after="0"/>
              <w:rPr>
                <w:sz w:val="20"/>
                <w:szCs w:val="20"/>
                <w:color w:val="auto"/>
              </w:rPr>
            </w:pPr>
            <w:r>
              <w:rPr>
                <w:rFonts w:ascii="Arial" w:cs="Arial" w:eastAsia="Arial" w:hAnsi="Arial"/>
                <w:sz w:val="16"/>
                <w:szCs w:val="16"/>
                <w:b w:val="1"/>
                <w:bCs w:val="1"/>
                <w:color w:val="262626"/>
                <w:w w:val="96"/>
              </w:rPr>
              <w:t>(%)</w:t>
            </w:r>
          </w:p>
        </w:tc>
      </w:tr>
      <w:tr>
        <w:trPr>
          <w:trHeight w:val="260"/>
        </w:trPr>
        <w:tc>
          <w:tcPr>
            <w:tcW w:w="3740" w:type="dxa"/>
            <w:vAlign w:val="bottom"/>
          </w:tcPr>
          <w:p>
            <w:pPr>
              <w:spacing w:after="0"/>
              <w:rPr>
                <w:sz w:val="20"/>
                <w:szCs w:val="20"/>
                <w:color w:val="auto"/>
              </w:rPr>
            </w:pPr>
            <w:r>
              <w:rPr>
                <w:rFonts w:ascii="Arial" w:cs="Arial" w:eastAsia="Arial" w:hAnsi="Arial"/>
                <w:sz w:val="16"/>
                <w:szCs w:val="16"/>
                <w:color w:val="262626"/>
              </w:rPr>
              <w:t>Hock E. Tan</w:t>
            </w:r>
          </w:p>
        </w:tc>
        <w:tc>
          <w:tcPr>
            <w:tcW w:w="3940" w:type="dxa"/>
            <w:vAlign w:val="bottom"/>
          </w:tcPr>
          <w:p>
            <w:pPr>
              <w:jc w:val="right"/>
              <w:ind w:right="701"/>
              <w:spacing w:after="0"/>
              <w:rPr>
                <w:sz w:val="20"/>
                <w:szCs w:val="20"/>
                <w:color w:val="auto"/>
              </w:rPr>
            </w:pPr>
            <w:r>
              <w:rPr>
                <w:rFonts w:ascii="Arial" w:cs="Arial" w:eastAsia="Arial" w:hAnsi="Arial"/>
                <w:sz w:val="16"/>
                <w:szCs w:val="16"/>
                <w:color w:val="262626"/>
              </w:rPr>
              <w:t>0%</w:t>
            </w:r>
          </w:p>
        </w:tc>
        <w:tc>
          <w:tcPr>
            <w:tcW w:w="1020" w:type="dxa"/>
            <w:vAlign w:val="bottom"/>
          </w:tcPr>
          <w:p>
            <w:pPr>
              <w:ind w:left="560"/>
              <w:spacing w:after="0"/>
              <w:rPr>
                <w:sz w:val="20"/>
                <w:szCs w:val="20"/>
                <w:color w:val="auto"/>
              </w:rPr>
            </w:pPr>
            <w:r>
              <w:rPr>
                <w:rFonts w:ascii="Arial" w:cs="Arial" w:eastAsia="Arial" w:hAnsi="Arial"/>
                <w:sz w:val="16"/>
                <w:szCs w:val="16"/>
                <w:color w:val="262626"/>
              </w:rPr>
              <w:t>—</w:t>
            </w:r>
          </w:p>
        </w:tc>
      </w:tr>
      <w:tr>
        <w:trPr>
          <w:trHeight w:val="309"/>
        </w:trPr>
        <w:tc>
          <w:tcPr>
            <w:tcW w:w="3740" w:type="dxa"/>
            <w:vAlign w:val="bottom"/>
          </w:tcPr>
          <w:p>
            <w:pPr>
              <w:spacing w:after="0"/>
              <w:rPr>
                <w:sz w:val="20"/>
                <w:szCs w:val="20"/>
                <w:color w:val="auto"/>
              </w:rPr>
            </w:pPr>
            <w:r>
              <w:rPr>
                <w:rFonts w:ascii="Arial" w:cs="Arial" w:eastAsia="Arial" w:hAnsi="Arial"/>
                <w:sz w:val="16"/>
                <w:szCs w:val="16"/>
                <w:color w:val="262626"/>
              </w:rPr>
              <w:t>Kirsten M. Spears</w:t>
            </w:r>
          </w:p>
        </w:tc>
        <w:tc>
          <w:tcPr>
            <w:tcW w:w="3940" w:type="dxa"/>
            <w:vAlign w:val="bottom"/>
          </w:tcPr>
          <w:p>
            <w:pPr>
              <w:jc w:val="right"/>
              <w:ind w:right="701"/>
              <w:spacing w:after="0"/>
              <w:rPr>
                <w:sz w:val="20"/>
                <w:szCs w:val="20"/>
                <w:color w:val="auto"/>
              </w:rPr>
            </w:pPr>
            <w:r>
              <w:rPr>
                <w:rFonts w:ascii="Arial" w:cs="Arial" w:eastAsia="Arial" w:hAnsi="Arial"/>
                <w:sz w:val="16"/>
                <w:szCs w:val="16"/>
                <w:color w:val="262626"/>
              </w:rPr>
              <w:t>100%</w:t>
            </w:r>
          </w:p>
        </w:tc>
        <w:tc>
          <w:tcPr>
            <w:tcW w:w="1020" w:type="dxa"/>
            <w:vAlign w:val="bottom"/>
          </w:tcPr>
          <w:p>
            <w:pPr>
              <w:ind w:left="560"/>
              <w:spacing w:after="0"/>
              <w:rPr>
                <w:sz w:val="20"/>
                <w:szCs w:val="20"/>
                <w:color w:val="auto"/>
              </w:rPr>
            </w:pPr>
            <w:r>
              <w:rPr>
                <w:rFonts w:ascii="Arial" w:cs="Arial" w:eastAsia="Arial" w:hAnsi="Arial"/>
                <w:sz w:val="16"/>
                <w:szCs w:val="16"/>
                <w:color w:val="262626"/>
              </w:rPr>
              <w:t>—</w:t>
            </w:r>
          </w:p>
        </w:tc>
      </w:tr>
      <w:tr>
        <w:trPr>
          <w:trHeight w:val="309"/>
        </w:trPr>
        <w:tc>
          <w:tcPr>
            <w:tcW w:w="3740" w:type="dxa"/>
            <w:vAlign w:val="bottom"/>
          </w:tcPr>
          <w:p>
            <w:pPr>
              <w:spacing w:after="0"/>
              <w:rPr>
                <w:sz w:val="20"/>
                <w:szCs w:val="20"/>
                <w:color w:val="auto"/>
              </w:rPr>
            </w:pPr>
            <w:r>
              <w:rPr>
                <w:rFonts w:ascii="Arial" w:cs="Arial" w:eastAsia="Arial" w:hAnsi="Arial"/>
                <w:sz w:val="16"/>
                <w:szCs w:val="16"/>
                <w:color w:val="262626"/>
              </w:rPr>
              <w:t>Mark D. Brazeal</w:t>
            </w:r>
          </w:p>
        </w:tc>
        <w:tc>
          <w:tcPr>
            <w:tcW w:w="3940" w:type="dxa"/>
            <w:vAlign w:val="bottom"/>
          </w:tcPr>
          <w:p>
            <w:pPr>
              <w:jc w:val="right"/>
              <w:ind w:right="701"/>
              <w:spacing w:after="0"/>
              <w:rPr>
                <w:sz w:val="20"/>
                <w:szCs w:val="20"/>
                <w:color w:val="auto"/>
              </w:rPr>
            </w:pPr>
            <w:r>
              <w:rPr>
                <w:rFonts w:ascii="Arial" w:cs="Arial" w:eastAsia="Arial" w:hAnsi="Arial"/>
                <w:sz w:val="16"/>
                <w:szCs w:val="16"/>
                <w:color w:val="262626"/>
              </w:rPr>
              <w:t>100%</w:t>
            </w:r>
          </w:p>
        </w:tc>
        <w:tc>
          <w:tcPr>
            <w:tcW w:w="1020" w:type="dxa"/>
            <w:vAlign w:val="bottom"/>
          </w:tcPr>
          <w:p>
            <w:pPr>
              <w:ind w:left="560"/>
              <w:spacing w:after="0"/>
              <w:rPr>
                <w:sz w:val="20"/>
                <w:szCs w:val="20"/>
                <w:color w:val="auto"/>
              </w:rPr>
            </w:pPr>
            <w:r>
              <w:rPr>
                <w:rFonts w:ascii="Arial" w:cs="Arial" w:eastAsia="Arial" w:hAnsi="Arial"/>
                <w:sz w:val="16"/>
                <w:szCs w:val="16"/>
                <w:color w:val="262626"/>
              </w:rPr>
              <w:t>—</w:t>
            </w:r>
          </w:p>
        </w:tc>
      </w:tr>
      <w:tr>
        <w:trPr>
          <w:trHeight w:val="309"/>
        </w:trPr>
        <w:tc>
          <w:tcPr>
            <w:tcW w:w="3740" w:type="dxa"/>
            <w:vAlign w:val="bottom"/>
          </w:tcPr>
          <w:p>
            <w:pPr>
              <w:spacing w:after="0"/>
              <w:rPr>
                <w:sz w:val="20"/>
                <w:szCs w:val="20"/>
                <w:color w:val="auto"/>
              </w:rPr>
            </w:pPr>
            <w:r>
              <w:rPr>
                <w:rFonts w:ascii="Arial" w:cs="Arial" w:eastAsia="Arial" w:hAnsi="Arial"/>
                <w:sz w:val="16"/>
                <w:szCs w:val="16"/>
                <w:color w:val="262626"/>
              </w:rPr>
              <w:t>Charlie B. Kawwas, Ph.D.</w:t>
            </w:r>
          </w:p>
        </w:tc>
        <w:tc>
          <w:tcPr>
            <w:tcW w:w="3940" w:type="dxa"/>
            <w:vAlign w:val="bottom"/>
          </w:tcPr>
          <w:p>
            <w:pPr>
              <w:jc w:val="right"/>
              <w:ind w:right="701"/>
              <w:spacing w:after="0"/>
              <w:rPr>
                <w:sz w:val="20"/>
                <w:szCs w:val="20"/>
                <w:color w:val="auto"/>
              </w:rPr>
            </w:pPr>
            <w:r>
              <w:rPr>
                <w:rFonts w:ascii="Arial" w:cs="Arial" w:eastAsia="Arial" w:hAnsi="Arial"/>
                <w:sz w:val="16"/>
                <w:szCs w:val="16"/>
                <w:color w:val="262626"/>
              </w:rPr>
              <w:t>100%</w:t>
            </w:r>
          </w:p>
        </w:tc>
        <w:tc>
          <w:tcPr>
            <w:tcW w:w="1020" w:type="dxa"/>
            <w:vAlign w:val="bottom"/>
          </w:tcPr>
          <w:p>
            <w:pPr>
              <w:ind w:left="560"/>
              <w:spacing w:after="0"/>
              <w:rPr>
                <w:sz w:val="20"/>
                <w:szCs w:val="20"/>
                <w:color w:val="auto"/>
              </w:rPr>
            </w:pPr>
            <w:r>
              <w:rPr>
                <w:rFonts w:ascii="Arial" w:cs="Arial" w:eastAsia="Arial" w:hAnsi="Arial"/>
                <w:sz w:val="16"/>
                <w:szCs w:val="16"/>
                <w:color w:val="262626"/>
              </w:rPr>
              <w:t>—</w:t>
            </w:r>
          </w:p>
        </w:tc>
      </w:tr>
    </w:tbl>
    <w:p>
      <w:pPr>
        <w:spacing w:after="0" w:line="23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Fiscal 2025 APB Plan</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For fiscal 2025 three primary pillars were established under the APB Plan as outlined below.</w:t>
      </w:r>
    </w:p>
    <w:p>
      <w:pPr>
        <w:spacing w:after="0" w:line="166" w:lineRule="exact"/>
        <w:rPr>
          <w:sz w:val="20"/>
          <w:szCs w:val="20"/>
          <w:color w:val="auto"/>
        </w:rPr>
      </w:pPr>
    </w:p>
    <w:tbl>
      <w:tblPr>
        <w:tblLayout w:type="fixed"/>
        <w:tblInd w:w="1280" w:type="dxa"/>
        <w:tblCellMar>
          <w:top w:w="0" w:type="dxa"/>
          <w:left w:w="0" w:type="dxa"/>
          <w:bottom w:w="0" w:type="dxa"/>
          <w:right w:w="0" w:type="dxa"/>
        </w:tblCellMar>
      </w:tblPr>
      <w:tr>
        <w:trPr>
          <w:trHeight w:val="261"/>
        </w:trPr>
        <w:tc>
          <w:tcPr>
            <w:tcW w:w="3240" w:type="dxa"/>
            <w:vAlign w:val="bottom"/>
            <w:tcBorders>
              <w:right w:val="single" w:sz="8" w:color="CF0A2C"/>
            </w:tcBorders>
          </w:tcPr>
          <w:p>
            <w:pPr>
              <w:spacing w:after="0"/>
              <w:rPr>
                <w:sz w:val="20"/>
                <w:szCs w:val="20"/>
                <w:color w:val="auto"/>
              </w:rPr>
            </w:pPr>
            <w:r>
              <w:rPr>
                <w:rFonts w:ascii="Arial" w:cs="Arial" w:eastAsia="Arial" w:hAnsi="Arial"/>
                <w:sz w:val="16"/>
                <w:szCs w:val="16"/>
                <w:b w:val="1"/>
                <w:bCs w:val="1"/>
                <w:color w:val="262626"/>
              </w:rPr>
              <w:t>Corporate Financial Goals</w:t>
            </w:r>
          </w:p>
        </w:tc>
        <w:tc>
          <w:tcPr>
            <w:tcW w:w="340" w:type="dxa"/>
            <w:vAlign w:val="bottom"/>
          </w:tcPr>
          <w:p>
            <w:pPr>
              <w:ind w:left="160"/>
              <w:spacing w:after="0"/>
              <w:rPr>
                <w:sz w:val="20"/>
                <w:szCs w:val="20"/>
                <w:color w:val="auto"/>
              </w:rPr>
            </w:pPr>
            <w:r>
              <w:rPr>
                <w:rFonts w:ascii="Arial" w:cs="Arial" w:eastAsia="Arial" w:hAnsi="Arial"/>
                <w:sz w:val="16"/>
                <w:szCs w:val="16"/>
                <w:color w:val="262626"/>
              </w:rPr>
              <w:t>•</w:t>
            </w:r>
          </w:p>
        </w:tc>
        <w:tc>
          <w:tcPr>
            <w:tcW w:w="5120" w:type="dxa"/>
            <w:vAlign w:val="bottom"/>
          </w:tcPr>
          <w:p>
            <w:pPr>
              <w:ind w:left="140"/>
              <w:spacing w:after="0"/>
              <w:rPr>
                <w:sz w:val="20"/>
                <w:szCs w:val="20"/>
                <w:color w:val="auto"/>
              </w:rPr>
            </w:pPr>
            <w:r>
              <w:rPr>
                <w:rFonts w:ascii="Arial" w:cs="Arial" w:eastAsia="Arial" w:hAnsi="Arial"/>
                <w:sz w:val="16"/>
                <w:szCs w:val="16"/>
                <w:color w:val="262626"/>
              </w:rPr>
              <w:t>Revenue</w:t>
            </w:r>
          </w:p>
        </w:tc>
      </w:tr>
      <w:tr>
        <w:trPr>
          <w:trHeight w:val="301"/>
        </w:trPr>
        <w:tc>
          <w:tcPr>
            <w:tcW w:w="3240" w:type="dxa"/>
            <w:vAlign w:val="bottom"/>
            <w:tcBorders>
              <w:right w:val="single" w:sz="8" w:color="CF0A2C"/>
            </w:tcBorders>
          </w:tcPr>
          <w:p>
            <w:pPr>
              <w:spacing w:after="0"/>
              <w:rPr>
                <w:sz w:val="24"/>
                <w:szCs w:val="24"/>
                <w:color w:val="auto"/>
              </w:rPr>
            </w:pPr>
          </w:p>
        </w:tc>
        <w:tc>
          <w:tcPr>
            <w:tcW w:w="340" w:type="dxa"/>
            <w:vAlign w:val="bottom"/>
          </w:tcPr>
          <w:p>
            <w:pPr>
              <w:ind w:left="160"/>
              <w:spacing w:after="0"/>
              <w:rPr>
                <w:sz w:val="20"/>
                <w:szCs w:val="20"/>
                <w:color w:val="auto"/>
              </w:rPr>
            </w:pPr>
            <w:r>
              <w:rPr>
                <w:rFonts w:ascii="Arial" w:cs="Arial" w:eastAsia="Arial" w:hAnsi="Arial"/>
                <w:sz w:val="16"/>
                <w:szCs w:val="16"/>
                <w:color w:val="262626"/>
              </w:rPr>
              <w:t>•</w:t>
            </w:r>
          </w:p>
        </w:tc>
        <w:tc>
          <w:tcPr>
            <w:tcW w:w="5120" w:type="dxa"/>
            <w:vAlign w:val="bottom"/>
          </w:tcPr>
          <w:p>
            <w:pPr>
              <w:ind w:left="140"/>
              <w:spacing w:after="0"/>
              <w:rPr>
                <w:sz w:val="20"/>
                <w:szCs w:val="20"/>
                <w:color w:val="auto"/>
              </w:rPr>
            </w:pPr>
            <w:r>
              <w:rPr>
                <w:rFonts w:ascii="Arial" w:cs="Arial" w:eastAsia="Arial" w:hAnsi="Arial"/>
                <w:sz w:val="16"/>
                <w:szCs w:val="16"/>
                <w:color w:val="262626"/>
              </w:rPr>
              <w:t>Adjusted non-GAAP operating income (as a % of revenue)</w:t>
            </w:r>
          </w:p>
        </w:tc>
      </w:tr>
      <w:tr>
        <w:trPr>
          <w:trHeight w:val="42"/>
        </w:trPr>
        <w:tc>
          <w:tcPr>
            <w:tcW w:w="3240" w:type="dxa"/>
            <w:vAlign w:val="bottom"/>
            <w:tcBorders>
              <w:bottom w:val="single" w:sz="8" w:color="CF0A2C"/>
              <w:right w:val="single" w:sz="8" w:color="CF0A2C"/>
            </w:tcBorders>
          </w:tcPr>
          <w:p>
            <w:pPr>
              <w:spacing w:after="0"/>
              <w:rPr>
                <w:sz w:val="3"/>
                <w:szCs w:val="3"/>
                <w:color w:val="auto"/>
              </w:rPr>
            </w:pPr>
          </w:p>
        </w:tc>
        <w:tc>
          <w:tcPr>
            <w:tcW w:w="340" w:type="dxa"/>
            <w:vAlign w:val="bottom"/>
            <w:tcBorders>
              <w:bottom w:val="single" w:sz="8" w:color="CF0A2C"/>
            </w:tcBorders>
          </w:tcPr>
          <w:p>
            <w:pPr>
              <w:spacing w:after="0"/>
              <w:rPr>
                <w:sz w:val="3"/>
                <w:szCs w:val="3"/>
                <w:color w:val="auto"/>
              </w:rPr>
            </w:pPr>
          </w:p>
        </w:tc>
        <w:tc>
          <w:tcPr>
            <w:tcW w:w="5120" w:type="dxa"/>
            <w:vAlign w:val="bottom"/>
            <w:tcBorders>
              <w:bottom w:val="single" w:sz="8" w:color="CF0A2C"/>
            </w:tcBorders>
          </w:tcPr>
          <w:p>
            <w:pPr>
              <w:spacing w:after="0"/>
              <w:rPr>
                <w:sz w:val="3"/>
                <w:szCs w:val="3"/>
                <w:color w:val="auto"/>
              </w:rPr>
            </w:pPr>
          </w:p>
        </w:tc>
      </w:tr>
      <w:tr>
        <w:trPr>
          <w:trHeight w:val="241"/>
        </w:trPr>
        <w:tc>
          <w:tcPr>
            <w:tcW w:w="3240" w:type="dxa"/>
            <w:vAlign w:val="bottom"/>
            <w:tcBorders>
              <w:right w:val="single" w:sz="8" w:color="CF0A2C"/>
            </w:tcBorders>
          </w:tcPr>
          <w:p>
            <w:pPr>
              <w:spacing w:after="0"/>
              <w:rPr>
                <w:sz w:val="20"/>
                <w:szCs w:val="20"/>
                <w:color w:val="auto"/>
              </w:rPr>
            </w:pPr>
            <w:r>
              <w:rPr>
                <w:rFonts w:ascii="Arial" w:cs="Arial" w:eastAsia="Arial" w:hAnsi="Arial"/>
                <w:sz w:val="16"/>
                <w:szCs w:val="16"/>
                <w:b w:val="1"/>
                <w:bCs w:val="1"/>
                <w:color w:val="262626"/>
              </w:rPr>
              <w:t>Division Financial and Strategic Goals</w:t>
            </w:r>
          </w:p>
        </w:tc>
        <w:tc>
          <w:tcPr>
            <w:tcW w:w="340" w:type="dxa"/>
            <w:vAlign w:val="bottom"/>
          </w:tcPr>
          <w:p>
            <w:pPr>
              <w:ind w:left="160"/>
              <w:spacing w:after="0"/>
              <w:rPr>
                <w:sz w:val="20"/>
                <w:szCs w:val="20"/>
                <w:color w:val="auto"/>
              </w:rPr>
            </w:pPr>
            <w:r>
              <w:rPr>
                <w:rFonts w:ascii="Arial" w:cs="Arial" w:eastAsia="Arial" w:hAnsi="Arial"/>
                <w:sz w:val="16"/>
                <w:szCs w:val="16"/>
                <w:color w:val="262626"/>
              </w:rPr>
              <w:t>•</w:t>
            </w:r>
          </w:p>
        </w:tc>
        <w:tc>
          <w:tcPr>
            <w:tcW w:w="5120" w:type="dxa"/>
            <w:vAlign w:val="bottom"/>
          </w:tcPr>
          <w:p>
            <w:pPr>
              <w:ind w:left="140"/>
              <w:spacing w:after="0"/>
              <w:rPr>
                <w:sz w:val="20"/>
                <w:szCs w:val="20"/>
                <w:color w:val="auto"/>
              </w:rPr>
            </w:pPr>
            <w:r>
              <w:rPr>
                <w:rFonts w:ascii="Arial" w:cs="Arial" w:eastAsia="Arial" w:hAnsi="Arial"/>
                <w:sz w:val="16"/>
                <w:szCs w:val="16"/>
                <w:color w:val="262626"/>
              </w:rPr>
              <w:t>Direct expense and fiscal responsibility of the division</w:t>
            </w:r>
          </w:p>
        </w:tc>
      </w:tr>
      <w:tr>
        <w:trPr>
          <w:trHeight w:val="301"/>
        </w:trPr>
        <w:tc>
          <w:tcPr>
            <w:tcW w:w="3240" w:type="dxa"/>
            <w:vAlign w:val="bottom"/>
            <w:tcBorders>
              <w:right w:val="single" w:sz="8" w:color="CF0A2C"/>
            </w:tcBorders>
          </w:tcPr>
          <w:p>
            <w:pPr>
              <w:spacing w:after="0"/>
              <w:rPr>
                <w:sz w:val="24"/>
                <w:szCs w:val="24"/>
                <w:color w:val="auto"/>
              </w:rPr>
            </w:pPr>
          </w:p>
        </w:tc>
        <w:tc>
          <w:tcPr>
            <w:tcW w:w="340" w:type="dxa"/>
            <w:vAlign w:val="bottom"/>
          </w:tcPr>
          <w:p>
            <w:pPr>
              <w:ind w:left="160"/>
              <w:spacing w:after="0"/>
              <w:rPr>
                <w:sz w:val="20"/>
                <w:szCs w:val="20"/>
                <w:color w:val="auto"/>
              </w:rPr>
            </w:pPr>
            <w:r>
              <w:rPr>
                <w:rFonts w:ascii="Arial" w:cs="Arial" w:eastAsia="Arial" w:hAnsi="Arial"/>
                <w:sz w:val="16"/>
                <w:szCs w:val="16"/>
                <w:color w:val="262626"/>
              </w:rPr>
              <w:t>•</w:t>
            </w:r>
          </w:p>
        </w:tc>
        <w:tc>
          <w:tcPr>
            <w:tcW w:w="5120" w:type="dxa"/>
            <w:vAlign w:val="bottom"/>
          </w:tcPr>
          <w:p>
            <w:pPr>
              <w:ind w:left="140"/>
              <w:spacing w:after="0"/>
              <w:rPr>
                <w:sz w:val="20"/>
                <w:szCs w:val="20"/>
                <w:color w:val="auto"/>
              </w:rPr>
            </w:pPr>
            <w:r>
              <w:rPr>
                <w:rFonts w:ascii="Arial" w:cs="Arial" w:eastAsia="Arial" w:hAnsi="Arial"/>
                <w:sz w:val="16"/>
                <w:szCs w:val="16"/>
                <w:color w:val="262626"/>
              </w:rPr>
              <w:t>Divisional strategic goals</w:t>
            </w:r>
          </w:p>
        </w:tc>
      </w:tr>
      <w:tr>
        <w:trPr>
          <w:trHeight w:val="42"/>
        </w:trPr>
        <w:tc>
          <w:tcPr>
            <w:tcW w:w="3240" w:type="dxa"/>
            <w:vAlign w:val="bottom"/>
            <w:tcBorders>
              <w:bottom w:val="single" w:sz="8" w:color="CF0A2C"/>
              <w:right w:val="single" w:sz="8" w:color="CF0A2C"/>
            </w:tcBorders>
          </w:tcPr>
          <w:p>
            <w:pPr>
              <w:spacing w:after="0"/>
              <w:rPr>
                <w:sz w:val="3"/>
                <w:szCs w:val="3"/>
                <w:color w:val="auto"/>
              </w:rPr>
            </w:pPr>
          </w:p>
        </w:tc>
        <w:tc>
          <w:tcPr>
            <w:tcW w:w="340" w:type="dxa"/>
            <w:vAlign w:val="bottom"/>
            <w:tcBorders>
              <w:bottom w:val="single" w:sz="8" w:color="CF0A2C"/>
            </w:tcBorders>
          </w:tcPr>
          <w:p>
            <w:pPr>
              <w:spacing w:after="0"/>
              <w:rPr>
                <w:sz w:val="3"/>
                <w:szCs w:val="3"/>
                <w:color w:val="auto"/>
              </w:rPr>
            </w:pPr>
          </w:p>
        </w:tc>
        <w:tc>
          <w:tcPr>
            <w:tcW w:w="5120" w:type="dxa"/>
            <w:vAlign w:val="bottom"/>
            <w:tcBorders>
              <w:bottom w:val="single" w:sz="8" w:color="CF0A2C"/>
            </w:tcBorders>
          </w:tcPr>
          <w:p>
            <w:pPr>
              <w:spacing w:after="0"/>
              <w:rPr>
                <w:sz w:val="3"/>
                <w:szCs w:val="3"/>
                <w:color w:val="auto"/>
              </w:rPr>
            </w:pPr>
          </w:p>
        </w:tc>
      </w:tr>
      <w:tr>
        <w:trPr>
          <w:trHeight w:val="241"/>
        </w:trPr>
        <w:tc>
          <w:tcPr>
            <w:tcW w:w="3240" w:type="dxa"/>
            <w:vAlign w:val="bottom"/>
            <w:tcBorders>
              <w:right w:val="single" w:sz="8" w:color="CF0A2C"/>
            </w:tcBorders>
          </w:tcPr>
          <w:p>
            <w:pPr>
              <w:spacing w:after="0"/>
              <w:rPr>
                <w:sz w:val="20"/>
                <w:szCs w:val="20"/>
                <w:color w:val="auto"/>
              </w:rPr>
            </w:pPr>
            <w:r>
              <w:rPr>
                <w:rFonts w:ascii="Arial" w:cs="Arial" w:eastAsia="Arial" w:hAnsi="Arial"/>
                <w:sz w:val="16"/>
                <w:szCs w:val="16"/>
                <w:b w:val="1"/>
                <w:bCs w:val="1"/>
                <w:color w:val="262626"/>
              </w:rPr>
              <w:t>Individual Multiplier</w:t>
            </w:r>
          </w:p>
        </w:tc>
        <w:tc>
          <w:tcPr>
            <w:tcW w:w="340" w:type="dxa"/>
            <w:vAlign w:val="bottom"/>
          </w:tcPr>
          <w:p>
            <w:pPr>
              <w:ind w:left="160"/>
              <w:spacing w:after="0"/>
              <w:rPr>
                <w:sz w:val="20"/>
                <w:szCs w:val="20"/>
                <w:color w:val="auto"/>
              </w:rPr>
            </w:pPr>
            <w:r>
              <w:rPr>
                <w:rFonts w:ascii="Arial" w:cs="Arial" w:eastAsia="Arial" w:hAnsi="Arial"/>
                <w:sz w:val="16"/>
                <w:szCs w:val="16"/>
                <w:color w:val="262626"/>
              </w:rPr>
              <w:t>•</w:t>
            </w:r>
          </w:p>
        </w:tc>
        <w:tc>
          <w:tcPr>
            <w:tcW w:w="5120" w:type="dxa"/>
            <w:vAlign w:val="bottom"/>
          </w:tcPr>
          <w:p>
            <w:pPr>
              <w:ind w:left="140"/>
              <w:spacing w:after="0"/>
              <w:rPr>
                <w:sz w:val="20"/>
                <w:szCs w:val="20"/>
                <w:color w:val="auto"/>
              </w:rPr>
            </w:pPr>
            <w:r>
              <w:rPr>
                <w:rFonts w:ascii="Arial" w:cs="Arial" w:eastAsia="Arial" w:hAnsi="Arial"/>
                <w:sz w:val="16"/>
                <w:szCs w:val="16"/>
                <w:color w:val="262626"/>
              </w:rPr>
              <w:t>Strategic</w:t>
            </w:r>
          </w:p>
        </w:tc>
      </w:tr>
      <w:tr>
        <w:trPr>
          <w:trHeight w:val="301"/>
        </w:trPr>
        <w:tc>
          <w:tcPr>
            <w:tcW w:w="3240" w:type="dxa"/>
            <w:vAlign w:val="bottom"/>
            <w:tcBorders>
              <w:right w:val="single" w:sz="8" w:color="CF0A2C"/>
            </w:tcBorders>
          </w:tcPr>
          <w:p>
            <w:pPr>
              <w:spacing w:after="0"/>
              <w:rPr>
                <w:sz w:val="24"/>
                <w:szCs w:val="24"/>
                <w:color w:val="auto"/>
              </w:rPr>
            </w:pPr>
          </w:p>
        </w:tc>
        <w:tc>
          <w:tcPr>
            <w:tcW w:w="340" w:type="dxa"/>
            <w:vAlign w:val="bottom"/>
          </w:tcPr>
          <w:p>
            <w:pPr>
              <w:ind w:left="160"/>
              <w:spacing w:after="0"/>
              <w:rPr>
                <w:sz w:val="20"/>
                <w:szCs w:val="20"/>
                <w:color w:val="auto"/>
              </w:rPr>
            </w:pPr>
            <w:r>
              <w:rPr>
                <w:rFonts w:ascii="Arial" w:cs="Arial" w:eastAsia="Arial" w:hAnsi="Arial"/>
                <w:sz w:val="16"/>
                <w:szCs w:val="16"/>
                <w:color w:val="262626"/>
              </w:rPr>
              <w:t>•</w:t>
            </w:r>
          </w:p>
        </w:tc>
        <w:tc>
          <w:tcPr>
            <w:tcW w:w="5120" w:type="dxa"/>
            <w:vAlign w:val="bottom"/>
          </w:tcPr>
          <w:p>
            <w:pPr>
              <w:ind w:left="140"/>
              <w:spacing w:after="0"/>
              <w:rPr>
                <w:sz w:val="20"/>
                <w:szCs w:val="20"/>
                <w:color w:val="auto"/>
              </w:rPr>
            </w:pPr>
            <w:r>
              <w:rPr>
                <w:rFonts w:ascii="Arial" w:cs="Arial" w:eastAsia="Arial" w:hAnsi="Arial"/>
                <w:sz w:val="16"/>
                <w:szCs w:val="16"/>
                <w:color w:val="262626"/>
              </w:rPr>
              <w:t>Operational excellence</w:t>
            </w:r>
          </w:p>
        </w:tc>
      </w:tr>
      <w:tr>
        <w:trPr>
          <w:trHeight w:val="309"/>
        </w:trPr>
        <w:tc>
          <w:tcPr>
            <w:tcW w:w="3240" w:type="dxa"/>
            <w:vAlign w:val="bottom"/>
            <w:tcBorders>
              <w:right w:val="single" w:sz="8" w:color="CF0A2C"/>
            </w:tcBorders>
          </w:tcPr>
          <w:p>
            <w:pPr>
              <w:spacing w:after="0"/>
              <w:rPr>
                <w:sz w:val="24"/>
                <w:szCs w:val="24"/>
                <w:color w:val="auto"/>
              </w:rPr>
            </w:pPr>
          </w:p>
        </w:tc>
        <w:tc>
          <w:tcPr>
            <w:tcW w:w="340" w:type="dxa"/>
            <w:vAlign w:val="bottom"/>
          </w:tcPr>
          <w:p>
            <w:pPr>
              <w:ind w:left="160"/>
              <w:spacing w:after="0"/>
              <w:rPr>
                <w:sz w:val="20"/>
                <w:szCs w:val="20"/>
                <w:color w:val="auto"/>
              </w:rPr>
            </w:pPr>
            <w:r>
              <w:rPr>
                <w:rFonts w:ascii="Arial" w:cs="Arial" w:eastAsia="Arial" w:hAnsi="Arial"/>
                <w:sz w:val="16"/>
                <w:szCs w:val="16"/>
                <w:color w:val="262626"/>
              </w:rPr>
              <w:t>•</w:t>
            </w:r>
          </w:p>
        </w:tc>
        <w:tc>
          <w:tcPr>
            <w:tcW w:w="5120" w:type="dxa"/>
            <w:vAlign w:val="bottom"/>
          </w:tcPr>
          <w:p>
            <w:pPr>
              <w:ind w:left="140"/>
              <w:spacing w:after="0"/>
              <w:rPr>
                <w:sz w:val="20"/>
                <w:szCs w:val="20"/>
                <w:color w:val="auto"/>
              </w:rPr>
            </w:pPr>
            <w:r>
              <w:rPr>
                <w:rFonts w:ascii="Arial" w:cs="Arial" w:eastAsia="Arial" w:hAnsi="Arial"/>
                <w:sz w:val="16"/>
                <w:szCs w:val="16"/>
                <w:color w:val="262626"/>
              </w:rPr>
              <w:t>Leadership and contributions to Broadcom’s values and culture</w:t>
            </w:r>
          </w:p>
        </w:tc>
      </w:tr>
      <w:tr>
        <w:trPr>
          <w:trHeight w:val="109"/>
        </w:trPr>
        <w:tc>
          <w:tcPr>
            <w:tcW w:w="3240" w:type="dxa"/>
            <w:vAlign w:val="bottom"/>
            <w:tcBorders>
              <w:right w:val="single" w:sz="8" w:color="CF0A2C"/>
            </w:tcBorders>
          </w:tcPr>
          <w:p>
            <w:pPr>
              <w:spacing w:after="0"/>
              <w:rPr>
                <w:sz w:val="9"/>
                <w:szCs w:val="9"/>
                <w:color w:val="auto"/>
              </w:rPr>
            </w:pPr>
          </w:p>
        </w:tc>
        <w:tc>
          <w:tcPr>
            <w:tcW w:w="340" w:type="dxa"/>
            <w:vAlign w:val="bottom"/>
          </w:tcPr>
          <w:p>
            <w:pPr>
              <w:spacing w:after="0"/>
              <w:rPr>
                <w:sz w:val="9"/>
                <w:szCs w:val="9"/>
                <w:color w:val="auto"/>
              </w:rPr>
            </w:pPr>
          </w:p>
        </w:tc>
        <w:tc>
          <w:tcPr>
            <w:tcW w:w="5120" w:type="dxa"/>
            <w:vAlign w:val="bottom"/>
          </w:tcPr>
          <w:p>
            <w:pPr>
              <w:spacing w:after="0"/>
              <w:rPr>
                <w:sz w:val="9"/>
                <w:szCs w:val="9"/>
                <w:color w:val="auto"/>
              </w:rPr>
            </w:pPr>
          </w:p>
        </w:tc>
      </w:tr>
    </w:tbl>
    <w:p>
      <w:pPr>
        <w:spacing w:after="0" w:line="120"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Annual cash incentive bonuses under the APB Plan are calculated as follows based on the performance components above and payable in cash:</w:t>
      </w:r>
    </w:p>
    <w:p>
      <w:pPr>
        <w:spacing w:after="0" w:line="103" w:lineRule="exact"/>
        <w:rPr>
          <w:sz w:val="20"/>
          <w:szCs w:val="20"/>
          <w:color w:val="auto"/>
        </w:rPr>
      </w:pPr>
    </w:p>
    <w:p>
      <w:pPr>
        <w:jc w:val="right"/>
        <w:ind w:right="159"/>
        <w:spacing w:after="0"/>
        <w:tabs>
          <w:tab w:leader="none" w:pos="7380" w:val="left"/>
          <w:tab w:leader="none" w:pos="7000" w:val="left"/>
          <w:tab w:leader="none" w:pos="5680" w:val="left"/>
          <w:tab w:leader="none" w:pos="5420" w:val="left"/>
          <w:tab w:leader="none" w:pos="1720" w:val="left"/>
          <w:tab w:leader="none" w:pos="1500" w:val="left"/>
        </w:tabs>
        <w:rPr>
          <w:sz w:val="20"/>
          <w:szCs w:val="20"/>
          <w:color w:val="auto"/>
        </w:rPr>
      </w:pPr>
      <w:r>
        <w:rPr>
          <w:rFonts w:ascii="Arial" w:cs="Arial" w:eastAsia="Arial" w:hAnsi="Arial"/>
          <w:sz w:val="16"/>
          <w:szCs w:val="16"/>
          <w:b w:val="1"/>
          <w:bCs w:val="1"/>
          <w:color w:val="CF0A2C"/>
        </w:rPr>
        <w:t xml:space="preserve">Base Salary     </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b w:val="1"/>
          <w:bCs w:val="1"/>
          <w:color w:val="CF0A2C"/>
        </w:rPr>
        <w:t>Bonus Target</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b w:val="1"/>
          <w:bCs w:val="1"/>
          <w:color w:val="CF0A2C"/>
        </w:rPr>
        <w:t>Attainment % of Corporate &amp; Division Goals</w:t>
      </w:r>
      <w:r>
        <w:rPr>
          <w:rFonts w:ascii="Arial" w:cs="Arial" w:eastAsia="Arial" w:hAnsi="Arial"/>
          <w:sz w:val="24"/>
          <w:szCs w:val="24"/>
          <w:b w:val="1"/>
          <w:bCs w:val="1"/>
          <w:color w:val="CF0A2C"/>
          <w:vertAlign w:val="superscript"/>
        </w:rPr>
        <w:t>(1)</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b w:val="1"/>
          <w:bCs w:val="1"/>
          <w:color w:val="CF0A2C"/>
        </w:rPr>
        <w:t>Individual Multiplier</w:t>
      </w:r>
    </w:p>
    <w:p>
      <w:pPr>
        <w:spacing w:after="0" w:line="19" w:lineRule="exact"/>
        <w:rPr>
          <w:sz w:val="20"/>
          <w:szCs w:val="20"/>
          <w:color w:val="auto"/>
        </w:rPr>
      </w:pPr>
    </w:p>
    <w:p>
      <w:pPr>
        <w:ind w:left="1420"/>
        <w:spacing w:after="0"/>
        <w:tabs>
          <w:tab w:leader="none" w:pos="2940" w:val="left"/>
          <w:tab w:leader="none" w:pos="4620" w:val="left"/>
          <w:tab w:leader="none" w:pos="6320" w:val="left"/>
          <w:tab w:leader="none" w:pos="6700" w:val="left"/>
          <w:tab w:leader="none" w:pos="8940" w:val="left"/>
        </w:tabs>
        <w:rPr>
          <w:sz w:val="20"/>
          <w:szCs w:val="20"/>
          <w:color w:val="auto"/>
        </w:rPr>
      </w:pPr>
      <w:r>
        <w:rPr>
          <w:rFonts w:ascii="Arial" w:cs="Arial" w:eastAsia="Arial" w:hAnsi="Arial"/>
          <w:sz w:val="13"/>
          <w:szCs w:val="13"/>
          <w:color w:val="262626"/>
        </w:rPr>
        <w:t xml:space="preserve">(paid during      </w:t>
      </w:r>
      <w:r>
        <w:rPr>
          <w:sz w:val="20"/>
          <w:szCs w:val="20"/>
          <w:color w:val="auto"/>
        </w:rPr>
        <w:tab/>
      </w:r>
      <w:r>
        <w:rPr>
          <w:rFonts w:ascii="Arial" w:cs="Arial" w:eastAsia="Arial" w:hAnsi="Arial"/>
          <w:sz w:val="13"/>
          <w:szCs w:val="13"/>
          <w:color w:val="262626"/>
        </w:rPr>
        <w:t>(% of base salary)</w:t>
      </w:r>
      <w:r>
        <w:rPr>
          <w:sz w:val="20"/>
          <w:szCs w:val="20"/>
          <w:color w:val="auto"/>
        </w:rPr>
        <w:tab/>
      </w:r>
      <w:r>
        <w:rPr>
          <w:rFonts w:ascii="Arial" w:cs="Arial" w:eastAsia="Arial" w:hAnsi="Arial"/>
          <w:sz w:val="13"/>
          <w:szCs w:val="13"/>
          <w:color w:val="CF0A2C"/>
        </w:rPr>
        <w:t>       Corporate Financial</w:t>
      </w:r>
      <w:r>
        <w:rPr>
          <w:sz w:val="20"/>
          <w:szCs w:val="20"/>
          <w:color w:val="auto"/>
        </w:rPr>
        <w:tab/>
      </w:r>
      <w:r>
        <w:rPr>
          <w:rFonts w:ascii="Arial" w:cs="Arial" w:eastAsia="Arial" w:hAnsi="Arial"/>
          <w:sz w:val="16"/>
          <w:szCs w:val="16"/>
          <w:color w:val="CF0A2C"/>
        </w:rPr>
        <w:t>+</w:t>
      </w:r>
      <w:r>
        <w:rPr>
          <w:sz w:val="20"/>
          <w:szCs w:val="20"/>
          <w:color w:val="auto"/>
        </w:rPr>
        <w:tab/>
      </w:r>
      <w:r>
        <w:rPr>
          <w:rFonts w:ascii="Arial" w:cs="Arial" w:eastAsia="Arial" w:hAnsi="Arial"/>
          <w:sz w:val="13"/>
          <w:szCs w:val="13"/>
          <w:color w:val="CF0A2C"/>
        </w:rPr>
        <w:t xml:space="preserve">Division Financial &amp;    </w:t>
      </w:r>
      <w:r>
        <w:rPr>
          <w:sz w:val="20"/>
          <w:szCs w:val="20"/>
          <w:color w:val="auto"/>
        </w:rPr>
        <w:tab/>
      </w:r>
      <w:r>
        <w:rPr>
          <w:rFonts w:ascii="Arial" w:cs="Arial" w:eastAsia="Arial" w:hAnsi="Arial"/>
          <w:sz w:val="11"/>
          <w:szCs w:val="11"/>
          <w:color w:val="262626"/>
        </w:rPr>
        <w:t>(0-150%)</w:t>
      </w:r>
    </w:p>
    <w:p>
      <w:pPr>
        <w:ind w:left="1460"/>
        <w:spacing w:after="0"/>
        <w:tabs>
          <w:tab w:leader="none" w:pos="5000" w:val="left"/>
          <w:tab w:leader="none" w:pos="6840" w:val="left"/>
        </w:tabs>
        <w:rPr>
          <w:sz w:val="20"/>
          <w:szCs w:val="20"/>
          <w:color w:val="auto"/>
        </w:rPr>
      </w:pPr>
      <w:r>
        <w:rPr>
          <w:rFonts w:ascii="Arial" w:cs="Arial" w:eastAsia="Arial" w:hAnsi="Arial"/>
          <w:sz w:val="13"/>
          <w:szCs w:val="13"/>
          <w:color w:val="262626"/>
        </w:rPr>
        <w:t xml:space="preserve">fiscal year)      </w:t>
      </w:r>
      <w:r>
        <w:rPr>
          <w:sz w:val="20"/>
          <w:szCs w:val="20"/>
          <w:color w:val="auto"/>
        </w:rPr>
        <w:tab/>
      </w:r>
      <w:r>
        <w:rPr>
          <w:rFonts w:ascii="Arial" w:cs="Arial" w:eastAsia="Arial" w:hAnsi="Arial"/>
          <w:sz w:val="13"/>
          <w:szCs w:val="13"/>
          <w:color w:val="CF0A2C"/>
        </w:rPr>
        <w:t>    Goals</w:t>
      </w:r>
      <w:r>
        <w:rPr>
          <w:rFonts w:ascii="Arial" w:cs="Arial" w:eastAsia="Arial" w:hAnsi="Arial"/>
          <w:sz w:val="18"/>
          <w:szCs w:val="18"/>
          <w:color w:val="CF0A2C"/>
          <w:vertAlign w:val="superscript"/>
        </w:rPr>
        <w:t>(2)</w:t>
      </w:r>
      <w:r>
        <w:rPr>
          <w:sz w:val="20"/>
          <w:szCs w:val="20"/>
          <w:color w:val="auto"/>
        </w:rPr>
        <w:tab/>
      </w:r>
      <w:r>
        <w:rPr>
          <w:rFonts w:ascii="Arial" w:cs="Arial" w:eastAsia="Arial" w:hAnsi="Arial"/>
          <w:sz w:val="13"/>
          <w:szCs w:val="13"/>
          <w:color w:val="CF0A2C"/>
        </w:rPr>
        <w:t xml:space="preserve">Strategic Goals 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76200</wp:posOffset>
            </wp:positionV>
            <wp:extent cx="4343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157" w:lineRule="exact"/>
        <w:rPr>
          <w:sz w:val="20"/>
          <w:szCs w:val="20"/>
          <w:color w:val="auto"/>
        </w:rPr>
      </w:pPr>
    </w:p>
    <w:p>
      <w:pPr>
        <w:ind w:left="1620" w:right="179" w:hanging="344"/>
        <w:spacing w:after="0" w:line="350" w:lineRule="auto"/>
        <w:tabs>
          <w:tab w:leader="none" w:pos="1620" w:val="left"/>
        </w:tabs>
        <w:numPr>
          <w:ilvl w:val="0"/>
          <w:numId w:val="22"/>
        </w:numPr>
        <w:rPr>
          <w:rFonts w:ascii="Arial" w:cs="Arial" w:eastAsia="Arial" w:hAnsi="Arial"/>
          <w:sz w:val="14"/>
          <w:szCs w:val="14"/>
          <w:color w:val="262626"/>
        </w:rPr>
      </w:pPr>
      <w:r>
        <w:rPr>
          <w:rFonts w:ascii="Arial" w:cs="Arial" w:eastAsia="Arial" w:hAnsi="Arial"/>
          <w:sz w:val="14"/>
          <w:szCs w:val="14"/>
          <w:color w:val="262626"/>
        </w:rPr>
        <w:t>In the case of Dr. Kawwas, the corporate financial goals are weighted 100%. In the case of Ms. Spears and Mr. Brazeal, the corporate financial goals are weighted 50% and the division financial and strategic goals are weighted 50%.</w:t>
      </w:r>
    </w:p>
    <w:p>
      <w:pPr>
        <w:ind w:left="1620" w:hanging="344"/>
        <w:spacing w:after="0"/>
        <w:tabs>
          <w:tab w:leader="none" w:pos="1620" w:val="left"/>
        </w:tabs>
        <w:numPr>
          <w:ilvl w:val="0"/>
          <w:numId w:val="22"/>
        </w:numPr>
        <w:rPr>
          <w:rFonts w:ascii="Arial" w:cs="Arial" w:eastAsia="Arial" w:hAnsi="Arial"/>
          <w:sz w:val="14"/>
          <w:szCs w:val="14"/>
          <w:color w:val="262626"/>
        </w:rPr>
      </w:pPr>
      <w:r>
        <w:rPr>
          <w:rFonts w:ascii="Arial" w:cs="Arial" w:eastAsia="Arial" w:hAnsi="Arial"/>
          <w:sz w:val="14"/>
          <w:szCs w:val="14"/>
          <w:color w:val="262626"/>
        </w:rPr>
        <w:t>Revenue and adjusted non-GAAP operating income are evenly weighted in the corporate financial goals.</w:t>
      </w:r>
    </w:p>
    <w:p>
      <w:pPr>
        <w:spacing w:after="0" w:line="264"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Corporate Financial Goals</w:t>
      </w:r>
    </w:p>
    <w:p>
      <w:pPr>
        <w:spacing w:after="0" w:line="219" w:lineRule="exact"/>
        <w:rPr>
          <w:sz w:val="20"/>
          <w:szCs w:val="20"/>
          <w:color w:val="auto"/>
        </w:rPr>
      </w:pPr>
    </w:p>
    <w:p>
      <w:pPr>
        <w:jc w:val="both"/>
        <w:ind w:left="1280" w:right="159"/>
        <w:spacing w:after="0" w:line="330" w:lineRule="auto"/>
        <w:rPr>
          <w:sz w:val="20"/>
          <w:szCs w:val="20"/>
          <w:color w:val="auto"/>
        </w:rPr>
      </w:pPr>
      <w:r>
        <w:rPr>
          <w:rFonts w:ascii="Arial" w:cs="Arial" w:eastAsia="Arial" w:hAnsi="Arial"/>
          <w:sz w:val="16"/>
          <w:szCs w:val="16"/>
          <w:color w:val="262626"/>
        </w:rPr>
        <w:t>In December 2024, the Compensation Committee reviewed the structure of the APB Plan, including the metrics, targets and applicable adjustments. Following consultation with management and considering Broadcom’s financial plan and strategic objectives, the Compensation Committee recommended, and the independent directors approved, the first pillar under the APB Plan — the corporate financial goals. For fiscal 2025, revenue and adjusted non-GAAP operating income were selected as the metrics as they are readily measurable, comparable to peers, relevant to investors and, most importantly, short-term indicators of long-term value creation. The target levels were designed to require substantial effort to achieve and drive a significant increase in stockholder value with the same level of rigor as in prior performance periods. The APB Plan caps the payout at 150% of the target bonus opportunity for each component of the corporate financial goals. Each goal carried an equal weighting of 50% of the corporate financial goal pillar.</w:t>
      </w:r>
    </w:p>
    <w:p>
      <w:pPr>
        <w:sectPr>
          <w:pgSz w:w="11900" w:h="16838" w:orient="portrait"/>
          <w:cols w:equalWidth="0" w:num="1">
            <w:col w:w="10139"/>
          </w:cols>
          <w:pgMar w:left="320" w:top="479" w:right="1440" w:bottom="1440" w:gutter="0" w:footer="0" w:header="0"/>
        </w:sectPr>
      </w:pPr>
    </w:p>
    <w:p>
      <w:pPr>
        <w:spacing w:after="0" w:line="95"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5"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The corporate financial goals for the fiscal 2025 APB Plan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105410</wp:posOffset>
            </wp:positionV>
            <wp:extent cx="55225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99"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3860" w:type="dxa"/>
            <w:vAlign w:val="bottom"/>
          </w:tcPr>
          <w:p>
            <w:pPr>
              <w:spacing w:after="0"/>
              <w:rPr>
                <w:sz w:val="20"/>
                <w:szCs w:val="20"/>
                <w:color w:val="auto"/>
              </w:rPr>
            </w:pPr>
            <w:r>
              <w:rPr>
                <w:rFonts w:ascii="Arial" w:cs="Arial" w:eastAsia="Arial" w:hAnsi="Arial"/>
                <w:sz w:val="16"/>
                <w:szCs w:val="16"/>
                <w:b w:val="1"/>
                <w:bCs w:val="1"/>
                <w:color w:val="262626"/>
              </w:rPr>
              <w:t>Corporate Financial Goals</w:t>
            </w:r>
          </w:p>
        </w:tc>
        <w:tc>
          <w:tcPr>
            <w:tcW w:w="2040" w:type="dxa"/>
            <w:vAlign w:val="bottom"/>
          </w:tcPr>
          <w:p>
            <w:pPr>
              <w:jc w:val="right"/>
              <w:ind w:right="299"/>
              <w:spacing w:after="0"/>
              <w:rPr>
                <w:sz w:val="20"/>
                <w:szCs w:val="20"/>
                <w:color w:val="auto"/>
              </w:rPr>
            </w:pPr>
            <w:r>
              <w:rPr>
                <w:rFonts w:ascii="Arial" w:cs="Arial" w:eastAsia="Arial" w:hAnsi="Arial"/>
                <w:sz w:val="16"/>
                <w:szCs w:val="16"/>
                <w:b w:val="1"/>
                <w:bCs w:val="1"/>
                <w:color w:val="262626"/>
              </w:rPr>
              <w:t>Threshold</w:t>
            </w:r>
          </w:p>
        </w:tc>
        <w:tc>
          <w:tcPr>
            <w:tcW w:w="1380" w:type="dxa"/>
            <w:vAlign w:val="bottom"/>
          </w:tcPr>
          <w:p>
            <w:pPr>
              <w:jc w:val="right"/>
              <w:ind w:right="359"/>
              <w:spacing w:after="0"/>
              <w:rPr>
                <w:sz w:val="20"/>
                <w:szCs w:val="20"/>
                <w:color w:val="auto"/>
              </w:rPr>
            </w:pPr>
            <w:r>
              <w:rPr>
                <w:rFonts w:ascii="Arial" w:cs="Arial" w:eastAsia="Arial" w:hAnsi="Arial"/>
                <w:sz w:val="16"/>
                <w:szCs w:val="16"/>
                <w:b w:val="1"/>
                <w:bCs w:val="1"/>
                <w:color w:val="262626"/>
              </w:rPr>
              <w:t>Target</w:t>
            </w: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262626"/>
              </w:rPr>
              <w:t>Maximum</w:t>
            </w:r>
          </w:p>
        </w:tc>
      </w:tr>
      <w:tr>
        <w:trPr>
          <w:trHeight w:val="47"/>
        </w:trPr>
        <w:tc>
          <w:tcPr>
            <w:tcW w:w="3860" w:type="dxa"/>
            <w:vAlign w:val="bottom"/>
            <w:tcBorders>
              <w:bottom w:val="single" w:sz="8" w:color="CF0A2C"/>
            </w:tcBorders>
          </w:tcPr>
          <w:p>
            <w:pPr>
              <w:spacing w:after="0"/>
              <w:rPr>
                <w:sz w:val="4"/>
                <w:szCs w:val="4"/>
                <w:color w:val="auto"/>
              </w:rPr>
            </w:pPr>
          </w:p>
        </w:tc>
        <w:tc>
          <w:tcPr>
            <w:tcW w:w="2040" w:type="dxa"/>
            <w:vAlign w:val="bottom"/>
            <w:tcBorders>
              <w:bottom w:val="single" w:sz="8" w:color="CF0A2C"/>
            </w:tcBorders>
          </w:tcPr>
          <w:p>
            <w:pPr>
              <w:spacing w:after="0"/>
              <w:rPr>
                <w:sz w:val="4"/>
                <w:szCs w:val="4"/>
                <w:color w:val="auto"/>
              </w:rPr>
            </w:pPr>
          </w:p>
        </w:tc>
        <w:tc>
          <w:tcPr>
            <w:tcW w:w="1380" w:type="dxa"/>
            <w:vAlign w:val="bottom"/>
            <w:tcBorders>
              <w:bottom w:val="single" w:sz="8" w:color="CF0A2C"/>
            </w:tcBorders>
          </w:tcPr>
          <w:p>
            <w:pPr>
              <w:spacing w:after="0"/>
              <w:rPr>
                <w:sz w:val="4"/>
                <w:szCs w:val="4"/>
                <w:color w:val="auto"/>
              </w:rPr>
            </w:pPr>
          </w:p>
        </w:tc>
        <w:tc>
          <w:tcPr>
            <w:tcW w:w="1420" w:type="dxa"/>
            <w:vAlign w:val="bottom"/>
            <w:tcBorders>
              <w:bottom w:val="single" w:sz="8" w:color="CF0A2C"/>
            </w:tcBorders>
          </w:tcPr>
          <w:p>
            <w:pPr>
              <w:spacing w:after="0"/>
              <w:rPr>
                <w:sz w:val="4"/>
                <w:szCs w:val="4"/>
                <w:color w:val="auto"/>
              </w:rPr>
            </w:pPr>
          </w:p>
        </w:tc>
      </w:tr>
      <w:tr>
        <w:trPr>
          <w:trHeight w:val="221"/>
        </w:trPr>
        <w:tc>
          <w:tcPr>
            <w:tcW w:w="3860" w:type="dxa"/>
            <w:vAlign w:val="bottom"/>
          </w:tcPr>
          <w:p>
            <w:pPr>
              <w:spacing w:after="0"/>
              <w:rPr>
                <w:sz w:val="20"/>
                <w:szCs w:val="20"/>
                <w:color w:val="auto"/>
              </w:rPr>
            </w:pPr>
            <w:r>
              <w:rPr>
                <w:rFonts w:ascii="Arial" w:cs="Arial" w:eastAsia="Arial" w:hAnsi="Arial"/>
                <w:sz w:val="16"/>
                <w:szCs w:val="16"/>
                <w:b w:val="1"/>
                <w:bCs w:val="1"/>
                <w:color w:val="262626"/>
              </w:rPr>
              <w:t>Revenue</w:t>
            </w:r>
          </w:p>
        </w:tc>
        <w:tc>
          <w:tcPr>
            <w:tcW w:w="2040" w:type="dxa"/>
            <w:vAlign w:val="bottom"/>
          </w:tcPr>
          <w:p>
            <w:pPr>
              <w:jc w:val="right"/>
              <w:ind w:right="399"/>
              <w:spacing w:after="0"/>
              <w:rPr>
                <w:sz w:val="20"/>
                <w:szCs w:val="20"/>
                <w:color w:val="auto"/>
              </w:rPr>
            </w:pPr>
            <w:r>
              <w:rPr>
                <w:rFonts w:ascii="Arial" w:cs="Arial" w:eastAsia="Arial" w:hAnsi="Arial"/>
                <w:sz w:val="16"/>
                <w:szCs w:val="16"/>
                <w:color w:val="262626"/>
              </w:rPr>
              <w:t>$54,429</w:t>
            </w:r>
          </w:p>
        </w:tc>
        <w:tc>
          <w:tcPr>
            <w:tcW w:w="1380" w:type="dxa"/>
            <w:vAlign w:val="bottom"/>
          </w:tcPr>
          <w:p>
            <w:pPr>
              <w:jc w:val="right"/>
              <w:ind w:right="299"/>
              <w:spacing w:after="0"/>
              <w:rPr>
                <w:sz w:val="20"/>
                <w:szCs w:val="20"/>
                <w:color w:val="auto"/>
              </w:rPr>
            </w:pPr>
            <w:r>
              <w:rPr>
                <w:rFonts w:ascii="Arial" w:cs="Arial" w:eastAsia="Arial" w:hAnsi="Arial"/>
                <w:sz w:val="16"/>
                <w:szCs w:val="16"/>
                <w:color w:val="262626"/>
              </w:rPr>
              <w:t>$57,294</w:t>
            </w:r>
          </w:p>
        </w:tc>
        <w:tc>
          <w:tcPr>
            <w:tcW w:w="1420" w:type="dxa"/>
            <w:vAlign w:val="bottom"/>
          </w:tcPr>
          <w:p>
            <w:pPr>
              <w:jc w:val="right"/>
              <w:ind w:right="279"/>
              <w:spacing w:after="0"/>
              <w:rPr>
                <w:sz w:val="20"/>
                <w:szCs w:val="20"/>
                <w:color w:val="auto"/>
              </w:rPr>
            </w:pPr>
            <w:r>
              <w:rPr>
                <w:rFonts w:ascii="Arial" w:cs="Arial" w:eastAsia="Arial" w:hAnsi="Arial"/>
                <w:sz w:val="16"/>
                <w:szCs w:val="16"/>
                <w:color w:val="262626"/>
              </w:rPr>
              <w:t>$60,159</w:t>
            </w:r>
          </w:p>
        </w:tc>
      </w:tr>
      <w:tr>
        <w:trPr>
          <w:trHeight w:val="214"/>
        </w:trPr>
        <w:tc>
          <w:tcPr>
            <w:tcW w:w="3860" w:type="dxa"/>
            <w:vAlign w:val="bottom"/>
          </w:tcPr>
          <w:p>
            <w:pPr>
              <w:spacing w:after="0"/>
              <w:rPr>
                <w:sz w:val="20"/>
                <w:szCs w:val="20"/>
                <w:color w:val="auto"/>
              </w:rPr>
            </w:pPr>
            <w:r>
              <w:rPr>
                <w:rFonts w:ascii="Arial" w:cs="Arial" w:eastAsia="Arial" w:hAnsi="Arial"/>
                <w:sz w:val="16"/>
                <w:szCs w:val="16"/>
                <w:color w:val="262626"/>
              </w:rPr>
              <w:t>(in millions)</w:t>
            </w:r>
          </w:p>
        </w:tc>
        <w:tc>
          <w:tcPr>
            <w:tcW w:w="2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3"/>
        </w:trPr>
        <w:tc>
          <w:tcPr>
            <w:tcW w:w="3860" w:type="dxa"/>
            <w:vAlign w:val="bottom"/>
          </w:tcPr>
          <w:p>
            <w:pPr>
              <w:spacing w:after="0"/>
              <w:rPr>
                <w:sz w:val="20"/>
                <w:szCs w:val="20"/>
                <w:color w:val="auto"/>
              </w:rPr>
            </w:pPr>
            <w:r>
              <w:rPr>
                <w:rFonts w:ascii="Arial" w:cs="Arial" w:eastAsia="Arial" w:hAnsi="Arial"/>
                <w:sz w:val="16"/>
                <w:szCs w:val="16"/>
                <w:b w:val="1"/>
                <w:bCs w:val="1"/>
                <w:color w:val="262626"/>
              </w:rPr>
              <w:t>Adjusted Non-GAAP Operating Income</w:t>
            </w:r>
          </w:p>
        </w:tc>
        <w:tc>
          <w:tcPr>
            <w:tcW w:w="2040" w:type="dxa"/>
            <w:vAlign w:val="bottom"/>
          </w:tcPr>
          <w:p>
            <w:pPr>
              <w:jc w:val="right"/>
              <w:ind w:right="399"/>
              <w:spacing w:after="0"/>
              <w:rPr>
                <w:sz w:val="20"/>
                <w:szCs w:val="20"/>
                <w:color w:val="auto"/>
              </w:rPr>
            </w:pPr>
            <w:r>
              <w:rPr>
                <w:rFonts w:ascii="Arial" w:cs="Arial" w:eastAsia="Arial" w:hAnsi="Arial"/>
                <w:sz w:val="16"/>
                <w:szCs w:val="16"/>
                <w:color w:val="262626"/>
              </w:rPr>
              <w:t>61.7%</w:t>
            </w:r>
          </w:p>
        </w:tc>
        <w:tc>
          <w:tcPr>
            <w:tcW w:w="1380" w:type="dxa"/>
            <w:vAlign w:val="bottom"/>
          </w:tcPr>
          <w:p>
            <w:pPr>
              <w:jc w:val="right"/>
              <w:ind w:right="299"/>
              <w:spacing w:after="0"/>
              <w:rPr>
                <w:sz w:val="20"/>
                <w:szCs w:val="20"/>
                <w:color w:val="auto"/>
              </w:rPr>
            </w:pPr>
            <w:r>
              <w:rPr>
                <w:rFonts w:ascii="Arial" w:cs="Arial" w:eastAsia="Arial" w:hAnsi="Arial"/>
                <w:sz w:val="16"/>
                <w:szCs w:val="16"/>
                <w:color w:val="262626"/>
              </w:rPr>
              <w:t>63.7%</w:t>
            </w:r>
          </w:p>
        </w:tc>
        <w:tc>
          <w:tcPr>
            <w:tcW w:w="1420" w:type="dxa"/>
            <w:vAlign w:val="bottom"/>
          </w:tcPr>
          <w:p>
            <w:pPr>
              <w:jc w:val="right"/>
              <w:ind w:right="279"/>
              <w:spacing w:after="0"/>
              <w:rPr>
                <w:sz w:val="20"/>
                <w:szCs w:val="20"/>
                <w:color w:val="auto"/>
              </w:rPr>
            </w:pPr>
            <w:r>
              <w:rPr>
                <w:rFonts w:ascii="Arial" w:cs="Arial" w:eastAsia="Arial" w:hAnsi="Arial"/>
                <w:sz w:val="16"/>
                <w:szCs w:val="16"/>
                <w:color w:val="262626"/>
              </w:rPr>
              <w:t>67.7%</w:t>
            </w:r>
          </w:p>
        </w:tc>
      </w:tr>
      <w:tr>
        <w:trPr>
          <w:trHeight w:val="214"/>
        </w:trPr>
        <w:tc>
          <w:tcPr>
            <w:tcW w:w="3860" w:type="dxa"/>
            <w:vAlign w:val="bottom"/>
          </w:tcPr>
          <w:p>
            <w:pPr>
              <w:spacing w:after="0"/>
              <w:rPr>
                <w:sz w:val="20"/>
                <w:szCs w:val="20"/>
                <w:color w:val="auto"/>
              </w:rPr>
            </w:pPr>
            <w:r>
              <w:rPr>
                <w:rFonts w:ascii="Arial" w:cs="Arial" w:eastAsia="Arial" w:hAnsi="Arial"/>
                <w:sz w:val="16"/>
                <w:szCs w:val="16"/>
                <w:color w:val="262626"/>
              </w:rPr>
              <w:t>(as a % of revenue)</w:t>
            </w:r>
          </w:p>
        </w:tc>
        <w:tc>
          <w:tcPr>
            <w:tcW w:w="2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spacing w:after="0" w:line="337"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Division Financial and Strategic Goals</w:t>
      </w:r>
    </w:p>
    <w:p>
      <w:pPr>
        <w:spacing w:after="0" w:line="205" w:lineRule="exact"/>
        <w:rPr>
          <w:sz w:val="20"/>
          <w:szCs w:val="20"/>
          <w:color w:val="auto"/>
        </w:rPr>
      </w:pPr>
    </w:p>
    <w:p>
      <w:pPr>
        <w:jc w:val="both"/>
        <w:ind w:left="1280" w:right="179"/>
        <w:spacing w:after="0" w:line="331" w:lineRule="auto"/>
        <w:rPr>
          <w:sz w:val="20"/>
          <w:szCs w:val="20"/>
          <w:color w:val="auto"/>
        </w:rPr>
      </w:pPr>
      <w:r>
        <w:rPr>
          <w:rFonts w:ascii="Arial" w:cs="Arial" w:eastAsia="Arial" w:hAnsi="Arial"/>
          <w:sz w:val="16"/>
          <w:szCs w:val="16"/>
          <w:color w:val="262626"/>
        </w:rPr>
        <w:t>In December 2024, the Compensation Committee, following consultation with management and considering Broadcom’s financial plan and strategic objectives, set the second pillar under the APB Plan — the division financial and strategic goals. These goals are based on the Compensation Committee’s assessment of the business requirements of the applicable division and the relative importance of such goals to that division. For fiscal 2025, the division financial and strategic goals for Ms. Spears and Mr. Brazeal were based on confidential and proprietary metrics related to their specific divisions, including direct expense and fiscal responsibility. The division financial and strategic goals set by the Compensation Committee were designed to be difficult to attain and to require substantial effort by the executive officer and their division to achieve. The APB Plan caps the payout at 120% of the target bonus opportunity for division financial and strategic goals. Given the breadth of Dr. Kawwas’ responsibilities as President, Semiconductor Solutions Group, his attainment under the corporate and division goals pillar is based solely on the corporate financial goals.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Individual Multiplier</w:t>
      </w:r>
    </w:p>
    <w:p>
      <w:pPr>
        <w:spacing w:after="0" w:line="219"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The third pillar under the APB Plan includes a review of each executive officer’s performance during the fiscal year based on the following pre-established goals.</w:t>
      </w:r>
    </w:p>
    <w:p>
      <w:pPr>
        <w:spacing w:after="0" w:line="90" w:lineRule="exact"/>
        <w:rPr>
          <w:sz w:val="20"/>
          <w:szCs w:val="20"/>
          <w:color w:val="auto"/>
        </w:rPr>
      </w:pPr>
    </w:p>
    <w:tbl>
      <w:tblPr>
        <w:tblLayout w:type="fixed"/>
        <w:tblInd w:w="1280" w:type="dxa"/>
        <w:tblCellMar>
          <w:top w:w="0" w:type="dxa"/>
          <w:left w:w="0" w:type="dxa"/>
          <w:bottom w:w="0" w:type="dxa"/>
          <w:right w:w="0" w:type="dxa"/>
        </w:tblCellMar>
      </w:tblPr>
      <w:tr>
        <w:trPr>
          <w:trHeight w:val="241"/>
        </w:trPr>
        <w:tc>
          <w:tcPr>
            <w:tcW w:w="3240" w:type="dxa"/>
            <w:vAlign w:val="bottom"/>
            <w:tcBorders>
              <w:right w:val="single" w:sz="8" w:color="CF0A2C"/>
            </w:tcBorders>
          </w:tcPr>
          <w:p>
            <w:pPr>
              <w:spacing w:after="0"/>
              <w:rPr>
                <w:sz w:val="20"/>
                <w:szCs w:val="20"/>
                <w:color w:val="auto"/>
              </w:rPr>
            </w:pPr>
            <w:r>
              <w:rPr>
                <w:rFonts w:ascii="Arial" w:cs="Arial" w:eastAsia="Arial" w:hAnsi="Arial"/>
                <w:sz w:val="16"/>
                <w:szCs w:val="16"/>
                <w:b w:val="1"/>
                <w:bCs w:val="1"/>
                <w:color w:val="262626"/>
              </w:rPr>
              <w:t>Strategic</w:t>
            </w:r>
          </w:p>
        </w:tc>
        <w:tc>
          <w:tcPr>
            <w:tcW w:w="340" w:type="dxa"/>
            <w:vAlign w:val="bottom"/>
          </w:tcPr>
          <w:p>
            <w:pPr>
              <w:ind w:left="160"/>
              <w:spacing w:after="0"/>
              <w:rPr>
                <w:sz w:val="20"/>
                <w:szCs w:val="20"/>
                <w:color w:val="auto"/>
              </w:rPr>
            </w:pPr>
            <w:r>
              <w:rPr>
                <w:rFonts w:ascii="Arial" w:cs="Arial" w:eastAsia="Arial" w:hAnsi="Arial"/>
                <w:sz w:val="16"/>
                <w:szCs w:val="16"/>
                <w:color w:val="262626"/>
              </w:rPr>
              <w:t>•</w:t>
            </w:r>
          </w:p>
        </w:tc>
        <w:tc>
          <w:tcPr>
            <w:tcW w:w="5120" w:type="dxa"/>
            <w:vAlign w:val="bottom"/>
          </w:tcPr>
          <w:p>
            <w:pPr>
              <w:ind w:left="140"/>
              <w:spacing w:after="0"/>
              <w:rPr>
                <w:sz w:val="20"/>
                <w:szCs w:val="20"/>
                <w:color w:val="auto"/>
              </w:rPr>
            </w:pPr>
            <w:r>
              <w:rPr>
                <w:rFonts w:ascii="Arial" w:cs="Arial" w:eastAsia="Arial" w:hAnsi="Arial"/>
                <w:sz w:val="16"/>
                <w:szCs w:val="16"/>
                <w:color w:val="262626"/>
              </w:rPr>
              <w:t>M&amp;A activity, new product development, product innovation,</w:t>
            </w:r>
          </w:p>
        </w:tc>
      </w:tr>
      <w:tr>
        <w:trPr>
          <w:trHeight w:val="214"/>
        </w:trPr>
        <w:tc>
          <w:tcPr>
            <w:tcW w:w="3240" w:type="dxa"/>
            <w:vAlign w:val="bottom"/>
            <w:tcBorders>
              <w:right w:val="single" w:sz="8" w:color="CF0A2C"/>
            </w:tcBorders>
          </w:tcPr>
          <w:p>
            <w:pPr>
              <w:spacing w:after="0"/>
              <w:rPr>
                <w:sz w:val="18"/>
                <w:szCs w:val="18"/>
                <w:color w:val="auto"/>
              </w:rPr>
            </w:pPr>
          </w:p>
        </w:tc>
        <w:tc>
          <w:tcPr>
            <w:tcW w:w="34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262626"/>
              </w:rPr>
              <w:t>advances in technology and/or growth initiatives</w:t>
            </w:r>
          </w:p>
        </w:tc>
      </w:tr>
      <w:tr>
        <w:trPr>
          <w:trHeight w:val="122"/>
        </w:trPr>
        <w:tc>
          <w:tcPr>
            <w:tcW w:w="3240" w:type="dxa"/>
            <w:vAlign w:val="bottom"/>
            <w:tcBorders>
              <w:bottom w:val="single" w:sz="8" w:color="CF0A2C"/>
              <w:right w:val="single" w:sz="8" w:color="CF0A2C"/>
            </w:tcBorders>
          </w:tcPr>
          <w:p>
            <w:pPr>
              <w:spacing w:after="0"/>
              <w:rPr>
                <w:sz w:val="10"/>
                <w:szCs w:val="10"/>
                <w:color w:val="auto"/>
              </w:rPr>
            </w:pPr>
          </w:p>
        </w:tc>
        <w:tc>
          <w:tcPr>
            <w:tcW w:w="340" w:type="dxa"/>
            <w:vAlign w:val="bottom"/>
            <w:tcBorders>
              <w:bottom w:val="single" w:sz="8" w:color="CF0A2C"/>
            </w:tcBorders>
          </w:tcPr>
          <w:p>
            <w:pPr>
              <w:spacing w:after="0"/>
              <w:rPr>
                <w:sz w:val="10"/>
                <w:szCs w:val="10"/>
                <w:color w:val="auto"/>
              </w:rPr>
            </w:pPr>
          </w:p>
        </w:tc>
        <w:tc>
          <w:tcPr>
            <w:tcW w:w="5120" w:type="dxa"/>
            <w:vAlign w:val="bottom"/>
            <w:tcBorders>
              <w:bottom w:val="single" w:sz="8" w:color="CF0A2C"/>
            </w:tcBorders>
          </w:tcPr>
          <w:p>
            <w:pPr>
              <w:spacing w:after="0"/>
              <w:rPr>
                <w:sz w:val="10"/>
                <w:szCs w:val="10"/>
                <w:color w:val="auto"/>
              </w:rPr>
            </w:pPr>
          </w:p>
        </w:tc>
      </w:tr>
      <w:tr>
        <w:trPr>
          <w:trHeight w:val="288"/>
        </w:trPr>
        <w:tc>
          <w:tcPr>
            <w:tcW w:w="3240" w:type="dxa"/>
            <w:vAlign w:val="bottom"/>
            <w:tcBorders>
              <w:right w:val="single" w:sz="8" w:color="CF0A2C"/>
            </w:tcBorders>
          </w:tcPr>
          <w:p>
            <w:pPr>
              <w:spacing w:after="0"/>
              <w:rPr>
                <w:sz w:val="20"/>
                <w:szCs w:val="20"/>
                <w:color w:val="auto"/>
              </w:rPr>
            </w:pPr>
            <w:r>
              <w:rPr>
                <w:rFonts w:ascii="Arial" w:cs="Arial" w:eastAsia="Arial" w:hAnsi="Arial"/>
                <w:sz w:val="16"/>
                <w:szCs w:val="16"/>
                <w:b w:val="1"/>
                <w:bCs w:val="1"/>
                <w:color w:val="262626"/>
              </w:rPr>
              <w:t>Operational Excellence</w:t>
            </w:r>
          </w:p>
        </w:tc>
        <w:tc>
          <w:tcPr>
            <w:tcW w:w="340" w:type="dxa"/>
            <w:vAlign w:val="bottom"/>
          </w:tcPr>
          <w:p>
            <w:pPr>
              <w:ind w:left="160"/>
              <w:spacing w:after="0"/>
              <w:rPr>
                <w:sz w:val="20"/>
                <w:szCs w:val="20"/>
                <w:color w:val="auto"/>
              </w:rPr>
            </w:pPr>
            <w:r>
              <w:rPr>
                <w:rFonts w:ascii="Arial" w:cs="Arial" w:eastAsia="Arial" w:hAnsi="Arial"/>
                <w:sz w:val="16"/>
                <w:szCs w:val="16"/>
                <w:color w:val="262626"/>
              </w:rPr>
              <w:t>•</w:t>
            </w:r>
          </w:p>
        </w:tc>
        <w:tc>
          <w:tcPr>
            <w:tcW w:w="5120" w:type="dxa"/>
            <w:vAlign w:val="bottom"/>
          </w:tcPr>
          <w:p>
            <w:pPr>
              <w:ind w:left="140"/>
              <w:spacing w:after="0"/>
              <w:rPr>
                <w:sz w:val="20"/>
                <w:szCs w:val="20"/>
                <w:color w:val="auto"/>
              </w:rPr>
            </w:pPr>
            <w:r>
              <w:rPr>
                <w:rFonts w:ascii="Arial" w:cs="Arial" w:eastAsia="Arial" w:hAnsi="Arial"/>
                <w:sz w:val="16"/>
                <w:szCs w:val="16"/>
                <w:color w:val="262626"/>
              </w:rPr>
              <w:t>Operational efficiency, cybersecurity, risk, automation and</w:t>
            </w:r>
          </w:p>
        </w:tc>
      </w:tr>
      <w:tr>
        <w:trPr>
          <w:trHeight w:val="214"/>
        </w:trPr>
        <w:tc>
          <w:tcPr>
            <w:tcW w:w="3240" w:type="dxa"/>
            <w:vAlign w:val="bottom"/>
            <w:tcBorders>
              <w:right w:val="single" w:sz="8" w:color="CF0A2C"/>
            </w:tcBorders>
          </w:tcPr>
          <w:p>
            <w:pPr>
              <w:spacing w:after="0"/>
              <w:rPr>
                <w:sz w:val="18"/>
                <w:szCs w:val="18"/>
                <w:color w:val="auto"/>
              </w:rPr>
            </w:pPr>
          </w:p>
        </w:tc>
        <w:tc>
          <w:tcPr>
            <w:tcW w:w="34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262626"/>
              </w:rPr>
              <w:t>organizational improvements</w:t>
            </w:r>
          </w:p>
        </w:tc>
      </w:tr>
      <w:tr>
        <w:trPr>
          <w:trHeight w:val="149"/>
        </w:trPr>
        <w:tc>
          <w:tcPr>
            <w:tcW w:w="3240" w:type="dxa"/>
            <w:vAlign w:val="bottom"/>
            <w:tcBorders>
              <w:bottom w:val="single" w:sz="8" w:color="CF0A2C"/>
              <w:right w:val="single" w:sz="8" w:color="CF0A2C"/>
            </w:tcBorders>
          </w:tcPr>
          <w:p>
            <w:pPr>
              <w:spacing w:after="0"/>
              <w:rPr>
                <w:sz w:val="12"/>
                <w:szCs w:val="12"/>
                <w:color w:val="auto"/>
              </w:rPr>
            </w:pPr>
          </w:p>
        </w:tc>
        <w:tc>
          <w:tcPr>
            <w:tcW w:w="340" w:type="dxa"/>
            <w:vAlign w:val="bottom"/>
            <w:tcBorders>
              <w:bottom w:val="single" w:sz="8" w:color="CF0A2C"/>
            </w:tcBorders>
          </w:tcPr>
          <w:p>
            <w:pPr>
              <w:spacing w:after="0"/>
              <w:rPr>
                <w:sz w:val="12"/>
                <w:szCs w:val="12"/>
                <w:color w:val="auto"/>
              </w:rPr>
            </w:pPr>
          </w:p>
        </w:tc>
        <w:tc>
          <w:tcPr>
            <w:tcW w:w="5120" w:type="dxa"/>
            <w:vAlign w:val="bottom"/>
            <w:tcBorders>
              <w:bottom w:val="single" w:sz="8" w:color="CF0A2C"/>
            </w:tcBorders>
          </w:tcPr>
          <w:p>
            <w:pPr>
              <w:spacing w:after="0"/>
              <w:rPr>
                <w:sz w:val="12"/>
                <w:szCs w:val="12"/>
                <w:color w:val="auto"/>
              </w:rPr>
            </w:pPr>
          </w:p>
        </w:tc>
      </w:tr>
      <w:tr>
        <w:trPr>
          <w:trHeight w:val="234"/>
        </w:trPr>
        <w:tc>
          <w:tcPr>
            <w:tcW w:w="3240" w:type="dxa"/>
            <w:vAlign w:val="bottom"/>
            <w:tcBorders>
              <w:right w:val="single" w:sz="8" w:color="CF0A2C"/>
            </w:tcBorders>
          </w:tcPr>
          <w:p>
            <w:pPr>
              <w:spacing w:after="0"/>
              <w:rPr>
                <w:sz w:val="20"/>
                <w:szCs w:val="20"/>
                <w:color w:val="auto"/>
              </w:rPr>
            </w:pPr>
            <w:r>
              <w:rPr>
                <w:rFonts w:ascii="Arial" w:cs="Arial" w:eastAsia="Arial" w:hAnsi="Arial"/>
                <w:sz w:val="16"/>
                <w:szCs w:val="16"/>
                <w:b w:val="1"/>
                <w:bCs w:val="1"/>
                <w:color w:val="262626"/>
              </w:rPr>
              <w:t>Leadership, Values &amp; Culture</w:t>
            </w:r>
          </w:p>
        </w:tc>
        <w:tc>
          <w:tcPr>
            <w:tcW w:w="340" w:type="dxa"/>
            <w:vAlign w:val="bottom"/>
          </w:tcPr>
          <w:p>
            <w:pPr>
              <w:ind w:left="160"/>
              <w:spacing w:after="0"/>
              <w:rPr>
                <w:sz w:val="20"/>
                <w:szCs w:val="20"/>
                <w:color w:val="auto"/>
              </w:rPr>
            </w:pPr>
            <w:r>
              <w:rPr>
                <w:rFonts w:ascii="Arial" w:cs="Arial" w:eastAsia="Arial" w:hAnsi="Arial"/>
                <w:sz w:val="16"/>
                <w:szCs w:val="16"/>
                <w:color w:val="262626"/>
              </w:rPr>
              <w:t>•</w:t>
            </w:r>
          </w:p>
        </w:tc>
        <w:tc>
          <w:tcPr>
            <w:tcW w:w="5120" w:type="dxa"/>
            <w:vAlign w:val="bottom"/>
          </w:tcPr>
          <w:p>
            <w:pPr>
              <w:ind w:left="140"/>
              <w:spacing w:after="0"/>
              <w:rPr>
                <w:sz w:val="20"/>
                <w:szCs w:val="20"/>
                <w:color w:val="auto"/>
              </w:rPr>
            </w:pPr>
            <w:r>
              <w:rPr>
                <w:rFonts w:ascii="Arial" w:cs="Arial" w:eastAsia="Arial" w:hAnsi="Arial"/>
                <w:sz w:val="16"/>
                <w:szCs w:val="16"/>
                <w:color w:val="262626"/>
              </w:rPr>
              <w:t>Talent retention, employee engagement, succession planning and</w:t>
            </w:r>
          </w:p>
        </w:tc>
      </w:tr>
      <w:tr>
        <w:trPr>
          <w:trHeight w:val="214"/>
        </w:trPr>
        <w:tc>
          <w:tcPr>
            <w:tcW w:w="3240" w:type="dxa"/>
            <w:vAlign w:val="bottom"/>
            <w:tcBorders>
              <w:right w:val="single" w:sz="8" w:color="CF0A2C"/>
            </w:tcBorders>
          </w:tcPr>
          <w:p>
            <w:pPr>
              <w:spacing w:after="0"/>
              <w:rPr>
                <w:sz w:val="18"/>
                <w:szCs w:val="18"/>
                <w:color w:val="auto"/>
              </w:rPr>
            </w:pPr>
          </w:p>
        </w:tc>
        <w:tc>
          <w:tcPr>
            <w:tcW w:w="34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6"/>
                <w:szCs w:val="16"/>
                <w:color w:val="262626"/>
              </w:rPr>
              <w:t>reinforcing Broadcom’s values and culture</w:t>
            </w:r>
          </w:p>
        </w:tc>
      </w:tr>
      <w:tr>
        <w:trPr>
          <w:trHeight w:val="122"/>
        </w:trPr>
        <w:tc>
          <w:tcPr>
            <w:tcW w:w="3240" w:type="dxa"/>
            <w:vAlign w:val="bottom"/>
            <w:tcBorders>
              <w:right w:val="single" w:sz="8" w:color="CF0A2C"/>
            </w:tcBorders>
          </w:tcPr>
          <w:p>
            <w:pPr>
              <w:spacing w:after="0"/>
              <w:rPr>
                <w:sz w:val="10"/>
                <w:szCs w:val="10"/>
                <w:color w:val="auto"/>
              </w:rPr>
            </w:pPr>
          </w:p>
        </w:tc>
        <w:tc>
          <w:tcPr>
            <w:tcW w:w="340" w:type="dxa"/>
            <w:vAlign w:val="bottom"/>
          </w:tcPr>
          <w:p>
            <w:pPr>
              <w:spacing w:after="0"/>
              <w:rPr>
                <w:sz w:val="10"/>
                <w:szCs w:val="10"/>
                <w:color w:val="auto"/>
              </w:rPr>
            </w:pPr>
          </w:p>
        </w:tc>
        <w:tc>
          <w:tcPr>
            <w:tcW w:w="5120" w:type="dxa"/>
            <w:vAlign w:val="bottom"/>
          </w:tcPr>
          <w:p>
            <w:pPr>
              <w:spacing w:after="0"/>
              <w:rPr>
                <w:sz w:val="10"/>
                <w:szCs w:val="10"/>
                <w:color w:val="auto"/>
              </w:rPr>
            </w:pPr>
          </w:p>
        </w:tc>
      </w:tr>
    </w:tbl>
    <w:p>
      <w:pPr>
        <w:spacing w:after="0" w:line="160"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The Compensation Committee conducts a performance review for each executive officer with input from our CEO (except his own) and each executive officer’s individual multiplier is approved by the Compensation Committee. The individual multiplier may range between 50% and 150%. Executive officers who consistently meet and exceed their individual goals may receive an individual multiplier at or above 100% while executive officers who meet some, but not all, of their individual goals may receive an individual multiplier below 100%. The Compensation Committee may assign an individual multiplier of 0% for executive officers who do not meet any of their goals under the individual multiplier pillar of the APB Plan.</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Fiscal 2025 APB Plan Attainment</w:t>
      </w:r>
    </w:p>
    <w:p>
      <w:pPr>
        <w:spacing w:after="0" w:line="176"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In December 2025, the Compensation Committee and the independent directors reviewed Broadcom’s actual performance for fiscal 2025, as well as the individual performance of our executive officers, to determine the level of achievement of the corporate financial goals and the division financial and strategic goals, and to assign an individual multiplier for each of our executive officers, excluding our CEO.</w:t>
      </w:r>
    </w:p>
    <w:p>
      <w:pPr>
        <w:spacing w:after="0" w:line="326"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768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5155" cy="76835"/>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Corporate Financial Goals</w:t>
      </w:r>
    </w:p>
    <w:p>
      <w:pPr>
        <w:spacing w:after="0" w:line="205"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For the corporate financial goals for the fiscal 2025 APB Plan, actual attainment of revenue was approximately $63.9 billion and adjusted non-GAAP operating margin was 68.0%, both of which exceeded the pre-established target and maximum attainment levels of performance. See Appendix A for a reconciliation of non-GAAP financial measures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115570</wp:posOffset>
            </wp:positionV>
            <wp:extent cx="55225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3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262626"/>
              </w:rPr>
              <w:t>Actual</w:t>
            </w:r>
          </w:p>
        </w:tc>
        <w:tc>
          <w:tcPr>
            <w:tcW w:w="440" w:type="dxa"/>
            <w:vAlign w:val="bottom"/>
          </w:tcPr>
          <w:p>
            <w:pPr>
              <w:spacing w:after="0"/>
              <w:rPr>
                <w:sz w:val="19"/>
                <w:szCs w:val="19"/>
                <w:color w:val="auto"/>
              </w:rPr>
            </w:pPr>
          </w:p>
        </w:tc>
        <w:tc>
          <w:tcPr>
            <w:tcW w:w="1100" w:type="dxa"/>
            <w:vAlign w:val="bottom"/>
          </w:tcPr>
          <w:p>
            <w:pPr>
              <w:jc w:val="center"/>
              <w:ind w:left="39"/>
              <w:spacing w:after="0"/>
              <w:rPr>
                <w:sz w:val="20"/>
                <w:szCs w:val="20"/>
                <w:color w:val="auto"/>
              </w:rPr>
            </w:pPr>
            <w:r>
              <w:rPr>
                <w:rFonts w:ascii="Arial" w:cs="Arial" w:eastAsia="Arial" w:hAnsi="Arial"/>
                <w:sz w:val="16"/>
                <w:szCs w:val="16"/>
                <w:b w:val="1"/>
                <w:bCs w:val="1"/>
                <w:color w:val="262626"/>
                <w:w w:val="98"/>
              </w:rPr>
              <w:t>% of Target</w:t>
            </w:r>
          </w:p>
        </w:tc>
      </w:tr>
      <w:tr>
        <w:trPr>
          <w:trHeight w:val="245"/>
        </w:trPr>
        <w:tc>
          <w:tcPr>
            <w:tcW w:w="386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262626"/>
              </w:rPr>
              <w:t>Corporate Financial Goals</w:t>
            </w:r>
          </w:p>
        </w:tc>
        <w:tc>
          <w:tcPr>
            <w:tcW w:w="1600" w:type="dxa"/>
            <w:vAlign w:val="bottom"/>
            <w:tcBorders>
              <w:bottom w:val="single" w:sz="8" w:color="CF0A2C"/>
            </w:tcBorders>
          </w:tcPr>
          <w:p>
            <w:pPr>
              <w:jc w:val="right"/>
              <w:ind w:right="119"/>
              <w:spacing w:after="0"/>
              <w:rPr>
                <w:sz w:val="20"/>
                <w:szCs w:val="20"/>
                <w:color w:val="auto"/>
              </w:rPr>
            </w:pPr>
            <w:r>
              <w:rPr>
                <w:rFonts w:ascii="Arial" w:cs="Arial" w:eastAsia="Arial" w:hAnsi="Arial"/>
                <w:sz w:val="16"/>
                <w:szCs w:val="16"/>
                <w:b w:val="1"/>
                <w:bCs w:val="1"/>
                <w:color w:val="262626"/>
              </w:rPr>
              <w:t>Target</w:t>
            </w:r>
          </w:p>
        </w:tc>
        <w:tc>
          <w:tcPr>
            <w:tcW w:w="640" w:type="dxa"/>
            <w:vAlign w:val="bottom"/>
            <w:tcBorders>
              <w:bottom w:val="single" w:sz="8" w:color="CF0A2C"/>
            </w:tcBorders>
          </w:tcPr>
          <w:p>
            <w:pPr>
              <w:spacing w:after="0"/>
              <w:rPr>
                <w:sz w:val="21"/>
                <w:szCs w:val="21"/>
                <w:color w:val="auto"/>
              </w:rPr>
            </w:pPr>
          </w:p>
        </w:tc>
        <w:tc>
          <w:tcPr>
            <w:tcW w:w="1060" w:type="dxa"/>
            <w:vAlign w:val="bottom"/>
            <w:tcBorders>
              <w:bottom w:val="single" w:sz="8" w:color="CF0A2C"/>
            </w:tcBorders>
          </w:tcPr>
          <w:p>
            <w:pPr>
              <w:jc w:val="center"/>
              <w:spacing w:after="0"/>
              <w:rPr>
                <w:sz w:val="20"/>
                <w:szCs w:val="20"/>
                <w:color w:val="auto"/>
              </w:rPr>
            </w:pPr>
            <w:r>
              <w:rPr>
                <w:rFonts w:ascii="Arial" w:cs="Arial" w:eastAsia="Arial" w:hAnsi="Arial"/>
                <w:sz w:val="16"/>
                <w:szCs w:val="16"/>
                <w:b w:val="1"/>
                <w:bCs w:val="1"/>
                <w:color w:val="262626"/>
              </w:rPr>
              <w:t>Attainment</w:t>
            </w:r>
          </w:p>
        </w:tc>
        <w:tc>
          <w:tcPr>
            <w:tcW w:w="440" w:type="dxa"/>
            <w:vAlign w:val="bottom"/>
            <w:tcBorders>
              <w:bottom w:val="single" w:sz="8" w:color="CF0A2C"/>
            </w:tcBorders>
          </w:tcPr>
          <w:p>
            <w:pPr>
              <w:spacing w:after="0"/>
              <w:rPr>
                <w:sz w:val="21"/>
                <w:szCs w:val="21"/>
                <w:color w:val="auto"/>
              </w:rPr>
            </w:pPr>
          </w:p>
        </w:tc>
        <w:tc>
          <w:tcPr>
            <w:tcW w:w="1100" w:type="dxa"/>
            <w:vAlign w:val="bottom"/>
            <w:tcBorders>
              <w:bottom w:val="single" w:sz="8" w:color="CF0A2C"/>
            </w:tcBorders>
          </w:tcPr>
          <w:p>
            <w:pPr>
              <w:jc w:val="center"/>
              <w:ind w:left="39"/>
              <w:spacing w:after="0"/>
              <w:rPr>
                <w:sz w:val="20"/>
                <w:szCs w:val="20"/>
                <w:color w:val="auto"/>
              </w:rPr>
            </w:pPr>
            <w:r>
              <w:rPr>
                <w:rFonts w:ascii="Arial" w:cs="Arial" w:eastAsia="Arial" w:hAnsi="Arial"/>
                <w:sz w:val="16"/>
                <w:szCs w:val="16"/>
                <w:b w:val="1"/>
                <w:bCs w:val="1"/>
                <w:color w:val="262626"/>
              </w:rPr>
              <w:t>Attainment</w:t>
            </w:r>
            <w:r>
              <w:rPr>
                <w:rFonts w:ascii="Arial" w:cs="Arial" w:eastAsia="Arial" w:hAnsi="Arial"/>
                <w:sz w:val="10"/>
                <w:szCs w:val="10"/>
                <w:b w:val="1"/>
                <w:bCs w:val="1"/>
                <w:color w:val="262626"/>
              </w:rPr>
              <w:t>(1)</w:t>
            </w:r>
          </w:p>
        </w:tc>
      </w:tr>
      <w:tr>
        <w:trPr>
          <w:trHeight w:val="285"/>
        </w:trPr>
        <w:tc>
          <w:tcPr>
            <w:tcW w:w="3860" w:type="dxa"/>
            <w:vAlign w:val="bottom"/>
          </w:tcPr>
          <w:p>
            <w:pPr>
              <w:spacing w:after="0"/>
              <w:rPr>
                <w:sz w:val="20"/>
                <w:szCs w:val="20"/>
                <w:color w:val="auto"/>
              </w:rPr>
            </w:pPr>
            <w:r>
              <w:rPr>
                <w:rFonts w:ascii="Arial" w:cs="Arial" w:eastAsia="Arial" w:hAnsi="Arial"/>
                <w:sz w:val="16"/>
                <w:szCs w:val="16"/>
                <w:b w:val="1"/>
                <w:bCs w:val="1"/>
                <w:color w:val="262626"/>
              </w:rPr>
              <w:t>Revenue</w:t>
            </w:r>
          </w:p>
        </w:tc>
        <w:tc>
          <w:tcPr>
            <w:tcW w:w="1600" w:type="dxa"/>
            <w:vAlign w:val="bottom"/>
          </w:tcPr>
          <w:p>
            <w:pPr>
              <w:jc w:val="right"/>
              <w:ind w:right="39"/>
              <w:spacing w:after="0"/>
              <w:rPr>
                <w:sz w:val="20"/>
                <w:szCs w:val="20"/>
                <w:color w:val="auto"/>
              </w:rPr>
            </w:pPr>
            <w:r>
              <w:rPr>
                <w:rFonts w:ascii="Arial" w:cs="Arial" w:eastAsia="Arial" w:hAnsi="Arial"/>
                <w:sz w:val="16"/>
                <w:szCs w:val="16"/>
                <w:color w:val="262626"/>
              </w:rPr>
              <w:t>$57,294</w:t>
            </w:r>
          </w:p>
        </w:tc>
        <w:tc>
          <w:tcPr>
            <w:tcW w:w="640" w:type="dxa"/>
            <w:vAlign w:val="bottom"/>
          </w:tcPr>
          <w:p>
            <w:pPr>
              <w:ind w:left="100"/>
              <w:spacing w:after="0"/>
              <w:rPr>
                <w:sz w:val="20"/>
                <w:szCs w:val="20"/>
                <w:color w:val="auto"/>
              </w:rPr>
            </w:pPr>
            <w:r>
              <w:rPr>
                <w:rFonts w:ascii="Arial" w:cs="Arial" w:eastAsia="Arial" w:hAnsi="Arial"/>
                <w:sz w:val="16"/>
                <w:szCs w:val="16"/>
                <w:color w:val="262626"/>
              </w:rPr>
              <w:t xml:space="preserve">         </w:t>
            </w:r>
          </w:p>
        </w:tc>
        <w:tc>
          <w:tcPr>
            <w:tcW w:w="1060" w:type="dxa"/>
            <w:vAlign w:val="bottom"/>
          </w:tcPr>
          <w:p>
            <w:pPr>
              <w:jc w:val="right"/>
              <w:ind w:right="179"/>
              <w:spacing w:after="0"/>
              <w:rPr>
                <w:sz w:val="20"/>
                <w:szCs w:val="20"/>
                <w:color w:val="auto"/>
              </w:rPr>
            </w:pPr>
            <w:r>
              <w:rPr>
                <w:rFonts w:ascii="Arial" w:cs="Arial" w:eastAsia="Arial" w:hAnsi="Arial"/>
                <w:sz w:val="16"/>
                <w:szCs w:val="16"/>
                <w:color w:val="262626"/>
              </w:rPr>
              <w:t>$63,887</w:t>
            </w:r>
          </w:p>
        </w:tc>
        <w:tc>
          <w:tcPr>
            <w:tcW w:w="440" w:type="dxa"/>
            <w:vAlign w:val="bottom"/>
          </w:tcPr>
          <w:p>
            <w:pPr>
              <w:ind w:left="120"/>
              <w:spacing w:after="0"/>
              <w:rPr>
                <w:sz w:val="20"/>
                <w:szCs w:val="20"/>
                <w:color w:val="auto"/>
              </w:rPr>
            </w:pPr>
            <w:r>
              <w:rPr>
                <w:rFonts w:ascii="Arial" w:cs="Arial" w:eastAsia="Arial" w:hAnsi="Arial"/>
                <w:sz w:val="16"/>
                <w:szCs w:val="16"/>
                <w:color w:val="262626"/>
              </w:rPr>
              <w:t xml:space="preserve">    </w:t>
            </w:r>
          </w:p>
        </w:tc>
        <w:tc>
          <w:tcPr>
            <w:tcW w:w="1100" w:type="dxa"/>
            <w:vAlign w:val="bottom"/>
          </w:tcPr>
          <w:p>
            <w:pPr>
              <w:jc w:val="center"/>
              <w:ind w:left="39"/>
              <w:spacing w:after="0"/>
              <w:rPr>
                <w:sz w:val="20"/>
                <w:szCs w:val="20"/>
                <w:color w:val="auto"/>
              </w:rPr>
            </w:pPr>
            <w:r>
              <w:rPr>
                <w:rFonts w:ascii="Arial" w:cs="Arial" w:eastAsia="Arial" w:hAnsi="Arial"/>
                <w:sz w:val="16"/>
                <w:szCs w:val="16"/>
                <w:color w:val="262626"/>
              </w:rPr>
              <w:t>150%</w:t>
            </w:r>
          </w:p>
        </w:tc>
      </w:tr>
      <w:tr>
        <w:trPr>
          <w:trHeight w:val="247"/>
        </w:trPr>
        <w:tc>
          <w:tcPr>
            <w:tcW w:w="3860" w:type="dxa"/>
            <w:vAlign w:val="bottom"/>
          </w:tcPr>
          <w:p>
            <w:pPr>
              <w:spacing w:after="0"/>
              <w:rPr>
                <w:sz w:val="20"/>
                <w:szCs w:val="20"/>
                <w:color w:val="auto"/>
              </w:rPr>
            </w:pPr>
            <w:r>
              <w:rPr>
                <w:rFonts w:ascii="Arial" w:cs="Arial" w:eastAsia="Arial" w:hAnsi="Arial"/>
                <w:sz w:val="16"/>
                <w:szCs w:val="16"/>
                <w:color w:val="262626"/>
              </w:rPr>
              <w:t>(in millions)</w:t>
            </w:r>
          </w:p>
        </w:tc>
        <w:tc>
          <w:tcPr>
            <w:tcW w:w="1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384"/>
        </w:trPr>
        <w:tc>
          <w:tcPr>
            <w:tcW w:w="3860" w:type="dxa"/>
            <w:vAlign w:val="bottom"/>
          </w:tcPr>
          <w:p>
            <w:pPr>
              <w:spacing w:after="0"/>
              <w:rPr>
                <w:sz w:val="20"/>
                <w:szCs w:val="20"/>
                <w:color w:val="auto"/>
              </w:rPr>
            </w:pPr>
            <w:r>
              <w:rPr>
                <w:rFonts w:ascii="Arial" w:cs="Arial" w:eastAsia="Arial" w:hAnsi="Arial"/>
                <w:sz w:val="16"/>
                <w:szCs w:val="16"/>
                <w:b w:val="1"/>
                <w:bCs w:val="1"/>
                <w:color w:val="262626"/>
              </w:rPr>
              <w:t>Adjusted Non-GAAP Operating Income</w:t>
            </w:r>
          </w:p>
        </w:tc>
        <w:tc>
          <w:tcPr>
            <w:tcW w:w="1600" w:type="dxa"/>
            <w:vAlign w:val="bottom"/>
          </w:tcPr>
          <w:p>
            <w:pPr>
              <w:jc w:val="right"/>
              <w:ind w:right="19"/>
              <w:spacing w:after="0"/>
              <w:rPr>
                <w:sz w:val="20"/>
                <w:szCs w:val="20"/>
                <w:color w:val="auto"/>
              </w:rPr>
            </w:pPr>
            <w:r>
              <w:rPr>
                <w:rFonts w:ascii="Arial" w:cs="Arial" w:eastAsia="Arial" w:hAnsi="Arial"/>
                <w:sz w:val="16"/>
                <w:szCs w:val="16"/>
                <w:color w:val="262626"/>
              </w:rPr>
              <w:t>63.7%</w:t>
            </w:r>
          </w:p>
        </w:tc>
        <w:tc>
          <w:tcPr>
            <w:tcW w:w="6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262626"/>
                <w:w w:val="91"/>
              </w:rPr>
              <w:t>  68.0%</w:t>
            </w:r>
          </w:p>
        </w:tc>
        <w:tc>
          <w:tcPr>
            <w:tcW w:w="440" w:type="dxa"/>
            <w:vAlign w:val="bottom"/>
          </w:tcPr>
          <w:p>
            <w:pPr>
              <w:spacing w:after="0"/>
              <w:rPr>
                <w:sz w:val="24"/>
                <w:szCs w:val="24"/>
                <w:color w:val="auto"/>
              </w:rPr>
            </w:pPr>
          </w:p>
        </w:tc>
        <w:tc>
          <w:tcPr>
            <w:tcW w:w="1100" w:type="dxa"/>
            <w:vAlign w:val="bottom"/>
          </w:tcPr>
          <w:p>
            <w:pPr>
              <w:jc w:val="center"/>
              <w:ind w:left="39"/>
              <w:spacing w:after="0"/>
              <w:rPr>
                <w:sz w:val="20"/>
                <w:szCs w:val="20"/>
                <w:color w:val="auto"/>
              </w:rPr>
            </w:pPr>
            <w:r>
              <w:rPr>
                <w:rFonts w:ascii="Arial" w:cs="Arial" w:eastAsia="Arial" w:hAnsi="Arial"/>
                <w:sz w:val="16"/>
                <w:szCs w:val="16"/>
                <w:color w:val="262626"/>
              </w:rPr>
              <w:t>150%</w:t>
            </w:r>
          </w:p>
        </w:tc>
      </w:tr>
      <w:tr>
        <w:trPr>
          <w:trHeight w:val="247"/>
        </w:trPr>
        <w:tc>
          <w:tcPr>
            <w:tcW w:w="3860" w:type="dxa"/>
            <w:vAlign w:val="bottom"/>
          </w:tcPr>
          <w:p>
            <w:pPr>
              <w:spacing w:after="0"/>
              <w:rPr>
                <w:sz w:val="20"/>
                <w:szCs w:val="20"/>
                <w:color w:val="auto"/>
              </w:rPr>
            </w:pPr>
            <w:r>
              <w:rPr>
                <w:rFonts w:ascii="Arial" w:cs="Arial" w:eastAsia="Arial" w:hAnsi="Arial"/>
                <w:sz w:val="16"/>
                <w:szCs w:val="16"/>
                <w:color w:val="262626"/>
              </w:rPr>
              <w:t>(as a % of revenue)</w:t>
            </w:r>
          </w:p>
        </w:tc>
        <w:tc>
          <w:tcPr>
            <w:tcW w:w="1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120650</wp:posOffset>
            </wp:positionV>
            <wp:extent cx="4343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241" w:lineRule="exact"/>
        <w:rPr>
          <w:sz w:val="20"/>
          <w:szCs w:val="20"/>
          <w:color w:val="auto"/>
        </w:rPr>
      </w:pPr>
    </w:p>
    <w:p>
      <w:pPr>
        <w:ind w:left="1620" w:right="179" w:hanging="344"/>
        <w:spacing w:after="0" w:line="362" w:lineRule="auto"/>
        <w:tabs>
          <w:tab w:leader="none" w:pos="1620" w:val="left"/>
        </w:tabs>
        <w:numPr>
          <w:ilvl w:val="0"/>
          <w:numId w:val="23"/>
        </w:numPr>
        <w:rPr>
          <w:rFonts w:ascii="Arial" w:cs="Arial" w:eastAsia="Arial" w:hAnsi="Arial"/>
          <w:sz w:val="14"/>
          <w:szCs w:val="14"/>
          <w:color w:val="262626"/>
        </w:rPr>
      </w:pPr>
      <w:r>
        <w:rPr>
          <w:rFonts w:ascii="Arial" w:cs="Arial" w:eastAsia="Arial" w:hAnsi="Arial"/>
          <w:sz w:val="14"/>
          <w:szCs w:val="14"/>
          <w:color w:val="262626"/>
        </w:rPr>
        <w:t>Actual attainment exceeded the pre-established maximum goals, however the APB Plan caps the payout at 150% of the target bonus opportunity for each component of the corporate financial goals.</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Division Financial and Strategic Goals</w:t>
      </w:r>
    </w:p>
    <w:p>
      <w:pPr>
        <w:spacing w:after="0" w:line="205"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For Ms. Spears and Mr. Brazeal, the Compensation Committee evaluated their actual level of achievement of the pre-established division financial and strategic goals discussed above. Based on this evaluation, the Compensation Committee determined the division financial and strategic goals performance percentage for Ms. Spears and Mr. Brazeal as set forth below under “</w:t>
      </w:r>
      <w:r>
        <w:rPr>
          <w:rFonts w:ascii="Arial" w:cs="Arial" w:eastAsia="Arial" w:hAnsi="Arial"/>
          <w:sz w:val="16"/>
          <w:szCs w:val="16"/>
          <w:i w:val="1"/>
          <w:iCs w:val="1"/>
          <w:color w:val="262626"/>
        </w:rPr>
        <w:t>Fiscal 2025 APB Plan Payout</w:t>
      </w:r>
      <w:r>
        <w:rPr>
          <w:rFonts w:ascii="Arial" w:cs="Arial" w:eastAsia="Arial" w:hAnsi="Arial"/>
          <w:sz w:val="16"/>
          <w:szCs w:val="16"/>
          <w:color w:val="262626"/>
        </w:rPr>
        <w:t>.”</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Individual Multiplier</w:t>
      </w:r>
    </w:p>
    <w:p>
      <w:pPr>
        <w:spacing w:after="0" w:line="205"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The Compensation Committee, with input from our CEO, determined the individual multipliers for each of our NEOs (other than our CEO) for fiscal 2025 based on the pre-established goals related to strategy, operational excellence, and leadership, values and culture discussed above. The specific achievements of Ms. Spears, Mr. Brazeal and Dr. Kawwas that the Compensation Committee considered are set forth below.</w:t>
      </w:r>
    </w:p>
    <w:p>
      <w:pPr>
        <w:spacing w:after="0" w:line="196" w:lineRule="exact"/>
        <w:rPr>
          <w:sz w:val="20"/>
          <w:szCs w:val="20"/>
          <w:color w:val="auto"/>
        </w:rPr>
      </w:pPr>
    </w:p>
    <w:tbl>
      <w:tblPr>
        <w:tblLayout w:type="fixed"/>
        <w:tblInd w:w="1280" w:type="dxa"/>
        <w:tblCellMar>
          <w:top w:w="0" w:type="dxa"/>
          <w:left w:w="0" w:type="dxa"/>
          <w:bottom w:w="0" w:type="dxa"/>
          <w:right w:w="0" w:type="dxa"/>
        </w:tblCellMar>
      </w:tblPr>
      <w:tr>
        <w:trPr>
          <w:trHeight w:val="302"/>
        </w:trPr>
        <w:tc>
          <w:tcPr>
            <w:tcW w:w="2700" w:type="dxa"/>
            <w:vAlign w:val="bottom"/>
            <w:tcBorders>
              <w:right w:val="single" w:sz="8" w:color="CF0A2C"/>
            </w:tcBorders>
          </w:tcPr>
          <w:p>
            <w:pPr>
              <w:spacing w:after="0"/>
              <w:rPr>
                <w:sz w:val="20"/>
                <w:szCs w:val="20"/>
                <w:color w:val="auto"/>
              </w:rPr>
            </w:pPr>
            <w:r>
              <w:rPr>
                <w:rFonts w:ascii="Arial" w:cs="Arial" w:eastAsia="Arial" w:hAnsi="Arial"/>
                <w:sz w:val="16"/>
                <w:szCs w:val="16"/>
                <w:b w:val="1"/>
                <w:bCs w:val="1"/>
                <w:color w:val="262626"/>
              </w:rPr>
              <w:t>Kirsten M. Spears</w:t>
            </w:r>
          </w:p>
        </w:tc>
        <w:tc>
          <w:tcPr>
            <w:tcW w:w="280" w:type="dxa"/>
            <w:vAlign w:val="bottom"/>
          </w:tcPr>
          <w:p>
            <w:pPr>
              <w:ind w:left="80"/>
              <w:spacing w:after="0"/>
              <w:rPr>
                <w:sz w:val="20"/>
                <w:szCs w:val="20"/>
                <w:color w:val="auto"/>
              </w:rPr>
            </w:pPr>
            <w:r>
              <w:rPr>
                <w:rFonts w:ascii="Arial" w:cs="Arial" w:eastAsia="Arial" w:hAnsi="Arial"/>
                <w:sz w:val="16"/>
                <w:szCs w:val="16"/>
                <w:color w:val="262626"/>
              </w:rPr>
              <w:t>•</w:t>
            </w:r>
          </w:p>
        </w:tc>
        <w:tc>
          <w:tcPr>
            <w:tcW w:w="5720" w:type="dxa"/>
            <w:vAlign w:val="bottom"/>
          </w:tcPr>
          <w:p>
            <w:pPr>
              <w:ind w:left="140"/>
              <w:spacing w:after="0"/>
              <w:rPr>
                <w:sz w:val="20"/>
                <w:szCs w:val="20"/>
                <w:color w:val="auto"/>
              </w:rPr>
            </w:pPr>
            <w:r>
              <w:rPr>
                <w:rFonts w:ascii="Arial" w:cs="Arial" w:eastAsia="Arial" w:hAnsi="Arial"/>
                <w:sz w:val="16"/>
                <w:szCs w:val="16"/>
                <w:color w:val="262626"/>
              </w:rPr>
              <w:t>Managed record free cash flow of $26.9 billion and controlled capital</w:t>
            </w:r>
          </w:p>
        </w:tc>
        <w:tc>
          <w:tcPr>
            <w:tcW w:w="0" w:type="dxa"/>
            <w:vAlign w:val="bottom"/>
          </w:tcPr>
          <w:p>
            <w:pPr>
              <w:spacing w:after="0"/>
              <w:rPr>
                <w:sz w:val="1"/>
                <w:szCs w:val="1"/>
                <w:color w:val="auto"/>
              </w:rPr>
            </w:pPr>
          </w:p>
        </w:tc>
      </w:tr>
      <w:tr>
        <w:trPr>
          <w:trHeight w:val="234"/>
        </w:trPr>
        <w:tc>
          <w:tcPr>
            <w:tcW w:w="2700" w:type="dxa"/>
            <w:vAlign w:val="bottom"/>
            <w:tcBorders>
              <w:right w:val="single" w:sz="8" w:color="CF0A2C"/>
            </w:tcBorders>
          </w:tcPr>
          <w:p>
            <w:pPr>
              <w:spacing w:after="0"/>
              <w:rPr>
                <w:sz w:val="20"/>
                <w:szCs w:val="20"/>
                <w:color w:val="auto"/>
              </w:rPr>
            </w:pPr>
          </w:p>
        </w:tc>
        <w:tc>
          <w:tcPr>
            <w:tcW w:w="280" w:type="dxa"/>
            <w:vAlign w:val="bottom"/>
          </w:tcPr>
          <w:p>
            <w:pPr>
              <w:spacing w:after="0"/>
              <w:rPr>
                <w:sz w:val="20"/>
                <w:szCs w:val="20"/>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expenditures, returning $11.1 billion in cash dividends and $2.5 billion in stock</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repurchases to our stockholders</w:t>
            </w:r>
          </w:p>
        </w:tc>
        <w:tc>
          <w:tcPr>
            <w:tcW w:w="0" w:type="dxa"/>
            <w:vAlign w:val="bottom"/>
          </w:tcPr>
          <w:p>
            <w:pPr>
              <w:spacing w:after="0"/>
              <w:rPr>
                <w:sz w:val="1"/>
                <w:szCs w:val="1"/>
                <w:color w:val="auto"/>
              </w:rPr>
            </w:pPr>
          </w:p>
        </w:tc>
      </w:tr>
      <w:tr>
        <w:trPr>
          <w:trHeight w:val="376"/>
        </w:trPr>
        <w:tc>
          <w:tcPr>
            <w:tcW w:w="2700" w:type="dxa"/>
            <w:vAlign w:val="bottom"/>
            <w:tcBorders>
              <w:right w:val="single" w:sz="8" w:color="CF0A2C"/>
            </w:tcBorders>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6"/>
                <w:szCs w:val="16"/>
                <w:color w:val="262626"/>
              </w:rPr>
              <w:t>•</w:t>
            </w:r>
          </w:p>
        </w:tc>
        <w:tc>
          <w:tcPr>
            <w:tcW w:w="5720" w:type="dxa"/>
            <w:vAlign w:val="bottom"/>
          </w:tcPr>
          <w:p>
            <w:pPr>
              <w:ind w:left="140"/>
              <w:spacing w:after="0"/>
              <w:rPr>
                <w:sz w:val="20"/>
                <w:szCs w:val="20"/>
                <w:color w:val="auto"/>
              </w:rPr>
            </w:pPr>
            <w:r>
              <w:rPr>
                <w:rFonts w:ascii="Arial" w:cs="Arial" w:eastAsia="Arial" w:hAnsi="Arial"/>
                <w:sz w:val="16"/>
                <w:szCs w:val="16"/>
                <w:color w:val="262626"/>
              </w:rPr>
              <w:t>Directed capital allocation in a focused and balanced manner, including</w:t>
            </w:r>
          </w:p>
        </w:tc>
        <w:tc>
          <w:tcPr>
            <w:tcW w:w="0" w:type="dxa"/>
            <w:vAlign w:val="bottom"/>
          </w:tcPr>
          <w:p>
            <w:pPr>
              <w:spacing w:after="0"/>
              <w:rPr>
                <w:sz w:val="1"/>
                <w:szCs w:val="1"/>
                <w:color w:val="auto"/>
              </w:rPr>
            </w:pPr>
          </w:p>
        </w:tc>
      </w:tr>
      <w:tr>
        <w:trPr>
          <w:trHeight w:val="242"/>
        </w:trPr>
        <w:tc>
          <w:tcPr>
            <w:tcW w:w="2700" w:type="dxa"/>
            <w:vAlign w:val="bottom"/>
            <w:tcBorders>
              <w:right w:val="single" w:sz="8" w:color="CF0A2C"/>
            </w:tcBorders>
          </w:tcPr>
          <w:p>
            <w:pPr>
              <w:spacing w:after="0"/>
              <w:rPr>
                <w:sz w:val="21"/>
                <w:szCs w:val="21"/>
                <w:color w:val="auto"/>
              </w:rPr>
            </w:pPr>
          </w:p>
        </w:tc>
        <w:tc>
          <w:tcPr>
            <w:tcW w:w="280" w:type="dxa"/>
            <w:vAlign w:val="bottom"/>
          </w:tcPr>
          <w:p>
            <w:pPr>
              <w:spacing w:after="0"/>
              <w:rPr>
                <w:sz w:val="21"/>
                <w:szCs w:val="21"/>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raising $15.8 billion in fixed rate debt and repaying $18.5 billion of outstanding</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fixed and floating rate debt</w:t>
            </w:r>
          </w:p>
        </w:tc>
        <w:tc>
          <w:tcPr>
            <w:tcW w:w="0" w:type="dxa"/>
            <w:vAlign w:val="bottom"/>
          </w:tcPr>
          <w:p>
            <w:pPr>
              <w:spacing w:after="0"/>
              <w:rPr>
                <w:sz w:val="1"/>
                <w:szCs w:val="1"/>
                <w:color w:val="auto"/>
              </w:rPr>
            </w:pPr>
          </w:p>
        </w:tc>
      </w:tr>
      <w:tr>
        <w:trPr>
          <w:trHeight w:val="376"/>
        </w:trPr>
        <w:tc>
          <w:tcPr>
            <w:tcW w:w="2700" w:type="dxa"/>
            <w:vAlign w:val="bottom"/>
            <w:tcBorders>
              <w:right w:val="single" w:sz="8" w:color="CF0A2C"/>
            </w:tcBorders>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6"/>
                <w:szCs w:val="16"/>
                <w:color w:val="262626"/>
              </w:rPr>
              <w:t>•</w:t>
            </w:r>
          </w:p>
        </w:tc>
        <w:tc>
          <w:tcPr>
            <w:tcW w:w="5720" w:type="dxa"/>
            <w:vAlign w:val="bottom"/>
          </w:tcPr>
          <w:p>
            <w:pPr>
              <w:ind w:left="140"/>
              <w:spacing w:after="0"/>
              <w:rPr>
                <w:sz w:val="20"/>
                <w:szCs w:val="20"/>
                <w:color w:val="auto"/>
              </w:rPr>
            </w:pPr>
            <w:r>
              <w:rPr>
                <w:rFonts w:ascii="Arial" w:cs="Arial" w:eastAsia="Arial" w:hAnsi="Arial"/>
                <w:sz w:val="16"/>
                <w:szCs w:val="16"/>
                <w:color w:val="262626"/>
              </w:rPr>
              <w:t>Supported expansion of our existing and new business models and strategies</w:t>
            </w:r>
          </w:p>
        </w:tc>
        <w:tc>
          <w:tcPr>
            <w:tcW w:w="0" w:type="dxa"/>
            <w:vAlign w:val="bottom"/>
          </w:tcPr>
          <w:p>
            <w:pPr>
              <w:spacing w:after="0"/>
              <w:rPr>
                <w:sz w:val="1"/>
                <w:szCs w:val="1"/>
                <w:color w:val="auto"/>
              </w:rPr>
            </w:pPr>
          </w:p>
        </w:tc>
      </w:tr>
      <w:tr>
        <w:trPr>
          <w:trHeight w:val="242"/>
        </w:trPr>
        <w:tc>
          <w:tcPr>
            <w:tcW w:w="2700" w:type="dxa"/>
            <w:vAlign w:val="bottom"/>
            <w:tcBorders>
              <w:right w:val="single" w:sz="8" w:color="CF0A2C"/>
            </w:tcBorders>
          </w:tcPr>
          <w:p>
            <w:pPr>
              <w:spacing w:after="0"/>
              <w:rPr>
                <w:sz w:val="21"/>
                <w:szCs w:val="21"/>
                <w:color w:val="auto"/>
              </w:rPr>
            </w:pPr>
          </w:p>
        </w:tc>
        <w:tc>
          <w:tcPr>
            <w:tcW w:w="280" w:type="dxa"/>
            <w:vAlign w:val="bottom"/>
          </w:tcPr>
          <w:p>
            <w:pPr>
              <w:spacing w:after="0"/>
              <w:rPr>
                <w:sz w:val="21"/>
                <w:szCs w:val="21"/>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through disciplined management of our cash flow, operating expenses and</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capital allocation</w:t>
            </w:r>
          </w:p>
        </w:tc>
        <w:tc>
          <w:tcPr>
            <w:tcW w:w="0" w:type="dxa"/>
            <w:vAlign w:val="bottom"/>
          </w:tcPr>
          <w:p>
            <w:pPr>
              <w:spacing w:after="0"/>
              <w:rPr>
                <w:sz w:val="1"/>
                <w:szCs w:val="1"/>
                <w:color w:val="auto"/>
              </w:rPr>
            </w:pPr>
          </w:p>
        </w:tc>
      </w:tr>
      <w:tr>
        <w:trPr>
          <w:trHeight w:val="376"/>
        </w:trPr>
        <w:tc>
          <w:tcPr>
            <w:tcW w:w="2700" w:type="dxa"/>
            <w:vAlign w:val="bottom"/>
            <w:tcBorders>
              <w:right w:val="single" w:sz="8" w:color="CF0A2C"/>
            </w:tcBorders>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6"/>
                <w:szCs w:val="16"/>
                <w:color w:val="262626"/>
              </w:rPr>
              <w:t>•</w:t>
            </w:r>
          </w:p>
        </w:tc>
        <w:tc>
          <w:tcPr>
            <w:tcW w:w="5720" w:type="dxa"/>
            <w:vAlign w:val="bottom"/>
          </w:tcPr>
          <w:p>
            <w:pPr>
              <w:ind w:left="140"/>
              <w:spacing w:after="0"/>
              <w:rPr>
                <w:sz w:val="20"/>
                <w:szCs w:val="20"/>
                <w:color w:val="auto"/>
              </w:rPr>
            </w:pPr>
            <w:r>
              <w:rPr>
                <w:rFonts w:ascii="Arial" w:cs="Arial" w:eastAsia="Arial" w:hAnsi="Arial"/>
                <w:sz w:val="16"/>
                <w:szCs w:val="16"/>
                <w:color w:val="262626"/>
              </w:rPr>
              <w:t>Led global finance team operating in a complex environment, including</w:t>
            </w:r>
          </w:p>
        </w:tc>
        <w:tc>
          <w:tcPr>
            <w:tcW w:w="0" w:type="dxa"/>
            <w:vAlign w:val="bottom"/>
          </w:tcPr>
          <w:p>
            <w:pPr>
              <w:spacing w:after="0"/>
              <w:rPr>
                <w:sz w:val="1"/>
                <w:szCs w:val="1"/>
                <w:color w:val="auto"/>
              </w:rPr>
            </w:pPr>
          </w:p>
        </w:tc>
      </w:tr>
      <w:tr>
        <w:trPr>
          <w:trHeight w:val="242"/>
        </w:trPr>
        <w:tc>
          <w:tcPr>
            <w:tcW w:w="2700" w:type="dxa"/>
            <w:vAlign w:val="bottom"/>
            <w:tcBorders>
              <w:right w:val="single" w:sz="8" w:color="CF0A2C"/>
            </w:tcBorders>
          </w:tcPr>
          <w:p>
            <w:pPr>
              <w:spacing w:after="0"/>
              <w:rPr>
                <w:sz w:val="21"/>
                <w:szCs w:val="21"/>
                <w:color w:val="auto"/>
              </w:rPr>
            </w:pPr>
          </w:p>
        </w:tc>
        <w:tc>
          <w:tcPr>
            <w:tcW w:w="280" w:type="dxa"/>
            <w:vAlign w:val="bottom"/>
          </w:tcPr>
          <w:p>
            <w:pPr>
              <w:spacing w:after="0"/>
              <w:rPr>
                <w:sz w:val="21"/>
                <w:szCs w:val="21"/>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investor relations, treasury, sales finance, SEC reporting, financial planning</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and analysis, global tax and insurance</w:t>
            </w:r>
          </w:p>
        </w:tc>
        <w:tc>
          <w:tcPr>
            <w:tcW w:w="0" w:type="dxa"/>
            <w:vAlign w:val="bottom"/>
          </w:tcPr>
          <w:p>
            <w:pPr>
              <w:spacing w:after="0"/>
              <w:rPr>
                <w:sz w:val="1"/>
                <w:szCs w:val="1"/>
                <w:color w:val="auto"/>
              </w:rPr>
            </w:pPr>
          </w:p>
        </w:tc>
      </w:tr>
      <w:tr>
        <w:trPr>
          <w:trHeight w:val="163"/>
        </w:trPr>
        <w:tc>
          <w:tcPr>
            <w:tcW w:w="2700" w:type="dxa"/>
            <w:vAlign w:val="bottom"/>
            <w:tcBorders>
              <w:bottom w:val="single" w:sz="8" w:color="CF0A2C"/>
              <w:right w:val="single" w:sz="8" w:color="CF0A2C"/>
            </w:tcBorders>
          </w:tcPr>
          <w:p>
            <w:pPr>
              <w:spacing w:after="0"/>
              <w:rPr>
                <w:sz w:val="14"/>
                <w:szCs w:val="14"/>
                <w:color w:val="auto"/>
              </w:rPr>
            </w:pPr>
          </w:p>
        </w:tc>
        <w:tc>
          <w:tcPr>
            <w:tcW w:w="280" w:type="dxa"/>
            <w:vAlign w:val="bottom"/>
            <w:tcBorders>
              <w:bottom w:val="single" w:sz="8" w:color="CF0A2C"/>
            </w:tcBorders>
          </w:tcPr>
          <w:p>
            <w:pPr>
              <w:spacing w:after="0"/>
              <w:rPr>
                <w:sz w:val="14"/>
                <w:szCs w:val="14"/>
                <w:color w:val="auto"/>
              </w:rPr>
            </w:pPr>
          </w:p>
        </w:tc>
        <w:tc>
          <w:tcPr>
            <w:tcW w:w="5720" w:type="dxa"/>
            <w:vAlign w:val="bottom"/>
            <w:tcBorders>
              <w:bottom w:val="single" w:sz="8" w:color="CF0A2C"/>
            </w:tcBorders>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2700" w:type="dxa"/>
            <w:vAlign w:val="bottom"/>
            <w:tcBorders>
              <w:right w:val="single" w:sz="8" w:color="CF0A2C"/>
            </w:tcBorders>
          </w:tcPr>
          <w:p>
            <w:pPr>
              <w:spacing w:after="0"/>
              <w:rPr>
                <w:sz w:val="20"/>
                <w:szCs w:val="20"/>
                <w:color w:val="auto"/>
              </w:rPr>
            </w:pPr>
            <w:r>
              <w:rPr>
                <w:rFonts w:ascii="Arial" w:cs="Arial" w:eastAsia="Arial" w:hAnsi="Arial"/>
                <w:sz w:val="16"/>
                <w:szCs w:val="16"/>
                <w:b w:val="1"/>
                <w:bCs w:val="1"/>
                <w:color w:val="262626"/>
              </w:rPr>
              <w:t>Mark D. Brazeal</w:t>
            </w:r>
          </w:p>
        </w:tc>
        <w:tc>
          <w:tcPr>
            <w:tcW w:w="280" w:type="dxa"/>
            <w:vAlign w:val="bottom"/>
            <w:vMerge w:val="restart"/>
          </w:tcPr>
          <w:p>
            <w:pPr>
              <w:ind w:left="80"/>
              <w:spacing w:after="0"/>
              <w:rPr>
                <w:sz w:val="20"/>
                <w:szCs w:val="20"/>
                <w:color w:val="auto"/>
              </w:rPr>
            </w:pPr>
            <w:r>
              <w:rPr>
                <w:rFonts w:ascii="Arial" w:cs="Arial" w:eastAsia="Arial" w:hAnsi="Arial"/>
                <w:sz w:val="16"/>
                <w:szCs w:val="16"/>
                <w:color w:val="262626"/>
              </w:rPr>
              <w:t>•</w:t>
            </w:r>
          </w:p>
        </w:tc>
        <w:tc>
          <w:tcPr>
            <w:tcW w:w="5720" w:type="dxa"/>
            <w:vAlign w:val="bottom"/>
            <w:vMerge w:val="restart"/>
          </w:tcPr>
          <w:p>
            <w:pPr>
              <w:ind w:left="140"/>
              <w:spacing w:after="0"/>
              <w:rPr>
                <w:sz w:val="20"/>
                <w:szCs w:val="20"/>
                <w:color w:val="auto"/>
              </w:rPr>
            </w:pPr>
            <w:r>
              <w:rPr>
                <w:rFonts w:ascii="Arial" w:cs="Arial" w:eastAsia="Arial" w:hAnsi="Arial"/>
                <w:sz w:val="16"/>
                <w:szCs w:val="16"/>
                <w:color w:val="262626"/>
              </w:rPr>
              <w:t>Implemented expansion of existing and new business models and strategies</w:t>
            </w:r>
          </w:p>
        </w:tc>
        <w:tc>
          <w:tcPr>
            <w:tcW w:w="0" w:type="dxa"/>
            <w:vAlign w:val="bottom"/>
          </w:tcPr>
          <w:p>
            <w:pPr>
              <w:spacing w:after="0"/>
              <w:rPr>
                <w:sz w:val="1"/>
                <w:szCs w:val="1"/>
                <w:color w:val="auto"/>
              </w:rPr>
            </w:pPr>
          </w:p>
        </w:tc>
      </w:tr>
      <w:tr>
        <w:trPr>
          <w:trHeight w:val="59"/>
        </w:trPr>
        <w:tc>
          <w:tcPr>
            <w:tcW w:w="2700" w:type="dxa"/>
            <w:vAlign w:val="bottom"/>
            <w:tcBorders>
              <w:right w:val="single" w:sz="8" w:color="CF0A2C"/>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5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700" w:type="dxa"/>
            <w:vAlign w:val="bottom"/>
            <w:tcBorders>
              <w:right w:val="single" w:sz="8" w:color="CF0A2C"/>
            </w:tcBorders>
          </w:tcPr>
          <w:p>
            <w:pPr>
              <w:spacing w:after="0"/>
              <w:rPr>
                <w:sz w:val="21"/>
                <w:szCs w:val="21"/>
                <w:color w:val="auto"/>
              </w:rPr>
            </w:pPr>
          </w:p>
        </w:tc>
        <w:tc>
          <w:tcPr>
            <w:tcW w:w="280" w:type="dxa"/>
            <w:vAlign w:val="bottom"/>
          </w:tcPr>
          <w:p>
            <w:pPr>
              <w:spacing w:after="0"/>
              <w:rPr>
                <w:sz w:val="21"/>
                <w:szCs w:val="21"/>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to maximize our ability to provide custom AI accelerators or XPUs,</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connectivity solutions, and racks or systems based on our XPUs to meet the</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unprecedented demand for compute and AI infrastructure</w:t>
            </w:r>
          </w:p>
        </w:tc>
        <w:tc>
          <w:tcPr>
            <w:tcW w:w="0" w:type="dxa"/>
            <w:vAlign w:val="bottom"/>
          </w:tcPr>
          <w:p>
            <w:pPr>
              <w:spacing w:after="0"/>
              <w:rPr>
                <w:sz w:val="1"/>
                <w:szCs w:val="1"/>
                <w:color w:val="auto"/>
              </w:rPr>
            </w:pPr>
          </w:p>
        </w:tc>
      </w:tr>
      <w:tr>
        <w:trPr>
          <w:trHeight w:val="376"/>
        </w:trPr>
        <w:tc>
          <w:tcPr>
            <w:tcW w:w="2700" w:type="dxa"/>
            <w:vAlign w:val="bottom"/>
            <w:tcBorders>
              <w:right w:val="single" w:sz="8" w:color="CF0A2C"/>
            </w:tcBorders>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6"/>
                <w:szCs w:val="16"/>
                <w:color w:val="262626"/>
              </w:rPr>
              <w:t>•</w:t>
            </w:r>
          </w:p>
        </w:tc>
        <w:tc>
          <w:tcPr>
            <w:tcW w:w="5720" w:type="dxa"/>
            <w:vAlign w:val="bottom"/>
          </w:tcPr>
          <w:p>
            <w:pPr>
              <w:ind w:left="140"/>
              <w:spacing w:after="0"/>
              <w:rPr>
                <w:sz w:val="20"/>
                <w:szCs w:val="20"/>
                <w:color w:val="auto"/>
              </w:rPr>
            </w:pPr>
            <w:r>
              <w:rPr>
                <w:rFonts w:ascii="Arial" w:cs="Arial" w:eastAsia="Arial" w:hAnsi="Arial"/>
                <w:sz w:val="16"/>
                <w:szCs w:val="16"/>
                <w:color w:val="262626"/>
              </w:rPr>
              <w:t>Led execution of key strategic customer engagements that focused on</w:t>
            </w:r>
          </w:p>
        </w:tc>
        <w:tc>
          <w:tcPr>
            <w:tcW w:w="0" w:type="dxa"/>
            <w:vAlign w:val="bottom"/>
          </w:tcPr>
          <w:p>
            <w:pPr>
              <w:spacing w:after="0"/>
              <w:rPr>
                <w:sz w:val="1"/>
                <w:szCs w:val="1"/>
                <w:color w:val="auto"/>
              </w:rPr>
            </w:pPr>
          </w:p>
        </w:tc>
      </w:tr>
      <w:tr>
        <w:trPr>
          <w:trHeight w:val="242"/>
        </w:trPr>
        <w:tc>
          <w:tcPr>
            <w:tcW w:w="2700" w:type="dxa"/>
            <w:vAlign w:val="bottom"/>
            <w:tcBorders>
              <w:right w:val="single" w:sz="8" w:color="CF0A2C"/>
            </w:tcBorders>
          </w:tcPr>
          <w:p>
            <w:pPr>
              <w:spacing w:after="0"/>
              <w:rPr>
                <w:sz w:val="21"/>
                <w:szCs w:val="21"/>
                <w:color w:val="auto"/>
              </w:rPr>
            </w:pPr>
          </w:p>
        </w:tc>
        <w:tc>
          <w:tcPr>
            <w:tcW w:w="280" w:type="dxa"/>
            <w:vAlign w:val="bottom"/>
          </w:tcPr>
          <w:p>
            <w:pPr>
              <w:spacing w:after="0"/>
              <w:rPr>
                <w:sz w:val="21"/>
                <w:szCs w:val="21"/>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providing our AI semiconductor solutions to address the needs and</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challenges of our AI customers</w:t>
            </w:r>
          </w:p>
        </w:tc>
        <w:tc>
          <w:tcPr>
            <w:tcW w:w="0" w:type="dxa"/>
            <w:vAlign w:val="bottom"/>
          </w:tcPr>
          <w:p>
            <w:pPr>
              <w:spacing w:after="0"/>
              <w:rPr>
                <w:sz w:val="1"/>
                <w:szCs w:val="1"/>
                <w:color w:val="auto"/>
              </w:rPr>
            </w:pPr>
          </w:p>
        </w:tc>
      </w:tr>
      <w:tr>
        <w:trPr>
          <w:trHeight w:val="376"/>
        </w:trPr>
        <w:tc>
          <w:tcPr>
            <w:tcW w:w="2700" w:type="dxa"/>
            <w:vAlign w:val="bottom"/>
            <w:tcBorders>
              <w:right w:val="single" w:sz="8" w:color="CF0A2C"/>
            </w:tcBorders>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6"/>
                <w:szCs w:val="16"/>
                <w:color w:val="262626"/>
              </w:rPr>
              <w:t>•</w:t>
            </w:r>
          </w:p>
        </w:tc>
        <w:tc>
          <w:tcPr>
            <w:tcW w:w="5720" w:type="dxa"/>
            <w:vAlign w:val="bottom"/>
          </w:tcPr>
          <w:p>
            <w:pPr>
              <w:ind w:left="140"/>
              <w:spacing w:after="0"/>
              <w:rPr>
                <w:sz w:val="20"/>
                <w:szCs w:val="20"/>
                <w:color w:val="auto"/>
              </w:rPr>
            </w:pPr>
            <w:r>
              <w:rPr>
                <w:rFonts w:ascii="Arial" w:cs="Arial" w:eastAsia="Arial" w:hAnsi="Arial"/>
                <w:sz w:val="16"/>
                <w:szCs w:val="16"/>
                <w:color w:val="262626"/>
              </w:rPr>
              <w:t>Continued to drive complex regulatory matters, government relations and</w:t>
            </w:r>
          </w:p>
        </w:tc>
        <w:tc>
          <w:tcPr>
            <w:tcW w:w="0" w:type="dxa"/>
            <w:vAlign w:val="bottom"/>
          </w:tcPr>
          <w:p>
            <w:pPr>
              <w:spacing w:after="0"/>
              <w:rPr>
                <w:sz w:val="1"/>
                <w:szCs w:val="1"/>
                <w:color w:val="auto"/>
              </w:rPr>
            </w:pPr>
          </w:p>
        </w:tc>
      </w:tr>
      <w:tr>
        <w:trPr>
          <w:trHeight w:val="242"/>
        </w:trPr>
        <w:tc>
          <w:tcPr>
            <w:tcW w:w="2700" w:type="dxa"/>
            <w:vAlign w:val="bottom"/>
            <w:tcBorders>
              <w:right w:val="single" w:sz="8" w:color="CF0A2C"/>
            </w:tcBorders>
          </w:tcPr>
          <w:p>
            <w:pPr>
              <w:spacing w:after="0"/>
              <w:rPr>
                <w:sz w:val="21"/>
                <w:szCs w:val="21"/>
                <w:color w:val="auto"/>
              </w:rPr>
            </w:pPr>
          </w:p>
        </w:tc>
        <w:tc>
          <w:tcPr>
            <w:tcW w:w="280" w:type="dxa"/>
            <w:vAlign w:val="bottom"/>
          </w:tcPr>
          <w:p>
            <w:pPr>
              <w:spacing w:after="0"/>
              <w:rPr>
                <w:sz w:val="21"/>
                <w:szCs w:val="21"/>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commercial litigation to support Broadcom’s business and growth</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opportunities</w:t>
            </w:r>
          </w:p>
        </w:tc>
        <w:tc>
          <w:tcPr>
            <w:tcW w:w="0" w:type="dxa"/>
            <w:vAlign w:val="bottom"/>
          </w:tcPr>
          <w:p>
            <w:pPr>
              <w:spacing w:after="0"/>
              <w:rPr>
                <w:sz w:val="1"/>
                <w:szCs w:val="1"/>
                <w:color w:val="auto"/>
              </w:rPr>
            </w:pPr>
          </w:p>
        </w:tc>
      </w:tr>
      <w:tr>
        <w:trPr>
          <w:trHeight w:val="376"/>
        </w:trPr>
        <w:tc>
          <w:tcPr>
            <w:tcW w:w="2700" w:type="dxa"/>
            <w:vAlign w:val="bottom"/>
            <w:tcBorders>
              <w:right w:val="single" w:sz="8" w:color="CF0A2C"/>
            </w:tcBorders>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6"/>
                <w:szCs w:val="16"/>
                <w:color w:val="262626"/>
              </w:rPr>
              <w:t>•</w:t>
            </w:r>
          </w:p>
        </w:tc>
        <w:tc>
          <w:tcPr>
            <w:tcW w:w="5720" w:type="dxa"/>
            <w:vAlign w:val="bottom"/>
          </w:tcPr>
          <w:p>
            <w:pPr>
              <w:ind w:left="140"/>
              <w:spacing w:after="0"/>
              <w:rPr>
                <w:sz w:val="20"/>
                <w:szCs w:val="20"/>
                <w:color w:val="auto"/>
              </w:rPr>
            </w:pPr>
            <w:r>
              <w:rPr>
                <w:rFonts w:ascii="Arial" w:cs="Arial" w:eastAsia="Arial" w:hAnsi="Arial"/>
                <w:sz w:val="16"/>
                <w:szCs w:val="16"/>
                <w:color w:val="262626"/>
              </w:rPr>
              <w:t>Managed legal strategy and risks, including leading a large-scale global legal</w:t>
            </w:r>
          </w:p>
        </w:tc>
        <w:tc>
          <w:tcPr>
            <w:tcW w:w="0" w:type="dxa"/>
            <w:vAlign w:val="bottom"/>
          </w:tcPr>
          <w:p>
            <w:pPr>
              <w:spacing w:after="0"/>
              <w:rPr>
                <w:sz w:val="1"/>
                <w:szCs w:val="1"/>
                <w:color w:val="auto"/>
              </w:rPr>
            </w:pPr>
          </w:p>
        </w:tc>
      </w:tr>
      <w:tr>
        <w:trPr>
          <w:trHeight w:val="242"/>
        </w:trPr>
        <w:tc>
          <w:tcPr>
            <w:tcW w:w="2700" w:type="dxa"/>
            <w:vAlign w:val="bottom"/>
            <w:tcBorders>
              <w:right w:val="single" w:sz="8" w:color="CF0A2C"/>
            </w:tcBorders>
          </w:tcPr>
          <w:p>
            <w:pPr>
              <w:spacing w:after="0"/>
              <w:rPr>
                <w:sz w:val="21"/>
                <w:szCs w:val="21"/>
                <w:color w:val="auto"/>
              </w:rPr>
            </w:pPr>
          </w:p>
        </w:tc>
        <w:tc>
          <w:tcPr>
            <w:tcW w:w="280" w:type="dxa"/>
            <w:vAlign w:val="bottom"/>
          </w:tcPr>
          <w:p>
            <w:pPr>
              <w:spacing w:after="0"/>
              <w:rPr>
                <w:sz w:val="21"/>
                <w:szCs w:val="21"/>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team in areas of commercial litigation, commercial legal business matters,</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compliance and ethics, corporate governance, M&amp;A, cybersecurity, data</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20" w:type="dxa"/>
            <w:vAlign w:val="bottom"/>
          </w:tcPr>
          <w:p>
            <w:pPr>
              <w:ind w:left="140"/>
              <w:spacing w:after="0"/>
              <w:rPr>
                <w:sz w:val="20"/>
                <w:szCs w:val="20"/>
                <w:color w:val="auto"/>
              </w:rPr>
            </w:pPr>
            <w:r>
              <w:rPr>
                <w:rFonts w:ascii="Arial" w:cs="Arial" w:eastAsia="Arial" w:hAnsi="Arial"/>
                <w:sz w:val="16"/>
                <w:szCs w:val="16"/>
                <w:color w:val="262626"/>
              </w:rPr>
              <w:t>protection and privacy</w:t>
            </w:r>
          </w:p>
        </w:tc>
        <w:tc>
          <w:tcPr>
            <w:tcW w:w="0" w:type="dxa"/>
            <w:vAlign w:val="bottom"/>
          </w:tcPr>
          <w:p>
            <w:pPr>
              <w:spacing w:after="0"/>
              <w:rPr>
                <w:sz w:val="1"/>
                <w:szCs w:val="1"/>
                <w:color w:val="auto"/>
              </w:rPr>
            </w:pPr>
          </w:p>
        </w:tc>
      </w:tr>
      <w:tr>
        <w:trPr>
          <w:trHeight w:val="176"/>
        </w:trPr>
        <w:tc>
          <w:tcPr>
            <w:tcW w:w="2700" w:type="dxa"/>
            <w:vAlign w:val="bottom"/>
            <w:tcBorders>
              <w:right w:val="single" w:sz="8" w:color="CF0A2C"/>
            </w:tcBorders>
          </w:tcPr>
          <w:p>
            <w:pPr>
              <w:spacing w:after="0"/>
              <w:rPr>
                <w:sz w:val="15"/>
                <w:szCs w:val="15"/>
                <w:color w:val="auto"/>
              </w:rPr>
            </w:pPr>
          </w:p>
        </w:tc>
        <w:tc>
          <w:tcPr>
            <w:tcW w:w="280" w:type="dxa"/>
            <w:vAlign w:val="bottom"/>
          </w:tcPr>
          <w:p>
            <w:pPr>
              <w:spacing w:after="0"/>
              <w:rPr>
                <w:sz w:val="15"/>
                <w:szCs w:val="15"/>
                <w:color w:val="auto"/>
              </w:rPr>
            </w:pPr>
          </w:p>
        </w:tc>
        <w:tc>
          <w:tcPr>
            <w:tcW w:w="5720" w:type="dxa"/>
            <w:vAlign w:val="bottom"/>
            <w:vMerge w:val="restart"/>
          </w:tcPr>
          <w:p>
            <w:pPr>
              <w:ind w:left="5540"/>
              <w:spacing w:after="0"/>
              <w:rPr>
                <w:sz w:val="20"/>
                <w:szCs w:val="20"/>
                <w:color w:val="auto"/>
              </w:rPr>
            </w:pPr>
            <w:r>
              <w:rPr>
                <w:rFonts w:ascii="Arial" w:cs="Arial" w:eastAsia="Arial" w:hAnsi="Arial"/>
                <w:sz w:val="15"/>
                <w:szCs w:val="15"/>
                <w:color w:val="262626"/>
                <w:w w:val="95"/>
              </w:rPr>
              <w:t>37</w:t>
            </w:r>
          </w:p>
        </w:tc>
        <w:tc>
          <w:tcPr>
            <w:tcW w:w="0" w:type="dxa"/>
            <w:vAlign w:val="bottom"/>
          </w:tcPr>
          <w:p>
            <w:pPr>
              <w:spacing w:after="0"/>
              <w:rPr>
                <w:sz w:val="1"/>
                <w:szCs w:val="1"/>
                <w:color w:val="auto"/>
              </w:rPr>
            </w:pPr>
          </w:p>
        </w:tc>
      </w:tr>
      <w:tr>
        <w:trPr>
          <w:trHeight w:val="330"/>
        </w:trPr>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-114935</wp:posOffset>
            </wp:positionV>
            <wp:extent cx="613410" cy="768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80" w:right="1440" w:bottom="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9" w:lineRule="exact"/>
        <w:rPr>
          <w:sz w:val="20"/>
          <w:szCs w:val="20"/>
          <w:color w:val="auto"/>
        </w:rPr>
      </w:pPr>
    </w:p>
    <w:tbl>
      <w:tblPr>
        <w:tblLayout w:type="fixed"/>
        <w:tblInd w:w="1280" w:type="dxa"/>
        <w:tblCellMar>
          <w:top w:w="0" w:type="dxa"/>
          <w:left w:w="0" w:type="dxa"/>
          <w:bottom w:w="0" w:type="dxa"/>
          <w:right w:w="0" w:type="dxa"/>
        </w:tblCellMar>
      </w:tblPr>
      <w:tr>
        <w:trPr>
          <w:trHeight w:val="302"/>
        </w:trPr>
        <w:tc>
          <w:tcPr>
            <w:tcW w:w="2700" w:type="dxa"/>
            <w:vAlign w:val="bottom"/>
            <w:tcBorders>
              <w:right w:val="single" w:sz="8" w:color="CF0A2C"/>
            </w:tcBorders>
          </w:tcPr>
          <w:p>
            <w:pPr>
              <w:spacing w:after="0"/>
              <w:rPr>
                <w:sz w:val="20"/>
                <w:szCs w:val="20"/>
                <w:color w:val="auto"/>
              </w:rPr>
            </w:pPr>
            <w:r>
              <w:rPr>
                <w:rFonts w:ascii="Arial" w:cs="Arial" w:eastAsia="Arial" w:hAnsi="Arial"/>
                <w:sz w:val="16"/>
                <w:szCs w:val="16"/>
                <w:b w:val="1"/>
                <w:bCs w:val="1"/>
                <w:color w:val="262626"/>
              </w:rPr>
              <w:t>Charlie B. Kawwas, Ph.D.</w:t>
            </w:r>
          </w:p>
        </w:tc>
        <w:tc>
          <w:tcPr>
            <w:tcW w:w="280" w:type="dxa"/>
            <w:vAlign w:val="bottom"/>
            <w:vMerge w:val="restart"/>
          </w:tcPr>
          <w:p>
            <w:pPr>
              <w:ind w:left="80"/>
              <w:spacing w:after="0"/>
              <w:rPr>
                <w:sz w:val="20"/>
                <w:szCs w:val="20"/>
                <w:color w:val="auto"/>
              </w:rPr>
            </w:pPr>
            <w:r>
              <w:rPr>
                <w:rFonts w:ascii="Arial" w:cs="Arial" w:eastAsia="Arial" w:hAnsi="Arial"/>
                <w:sz w:val="16"/>
                <w:szCs w:val="16"/>
                <w:color w:val="262626"/>
              </w:rPr>
              <w:t>•</w:t>
            </w:r>
          </w:p>
        </w:tc>
        <w:tc>
          <w:tcPr>
            <w:tcW w:w="5700" w:type="dxa"/>
            <w:vAlign w:val="bottom"/>
            <w:vMerge w:val="restart"/>
          </w:tcPr>
          <w:p>
            <w:pPr>
              <w:ind w:left="140"/>
              <w:spacing w:after="0"/>
              <w:rPr>
                <w:sz w:val="20"/>
                <w:szCs w:val="20"/>
                <w:color w:val="auto"/>
              </w:rPr>
            </w:pPr>
            <w:r>
              <w:rPr>
                <w:rFonts w:ascii="Arial" w:cs="Arial" w:eastAsia="Arial" w:hAnsi="Arial"/>
                <w:sz w:val="16"/>
                <w:szCs w:val="16"/>
                <w:color w:val="262626"/>
              </w:rPr>
              <w:t>Delivered a 22% increase in our semiconductor revenue through strategic</w:t>
            </w:r>
          </w:p>
        </w:tc>
        <w:tc>
          <w:tcPr>
            <w:tcW w:w="0" w:type="dxa"/>
            <w:vAlign w:val="bottom"/>
          </w:tcPr>
          <w:p>
            <w:pPr>
              <w:spacing w:after="0"/>
              <w:rPr>
                <w:sz w:val="1"/>
                <w:szCs w:val="1"/>
                <w:color w:val="auto"/>
              </w:rPr>
            </w:pPr>
          </w:p>
        </w:tc>
      </w:tr>
      <w:tr>
        <w:trPr>
          <w:trHeight w:val="59"/>
        </w:trPr>
        <w:tc>
          <w:tcPr>
            <w:tcW w:w="2700" w:type="dxa"/>
            <w:vAlign w:val="bottom"/>
            <w:tcBorders>
              <w:right w:val="single" w:sz="8" w:color="CF0A2C"/>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5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700" w:type="dxa"/>
            <w:vAlign w:val="bottom"/>
            <w:tcBorders>
              <w:right w:val="single" w:sz="8" w:color="CF0A2C"/>
            </w:tcBorders>
          </w:tcPr>
          <w:p>
            <w:pPr>
              <w:spacing w:after="0"/>
              <w:rPr>
                <w:sz w:val="21"/>
                <w:szCs w:val="21"/>
                <w:color w:val="auto"/>
              </w:rPr>
            </w:pPr>
          </w:p>
        </w:tc>
        <w:tc>
          <w:tcPr>
            <w:tcW w:w="280" w:type="dxa"/>
            <w:vAlign w:val="bottom"/>
          </w:tcPr>
          <w:p>
            <w:pPr>
              <w:spacing w:after="0"/>
              <w:rPr>
                <w:sz w:val="21"/>
                <w:szCs w:val="21"/>
                <w:color w:val="auto"/>
              </w:rPr>
            </w:pPr>
          </w:p>
        </w:tc>
        <w:tc>
          <w:tcPr>
            <w:tcW w:w="5700" w:type="dxa"/>
            <w:vAlign w:val="bottom"/>
          </w:tcPr>
          <w:p>
            <w:pPr>
              <w:ind w:left="140"/>
              <w:spacing w:after="0"/>
              <w:rPr>
                <w:sz w:val="20"/>
                <w:szCs w:val="20"/>
                <w:color w:val="auto"/>
              </w:rPr>
            </w:pPr>
            <w:r>
              <w:rPr>
                <w:rFonts w:ascii="Arial" w:cs="Arial" w:eastAsia="Arial" w:hAnsi="Arial"/>
                <w:sz w:val="16"/>
                <w:szCs w:val="16"/>
                <w:color w:val="262626"/>
              </w:rPr>
              <w:t>leadership and management of the Semiconductor Solutions Group and</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00" w:type="dxa"/>
            <w:vAlign w:val="bottom"/>
          </w:tcPr>
          <w:p>
            <w:pPr>
              <w:ind w:left="140"/>
              <w:spacing w:after="0"/>
              <w:rPr>
                <w:sz w:val="20"/>
                <w:szCs w:val="20"/>
                <w:color w:val="auto"/>
              </w:rPr>
            </w:pPr>
            <w:r>
              <w:rPr>
                <w:rFonts w:ascii="Arial" w:cs="Arial" w:eastAsia="Arial" w:hAnsi="Arial"/>
                <w:sz w:val="16"/>
                <w:szCs w:val="16"/>
                <w:color w:val="262626"/>
              </w:rPr>
              <w:t>industry-leading product portfolio</w:t>
            </w:r>
          </w:p>
        </w:tc>
        <w:tc>
          <w:tcPr>
            <w:tcW w:w="0" w:type="dxa"/>
            <w:vAlign w:val="bottom"/>
          </w:tcPr>
          <w:p>
            <w:pPr>
              <w:spacing w:after="0"/>
              <w:rPr>
                <w:sz w:val="1"/>
                <w:szCs w:val="1"/>
                <w:color w:val="auto"/>
              </w:rPr>
            </w:pPr>
          </w:p>
        </w:tc>
      </w:tr>
      <w:tr>
        <w:trPr>
          <w:trHeight w:val="376"/>
        </w:trPr>
        <w:tc>
          <w:tcPr>
            <w:tcW w:w="2700" w:type="dxa"/>
            <w:vAlign w:val="bottom"/>
            <w:tcBorders>
              <w:right w:val="single" w:sz="8" w:color="CF0A2C"/>
            </w:tcBorders>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6"/>
                <w:szCs w:val="16"/>
                <w:color w:val="262626"/>
              </w:rPr>
              <w:t>•</w:t>
            </w:r>
          </w:p>
        </w:tc>
        <w:tc>
          <w:tcPr>
            <w:tcW w:w="5700" w:type="dxa"/>
            <w:vAlign w:val="bottom"/>
          </w:tcPr>
          <w:p>
            <w:pPr>
              <w:ind w:left="140"/>
              <w:spacing w:after="0"/>
              <w:rPr>
                <w:sz w:val="20"/>
                <w:szCs w:val="20"/>
                <w:color w:val="auto"/>
              </w:rPr>
            </w:pPr>
            <w:r>
              <w:rPr>
                <w:rFonts w:ascii="Arial" w:cs="Arial" w:eastAsia="Arial" w:hAnsi="Arial"/>
                <w:sz w:val="16"/>
                <w:szCs w:val="16"/>
                <w:color w:val="262626"/>
              </w:rPr>
              <w:t>Increased our AI semiconductor revenue 65% year-over-year to $20.2 billion</w:t>
            </w:r>
          </w:p>
        </w:tc>
        <w:tc>
          <w:tcPr>
            <w:tcW w:w="0" w:type="dxa"/>
            <w:vAlign w:val="bottom"/>
          </w:tcPr>
          <w:p>
            <w:pPr>
              <w:spacing w:after="0"/>
              <w:rPr>
                <w:sz w:val="1"/>
                <w:szCs w:val="1"/>
                <w:color w:val="auto"/>
              </w:rPr>
            </w:pPr>
          </w:p>
        </w:tc>
      </w:tr>
      <w:tr>
        <w:trPr>
          <w:trHeight w:val="242"/>
        </w:trPr>
        <w:tc>
          <w:tcPr>
            <w:tcW w:w="2700" w:type="dxa"/>
            <w:vAlign w:val="bottom"/>
            <w:tcBorders>
              <w:right w:val="single" w:sz="8" w:color="CF0A2C"/>
            </w:tcBorders>
          </w:tcPr>
          <w:p>
            <w:pPr>
              <w:spacing w:after="0"/>
              <w:rPr>
                <w:sz w:val="21"/>
                <w:szCs w:val="21"/>
                <w:color w:val="auto"/>
              </w:rPr>
            </w:pPr>
          </w:p>
        </w:tc>
        <w:tc>
          <w:tcPr>
            <w:tcW w:w="280" w:type="dxa"/>
            <w:vAlign w:val="bottom"/>
          </w:tcPr>
          <w:p>
            <w:pPr>
              <w:spacing w:after="0"/>
              <w:rPr>
                <w:sz w:val="21"/>
                <w:szCs w:val="21"/>
                <w:color w:val="auto"/>
              </w:rPr>
            </w:pPr>
          </w:p>
        </w:tc>
        <w:tc>
          <w:tcPr>
            <w:tcW w:w="5700" w:type="dxa"/>
            <w:vAlign w:val="bottom"/>
          </w:tcPr>
          <w:p>
            <w:pPr>
              <w:ind w:left="140"/>
              <w:spacing w:after="0"/>
              <w:rPr>
                <w:sz w:val="20"/>
                <w:szCs w:val="20"/>
                <w:color w:val="auto"/>
              </w:rPr>
            </w:pPr>
            <w:r>
              <w:rPr>
                <w:rFonts w:ascii="Arial" w:cs="Arial" w:eastAsia="Arial" w:hAnsi="Arial"/>
                <w:sz w:val="16"/>
                <w:szCs w:val="16"/>
                <w:color w:val="262626"/>
              </w:rPr>
              <w:t>and met the unprecedented demands of our customers for compute and AI</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00" w:type="dxa"/>
            <w:vAlign w:val="bottom"/>
          </w:tcPr>
          <w:p>
            <w:pPr>
              <w:ind w:left="140"/>
              <w:spacing w:after="0"/>
              <w:rPr>
                <w:sz w:val="20"/>
                <w:szCs w:val="20"/>
                <w:color w:val="auto"/>
              </w:rPr>
            </w:pPr>
            <w:r>
              <w:rPr>
                <w:rFonts w:ascii="Arial" w:cs="Arial" w:eastAsia="Arial" w:hAnsi="Arial"/>
                <w:sz w:val="16"/>
                <w:szCs w:val="16"/>
                <w:color w:val="262626"/>
              </w:rPr>
              <w:t>infrastructure</w:t>
            </w:r>
          </w:p>
        </w:tc>
        <w:tc>
          <w:tcPr>
            <w:tcW w:w="0" w:type="dxa"/>
            <w:vAlign w:val="bottom"/>
          </w:tcPr>
          <w:p>
            <w:pPr>
              <w:spacing w:after="0"/>
              <w:rPr>
                <w:sz w:val="1"/>
                <w:szCs w:val="1"/>
                <w:color w:val="auto"/>
              </w:rPr>
            </w:pPr>
          </w:p>
        </w:tc>
      </w:tr>
      <w:tr>
        <w:trPr>
          <w:trHeight w:val="376"/>
        </w:trPr>
        <w:tc>
          <w:tcPr>
            <w:tcW w:w="2700" w:type="dxa"/>
            <w:vAlign w:val="bottom"/>
            <w:tcBorders>
              <w:right w:val="single" w:sz="8" w:color="CF0A2C"/>
            </w:tcBorders>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6"/>
                <w:szCs w:val="16"/>
                <w:color w:val="262626"/>
              </w:rPr>
              <w:t>•</w:t>
            </w:r>
          </w:p>
        </w:tc>
        <w:tc>
          <w:tcPr>
            <w:tcW w:w="5700" w:type="dxa"/>
            <w:vAlign w:val="bottom"/>
          </w:tcPr>
          <w:p>
            <w:pPr>
              <w:ind w:left="140"/>
              <w:spacing w:after="0"/>
              <w:rPr>
                <w:sz w:val="20"/>
                <w:szCs w:val="20"/>
                <w:color w:val="auto"/>
              </w:rPr>
            </w:pPr>
            <w:r>
              <w:rPr>
                <w:rFonts w:ascii="Arial" w:cs="Arial" w:eastAsia="Arial" w:hAnsi="Arial"/>
                <w:sz w:val="16"/>
                <w:szCs w:val="16"/>
                <w:color w:val="262626"/>
              </w:rPr>
              <w:t>Achieved multiple strategic wins for our custom AI accelerators or XPUs,</w:t>
            </w:r>
          </w:p>
        </w:tc>
        <w:tc>
          <w:tcPr>
            <w:tcW w:w="0" w:type="dxa"/>
            <w:vAlign w:val="bottom"/>
          </w:tcPr>
          <w:p>
            <w:pPr>
              <w:spacing w:after="0"/>
              <w:rPr>
                <w:sz w:val="1"/>
                <w:szCs w:val="1"/>
                <w:color w:val="auto"/>
              </w:rPr>
            </w:pPr>
          </w:p>
        </w:tc>
      </w:tr>
      <w:tr>
        <w:trPr>
          <w:trHeight w:val="242"/>
        </w:trPr>
        <w:tc>
          <w:tcPr>
            <w:tcW w:w="2700" w:type="dxa"/>
            <w:vAlign w:val="bottom"/>
            <w:tcBorders>
              <w:right w:val="single" w:sz="8" w:color="CF0A2C"/>
            </w:tcBorders>
          </w:tcPr>
          <w:p>
            <w:pPr>
              <w:spacing w:after="0"/>
              <w:rPr>
                <w:sz w:val="21"/>
                <w:szCs w:val="21"/>
                <w:color w:val="auto"/>
              </w:rPr>
            </w:pPr>
          </w:p>
        </w:tc>
        <w:tc>
          <w:tcPr>
            <w:tcW w:w="280" w:type="dxa"/>
            <w:vAlign w:val="bottom"/>
          </w:tcPr>
          <w:p>
            <w:pPr>
              <w:spacing w:after="0"/>
              <w:rPr>
                <w:sz w:val="21"/>
                <w:szCs w:val="21"/>
                <w:color w:val="auto"/>
              </w:rPr>
            </w:pPr>
          </w:p>
        </w:tc>
        <w:tc>
          <w:tcPr>
            <w:tcW w:w="5700" w:type="dxa"/>
            <w:vAlign w:val="bottom"/>
          </w:tcPr>
          <w:p>
            <w:pPr>
              <w:ind w:left="140"/>
              <w:spacing w:after="0"/>
              <w:rPr>
                <w:sz w:val="20"/>
                <w:szCs w:val="20"/>
                <w:color w:val="auto"/>
              </w:rPr>
            </w:pPr>
            <w:r>
              <w:rPr>
                <w:rFonts w:ascii="Arial" w:cs="Arial" w:eastAsia="Arial" w:hAnsi="Arial"/>
                <w:sz w:val="16"/>
                <w:szCs w:val="16"/>
                <w:color w:val="262626"/>
              </w:rPr>
              <w:t>connectivity solutions, and racks or systems based on our XPUs, affirming our</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00" w:type="dxa"/>
            <w:vAlign w:val="bottom"/>
          </w:tcPr>
          <w:p>
            <w:pPr>
              <w:ind w:left="140"/>
              <w:spacing w:after="0"/>
              <w:rPr>
                <w:sz w:val="20"/>
                <w:szCs w:val="20"/>
                <w:color w:val="auto"/>
              </w:rPr>
            </w:pPr>
            <w:r>
              <w:rPr>
                <w:rFonts w:ascii="Arial" w:cs="Arial" w:eastAsia="Arial" w:hAnsi="Arial"/>
                <w:sz w:val="16"/>
                <w:szCs w:val="16"/>
                <w:color w:val="262626"/>
              </w:rPr>
              <w:t>partnership with our AI customers</w:t>
            </w:r>
          </w:p>
        </w:tc>
        <w:tc>
          <w:tcPr>
            <w:tcW w:w="0" w:type="dxa"/>
            <w:vAlign w:val="bottom"/>
          </w:tcPr>
          <w:p>
            <w:pPr>
              <w:spacing w:after="0"/>
              <w:rPr>
                <w:sz w:val="1"/>
                <w:szCs w:val="1"/>
                <w:color w:val="auto"/>
              </w:rPr>
            </w:pPr>
          </w:p>
        </w:tc>
      </w:tr>
      <w:tr>
        <w:trPr>
          <w:trHeight w:val="376"/>
        </w:trPr>
        <w:tc>
          <w:tcPr>
            <w:tcW w:w="2700" w:type="dxa"/>
            <w:vAlign w:val="bottom"/>
            <w:tcBorders>
              <w:right w:val="single" w:sz="8" w:color="CF0A2C"/>
            </w:tcBorders>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6"/>
                <w:szCs w:val="16"/>
                <w:color w:val="262626"/>
              </w:rPr>
              <w:t>•</w:t>
            </w:r>
          </w:p>
        </w:tc>
        <w:tc>
          <w:tcPr>
            <w:tcW w:w="5700" w:type="dxa"/>
            <w:vAlign w:val="bottom"/>
          </w:tcPr>
          <w:p>
            <w:pPr>
              <w:ind w:left="140"/>
              <w:spacing w:after="0"/>
              <w:rPr>
                <w:sz w:val="20"/>
                <w:szCs w:val="20"/>
                <w:color w:val="auto"/>
              </w:rPr>
            </w:pPr>
            <w:r>
              <w:rPr>
                <w:rFonts w:ascii="Arial" w:cs="Arial" w:eastAsia="Arial" w:hAnsi="Arial"/>
                <w:sz w:val="16"/>
                <w:szCs w:val="16"/>
                <w:color w:val="262626"/>
              </w:rPr>
              <w:t>Drove supply chain diversification and resiliency in supply continuity, cost</w:t>
            </w:r>
          </w:p>
        </w:tc>
        <w:tc>
          <w:tcPr>
            <w:tcW w:w="0" w:type="dxa"/>
            <w:vAlign w:val="bottom"/>
          </w:tcPr>
          <w:p>
            <w:pPr>
              <w:spacing w:after="0"/>
              <w:rPr>
                <w:sz w:val="1"/>
                <w:szCs w:val="1"/>
                <w:color w:val="auto"/>
              </w:rPr>
            </w:pPr>
          </w:p>
        </w:tc>
      </w:tr>
      <w:tr>
        <w:trPr>
          <w:trHeight w:val="242"/>
        </w:trPr>
        <w:tc>
          <w:tcPr>
            <w:tcW w:w="2700" w:type="dxa"/>
            <w:vAlign w:val="bottom"/>
            <w:tcBorders>
              <w:right w:val="single" w:sz="8" w:color="CF0A2C"/>
            </w:tcBorders>
          </w:tcPr>
          <w:p>
            <w:pPr>
              <w:spacing w:after="0"/>
              <w:rPr>
                <w:sz w:val="21"/>
                <w:szCs w:val="21"/>
                <w:color w:val="auto"/>
              </w:rPr>
            </w:pPr>
          </w:p>
        </w:tc>
        <w:tc>
          <w:tcPr>
            <w:tcW w:w="280" w:type="dxa"/>
            <w:vAlign w:val="bottom"/>
          </w:tcPr>
          <w:p>
            <w:pPr>
              <w:spacing w:after="0"/>
              <w:rPr>
                <w:sz w:val="21"/>
                <w:szCs w:val="21"/>
                <w:color w:val="auto"/>
              </w:rPr>
            </w:pPr>
          </w:p>
        </w:tc>
        <w:tc>
          <w:tcPr>
            <w:tcW w:w="5700" w:type="dxa"/>
            <w:vAlign w:val="bottom"/>
          </w:tcPr>
          <w:p>
            <w:pPr>
              <w:ind w:left="140"/>
              <w:spacing w:after="0"/>
              <w:rPr>
                <w:sz w:val="20"/>
                <w:szCs w:val="20"/>
                <w:color w:val="auto"/>
              </w:rPr>
            </w:pPr>
            <w:r>
              <w:rPr>
                <w:rFonts w:ascii="Arial" w:cs="Arial" w:eastAsia="Arial" w:hAnsi="Arial"/>
                <w:sz w:val="16"/>
                <w:szCs w:val="16"/>
                <w:color w:val="262626"/>
              </w:rPr>
              <w:t>management and risk mitigation as the semiconductor industry undergoes</w:t>
            </w:r>
          </w:p>
        </w:tc>
        <w:tc>
          <w:tcPr>
            <w:tcW w:w="0" w:type="dxa"/>
            <w:vAlign w:val="bottom"/>
          </w:tcPr>
          <w:p>
            <w:pPr>
              <w:spacing w:after="0"/>
              <w:rPr>
                <w:sz w:val="1"/>
                <w:szCs w:val="1"/>
                <w:color w:val="auto"/>
              </w:rPr>
            </w:pPr>
          </w:p>
        </w:tc>
      </w:tr>
      <w:tr>
        <w:trPr>
          <w:trHeight w:val="255"/>
        </w:trPr>
        <w:tc>
          <w:tcPr>
            <w:tcW w:w="2700" w:type="dxa"/>
            <w:vAlign w:val="bottom"/>
            <w:tcBorders>
              <w:right w:val="single" w:sz="8" w:color="CF0A2C"/>
            </w:tcBorders>
          </w:tcPr>
          <w:p>
            <w:pPr>
              <w:spacing w:after="0"/>
              <w:rPr>
                <w:sz w:val="22"/>
                <w:szCs w:val="22"/>
                <w:color w:val="auto"/>
              </w:rPr>
            </w:pPr>
          </w:p>
        </w:tc>
        <w:tc>
          <w:tcPr>
            <w:tcW w:w="280" w:type="dxa"/>
            <w:vAlign w:val="bottom"/>
          </w:tcPr>
          <w:p>
            <w:pPr>
              <w:spacing w:after="0"/>
              <w:rPr>
                <w:sz w:val="22"/>
                <w:szCs w:val="22"/>
                <w:color w:val="auto"/>
              </w:rPr>
            </w:pPr>
          </w:p>
        </w:tc>
        <w:tc>
          <w:tcPr>
            <w:tcW w:w="5700" w:type="dxa"/>
            <w:vAlign w:val="bottom"/>
          </w:tcPr>
          <w:p>
            <w:pPr>
              <w:ind w:left="140"/>
              <w:spacing w:after="0"/>
              <w:rPr>
                <w:sz w:val="20"/>
                <w:szCs w:val="20"/>
                <w:color w:val="auto"/>
              </w:rPr>
            </w:pPr>
            <w:r>
              <w:rPr>
                <w:rFonts w:ascii="Arial" w:cs="Arial" w:eastAsia="Arial" w:hAnsi="Arial"/>
                <w:sz w:val="16"/>
                <w:szCs w:val="16"/>
                <w:color w:val="262626"/>
              </w:rPr>
              <w:t>immense pressure for compute and the rapid build-out of AI infrastructure</w:t>
            </w:r>
          </w:p>
        </w:tc>
        <w:tc>
          <w:tcPr>
            <w:tcW w:w="0" w:type="dxa"/>
            <w:vAlign w:val="bottom"/>
          </w:tcPr>
          <w:p>
            <w:pPr>
              <w:spacing w:after="0"/>
              <w:rPr>
                <w:sz w:val="1"/>
                <w:szCs w:val="1"/>
                <w:color w:val="auto"/>
              </w:rPr>
            </w:pPr>
          </w:p>
        </w:tc>
      </w:tr>
      <w:tr>
        <w:trPr>
          <w:trHeight w:val="96"/>
        </w:trPr>
        <w:tc>
          <w:tcPr>
            <w:tcW w:w="2700" w:type="dxa"/>
            <w:vAlign w:val="bottom"/>
            <w:tcBorders>
              <w:right w:val="single" w:sz="8" w:color="CF0A2C"/>
            </w:tcBorders>
          </w:tcPr>
          <w:p>
            <w:pPr>
              <w:spacing w:after="0"/>
              <w:rPr>
                <w:sz w:val="8"/>
                <w:szCs w:val="8"/>
                <w:color w:val="auto"/>
              </w:rPr>
            </w:pPr>
          </w:p>
        </w:tc>
        <w:tc>
          <w:tcPr>
            <w:tcW w:w="280" w:type="dxa"/>
            <w:vAlign w:val="bottom"/>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Fiscal 2025 APB Plan Payout</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The final attainment under our fiscal 2025 APB Plan is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130810</wp:posOffset>
            </wp:positionV>
            <wp:extent cx="55225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52"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gridSpan w:val="3"/>
          </w:tcPr>
          <w:p>
            <w:pPr>
              <w:jc w:val="center"/>
              <w:spacing w:after="0"/>
              <w:rPr>
                <w:sz w:val="20"/>
                <w:szCs w:val="20"/>
                <w:color w:val="auto"/>
              </w:rPr>
            </w:pPr>
            <w:r>
              <w:rPr>
                <w:rFonts w:ascii="Arial" w:cs="Arial" w:eastAsia="Arial" w:hAnsi="Arial"/>
                <w:sz w:val="16"/>
                <w:szCs w:val="16"/>
                <w:b w:val="1"/>
                <w:bCs w:val="1"/>
                <w:color w:val="262626"/>
                <w:w w:val="99"/>
              </w:rPr>
              <w:t>Corporate &amp; Division Goals</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bottom w:val="single" w:sz="8" w:color="7F7F7F"/>
            </w:tcBorders>
          </w:tcPr>
          <w:p>
            <w:pPr>
              <w:spacing w:after="0" w:line="20" w:lineRule="exact"/>
              <w:rPr>
                <w:sz w:val="1"/>
                <w:szCs w:val="1"/>
                <w:color w:val="auto"/>
              </w:rPr>
            </w:pPr>
          </w:p>
        </w:tc>
        <w:tc>
          <w:tcPr>
            <w:tcW w:w="1380" w:type="dxa"/>
            <w:vAlign w:val="bottom"/>
            <w:tcBorders>
              <w:bottom w:val="single" w:sz="8" w:color="7F7F7F"/>
            </w:tcBorders>
          </w:tcPr>
          <w:p>
            <w:pPr>
              <w:spacing w:after="0" w:line="20" w:lineRule="exact"/>
              <w:rPr>
                <w:sz w:val="1"/>
                <w:szCs w:val="1"/>
                <w:color w:val="auto"/>
              </w:rPr>
            </w:pPr>
          </w:p>
        </w:tc>
        <w:tc>
          <w:tcPr>
            <w:tcW w:w="680" w:type="dxa"/>
            <w:vAlign w:val="bottom"/>
            <w:tcBorders>
              <w:bottom w:val="single" w:sz="8" w:color="7F7F7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62626"/>
              </w:rPr>
              <w:t>Adjusted Non-</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100" w:type="dxa"/>
            <w:vAlign w:val="bottom"/>
          </w:tcPr>
          <w:p>
            <w:pPr>
              <w:spacing w:after="0"/>
              <w:rPr>
                <w:sz w:val="18"/>
                <w:szCs w:val="18"/>
                <w:color w:val="auto"/>
              </w:rPr>
            </w:pPr>
          </w:p>
        </w:tc>
        <w:tc>
          <w:tcPr>
            <w:tcW w:w="1000" w:type="dxa"/>
            <w:vAlign w:val="bottom"/>
          </w:tcPr>
          <w:p>
            <w:pPr>
              <w:jc w:val="center"/>
              <w:ind w:left="139"/>
              <w:spacing w:after="0"/>
              <w:rPr>
                <w:sz w:val="20"/>
                <w:szCs w:val="20"/>
                <w:color w:val="auto"/>
              </w:rPr>
            </w:pPr>
            <w:r>
              <w:rPr>
                <w:rFonts w:ascii="Arial" w:cs="Arial" w:eastAsia="Arial" w:hAnsi="Arial"/>
                <w:sz w:val="16"/>
                <w:szCs w:val="16"/>
                <w:b w:val="1"/>
                <w:bCs w:val="1"/>
                <w:color w:val="262626"/>
                <w:w w:val="99"/>
              </w:rPr>
              <w:t>Base</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262626"/>
              </w:rPr>
              <w:t>Bonus</w:t>
            </w:r>
          </w:p>
        </w:tc>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262626"/>
                <w:w w:val="99"/>
              </w:rPr>
              <w:t>GAAP Operating</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262626"/>
              </w:rPr>
              <w:t>Individual</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262626"/>
              </w:rPr>
              <w:t>Bonus</w:t>
            </w:r>
          </w:p>
        </w:tc>
        <w:tc>
          <w:tcPr>
            <w:tcW w:w="0" w:type="dxa"/>
            <w:vAlign w:val="bottom"/>
          </w:tcPr>
          <w:p>
            <w:pPr>
              <w:spacing w:after="0"/>
              <w:rPr>
                <w:sz w:val="1"/>
                <w:szCs w:val="1"/>
                <w:color w:val="auto"/>
              </w:rPr>
            </w:pPr>
          </w:p>
        </w:tc>
      </w:tr>
      <w:tr>
        <w:trPr>
          <w:trHeight w:val="256"/>
        </w:trPr>
        <w:tc>
          <w:tcPr>
            <w:tcW w:w="210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262626"/>
              </w:rPr>
              <w:t> NEO</w:t>
            </w:r>
            <w:r>
              <w:rPr>
                <w:rFonts w:ascii="Arial" w:cs="Arial" w:eastAsia="Arial" w:hAnsi="Arial"/>
                <w:sz w:val="20"/>
                <w:szCs w:val="20"/>
                <w:b w:val="1"/>
                <w:bCs w:val="1"/>
                <w:color w:val="262626"/>
                <w:vertAlign w:val="superscript"/>
              </w:rPr>
              <w:t>(1)</w:t>
            </w:r>
          </w:p>
        </w:tc>
        <w:tc>
          <w:tcPr>
            <w:tcW w:w="1000" w:type="dxa"/>
            <w:vAlign w:val="bottom"/>
            <w:tcBorders>
              <w:bottom w:val="single" w:sz="8" w:color="CF0A2C"/>
            </w:tcBorders>
          </w:tcPr>
          <w:p>
            <w:pPr>
              <w:jc w:val="center"/>
              <w:ind w:left="159"/>
              <w:spacing w:after="0"/>
              <w:rPr>
                <w:sz w:val="20"/>
                <w:szCs w:val="20"/>
                <w:color w:val="auto"/>
              </w:rPr>
            </w:pPr>
            <w:r>
              <w:rPr>
                <w:rFonts w:ascii="Arial" w:cs="Arial" w:eastAsia="Arial" w:hAnsi="Arial"/>
                <w:sz w:val="16"/>
                <w:szCs w:val="16"/>
                <w:b w:val="1"/>
                <w:bCs w:val="1"/>
                <w:color w:val="262626"/>
                <w:w w:val="99"/>
              </w:rPr>
              <w:t>Salary</w:t>
            </w:r>
          </w:p>
        </w:tc>
        <w:tc>
          <w:tcPr>
            <w:tcW w:w="560" w:type="dxa"/>
            <w:vAlign w:val="bottom"/>
            <w:tcBorders>
              <w:bottom w:val="single" w:sz="8" w:color="CF0A2C"/>
            </w:tcBorders>
          </w:tcPr>
          <w:p>
            <w:pPr>
              <w:jc w:val="center"/>
              <w:spacing w:after="0"/>
              <w:rPr>
                <w:sz w:val="20"/>
                <w:szCs w:val="20"/>
                <w:color w:val="auto"/>
              </w:rPr>
            </w:pPr>
            <w:r>
              <w:rPr>
                <w:rFonts w:ascii="Arial" w:cs="Arial" w:eastAsia="Arial" w:hAnsi="Arial"/>
                <w:sz w:val="16"/>
                <w:szCs w:val="16"/>
                <w:b w:val="1"/>
                <w:bCs w:val="1"/>
                <w:color w:val="262626"/>
                <w:w w:val="98"/>
              </w:rPr>
              <w:t>Target</w:t>
            </w:r>
          </w:p>
        </w:tc>
        <w:tc>
          <w:tcPr>
            <w:tcW w:w="820" w:type="dxa"/>
            <w:vAlign w:val="bottom"/>
            <w:tcBorders>
              <w:bottom w:val="single" w:sz="8" w:color="CF0A2C"/>
            </w:tcBorders>
          </w:tcPr>
          <w:p>
            <w:pPr>
              <w:jc w:val="center"/>
              <w:spacing w:after="0"/>
              <w:rPr>
                <w:sz w:val="20"/>
                <w:szCs w:val="20"/>
                <w:color w:val="auto"/>
              </w:rPr>
            </w:pPr>
            <w:r>
              <w:rPr>
                <w:rFonts w:ascii="Arial" w:cs="Arial" w:eastAsia="Arial" w:hAnsi="Arial"/>
                <w:sz w:val="16"/>
                <w:szCs w:val="16"/>
                <w:b w:val="1"/>
                <w:bCs w:val="1"/>
                <w:color w:val="262626"/>
              </w:rPr>
              <w:t>Revenue</w:t>
            </w:r>
          </w:p>
        </w:tc>
        <w:tc>
          <w:tcPr>
            <w:tcW w:w="1380" w:type="dxa"/>
            <w:vAlign w:val="bottom"/>
            <w:tcBorders>
              <w:bottom w:val="single" w:sz="8" w:color="CF0A2C"/>
            </w:tcBorders>
          </w:tcPr>
          <w:p>
            <w:pPr>
              <w:jc w:val="center"/>
              <w:spacing w:after="0"/>
              <w:rPr>
                <w:sz w:val="20"/>
                <w:szCs w:val="20"/>
                <w:color w:val="auto"/>
              </w:rPr>
            </w:pPr>
            <w:r>
              <w:rPr>
                <w:rFonts w:ascii="Arial" w:cs="Arial" w:eastAsia="Arial" w:hAnsi="Arial"/>
                <w:sz w:val="16"/>
                <w:szCs w:val="16"/>
                <w:b w:val="1"/>
                <w:bCs w:val="1"/>
                <w:color w:val="262626"/>
              </w:rPr>
              <w:t>Margin</w:t>
            </w:r>
          </w:p>
        </w:tc>
        <w:tc>
          <w:tcPr>
            <w:tcW w:w="680" w:type="dxa"/>
            <w:vAlign w:val="bottom"/>
            <w:tcBorders>
              <w:bottom w:val="single" w:sz="8" w:color="CF0A2C"/>
            </w:tcBorders>
          </w:tcPr>
          <w:p>
            <w:pPr>
              <w:ind w:left="40"/>
              <w:spacing w:after="0"/>
              <w:rPr>
                <w:sz w:val="20"/>
                <w:szCs w:val="20"/>
                <w:color w:val="auto"/>
              </w:rPr>
            </w:pPr>
            <w:r>
              <w:rPr>
                <w:rFonts w:ascii="Arial" w:cs="Arial" w:eastAsia="Arial" w:hAnsi="Arial"/>
                <w:sz w:val="16"/>
                <w:szCs w:val="16"/>
                <w:b w:val="1"/>
                <w:bCs w:val="1"/>
                <w:color w:val="262626"/>
                <w:w w:val="99"/>
              </w:rPr>
              <w:t>Division</w:t>
            </w:r>
          </w:p>
        </w:tc>
        <w:tc>
          <w:tcPr>
            <w:tcW w:w="900" w:type="dxa"/>
            <w:vAlign w:val="bottom"/>
            <w:tcBorders>
              <w:bottom w:val="single" w:sz="8" w:color="CF0A2C"/>
            </w:tcBorders>
          </w:tcPr>
          <w:p>
            <w:pPr>
              <w:jc w:val="center"/>
              <w:spacing w:after="0"/>
              <w:rPr>
                <w:sz w:val="20"/>
                <w:szCs w:val="20"/>
                <w:color w:val="auto"/>
              </w:rPr>
            </w:pPr>
            <w:r>
              <w:rPr>
                <w:rFonts w:ascii="Arial" w:cs="Arial" w:eastAsia="Arial" w:hAnsi="Arial"/>
                <w:sz w:val="16"/>
                <w:szCs w:val="16"/>
                <w:b w:val="1"/>
                <w:bCs w:val="1"/>
                <w:color w:val="262626"/>
              </w:rPr>
              <w:t>Multiplier</w:t>
            </w:r>
          </w:p>
        </w:tc>
        <w:tc>
          <w:tcPr>
            <w:tcW w:w="1260" w:type="dxa"/>
            <w:vAlign w:val="bottom"/>
            <w:tcBorders>
              <w:bottom w:val="single" w:sz="8" w:color="CF0A2C"/>
            </w:tcBorders>
          </w:tcPr>
          <w:p>
            <w:pPr>
              <w:jc w:val="center"/>
              <w:spacing w:after="0"/>
              <w:rPr>
                <w:sz w:val="20"/>
                <w:szCs w:val="20"/>
                <w:color w:val="auto"/>
              </w:rPr>
            </w:pPr>
            <w:r>
              <w:rPr>
                <w:rFonts w:ascii="Arial" w:cs="Arial" w:eastAsia="Arial" w:hAnsi="Arial"/>
                <w:sz w:val="16"/>
                <w:szCs w:val="16"/>
                <w:b w:val="1"/>
                <w:bCs w:val="1"/>
                <w:color w:val="262626"/>
              </w:rPr>
              <w:t>Payout</w:t>
            </w:r>
          </w:p>
        </w:tc>
        <w:tc>
          <w:tcPr>
            <w:tcW w:w="0" w:type="dxa"/>
            <w:vAlign w:val="bottom"/>
          </w:tcPr>
          <w:p>
            <w:pPr>
              <w:spacing w:after="0"/>
              <w:rPr>
                <w:sz w:val="1"/>
                <w:szCs w:val="1"/>
                <w:color w:val="auto"/>
              </w:rPr>
            </w:pPr>
          </w:p>
        </w:tc>
      </w:tr>
      <w:tr>
        <w:trPr>
          <w:trHeight w:val="220"/>
        </w:trPr>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262626"/>
              </w:rPr>
              <w:t>150%</w:t>
            </w:r>
          </w:p>
        </w:tc>
        <w:tc>
          <w:tcPr>
            <w:tcW w:w="1380" w:type="dxa"/>
            <w:vAlign w:val="bottom"/>
          </w:tcPr>
          <w:p>
            <w:pPr>
              <w:jc w:val="center"/>
              <w:spacing w:after="0"/>
              <w:rPr>
                <w:sz w:val="20"/>
                <w:szCs w:val="20"/>
                <w:color w:val="auto"/>
              </w:rPr>
            </w:pPr>
            <w:r>
              <w:rPr>
                <w:rFonts w:ascii="Arial" w:cs="Arial" w:eastAsia="Arial" w:hAnsi="Arial"/>
                <w:sz w:val="16"/>
                <w:szCs w:val="16"/>
                <w:color w:val="262626"/>
              </w:rPr>
              <w:t>150%</w:t>
            </w:r>
          </w:p>
        </w:tc>
        <w:tc>
          <w:tcPr>
            <w:tcW w:w="680" w:type="dxa"/>
            <w:vAlign w:val="bottom"/>
          </w:tcPr>
          <w:p>
            <w:pPr>
              <w:jc w:val="center"/>
              <w:spacing w:after="0"/>
              <w:rPr>
                <w:sz w:val="20"/>
                <w:szCs w:val="20"/>
                <w:color w:val="auto"/>
              </w:rPr>
            </w:pPr>
            <w:r>
              <w:rPr>
                <w:rFonts w:ascii="Arial" w:cs="Arial" w:eastAsia="Arial" w:hAnsi="Arial"/>
                <w:sz w:val="16"/>
                <w:szCs w:val="16"/>
                <w:color w:val="262626"/>
                <w:w w:val="97"/>
              </w:rPr>
              <w:t>114%</w:t>
            </w:r>
          </w:p>
        </w:tc>
        <w:tc>
          <w:tcPr>
            <w:tcW w:w="900" w:type="dxa"/>
            <w:vAlign w:val="bottom"/>
          </w:tcPr>
          <w:p>
            <w:pPr>
              <w:spacing w:after="0"/>
              <w:rPr>
                <w:sz w:val="19"/>
                <w:szCs w:val="19"/>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262626"/>
                <w:w w:val="98"/>
              </w:rPr>
              <w:t>$ 597,567</w:t>
            </w:r>
          </w:p>
        </w:tc>
        <w:tc>
          <w:tcPr>
            <w:tcW w:w="0" w:type="dxa"/>
            <w:vAlign w:val="bottom"/>
          </w:tcPr>
          <w:p>
            <w:pPr>
              <w:spacing w:after="0"/>
              <w:rPr>
                <w:sz w:val="1"/>
                <w:szCs w:val="1"/>
                <w:color w:val="auto"/>
              </w:rPr>
            </w:pPr>
          </w:p>
        </w:tc>
      </w:tr>
      <w:tr>
        <w:trPr>
          <w:trHeight w:val="29"/>
        </w:trPr>
        <w:tc>
          <w:tcPr>
            <w:tcW w:w="2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Borders>
              <w:bottom w:val="single" w:sz="8" w:color="7F7F7F"/>
            </w:tcBorders>
          </w:tcPr>
          <w:p>
            <w:pPr>
              <w:spacing w:after="0"/>
              <w:rPr>
                <w:sz w:val="2"/>
                <w:szCs w:val="2"/>
                <w:color w:val="auto"/>
              </w:rPr>
            </w:pPr>
          </w:p>
        </w:tc>
        <w:tc>
          <w:tcPr>
            <w:tcW w:w="1380" w:type="dxa"/>
            <w:vAlign w:val="bottom"/>
            <w:tcBorders>
              <w:bottom w:val="single" w:sz="8" w:color="7F7F7F"/>
            </w:tcBorders>
          </w:tcPr>
          <w:p>
            <w:pPr>
              <w:spacing w:after="0"/>
              <w:rPr>
                <w:sz w:val="2"/>
                <w:szCs w:val="2"/>
                <w:color w:val="auto"/>
              </w:rPr>
            </w:pPr>
          </w:p>
        </w:tc>
        <w:tc>
          <w:tcPr>
            <w:tcW w:w="680" w:type="dxa"/>
            <w:vAlign w:val="bottom"/>
            <w:tcBorders>
              <w:bottom w:val="single" w:sz="8" w:color="7F7F7F"/>
            </w:tcBorders>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2100" w:type="dxa"/>
            <w:vAlign w:val="bottom"/>
          </w:tcPr>
          <w:p>
            <w:pPr>
              <w:spacing w:after="0"/>
              <w:rPr>
                <w:sz w:val="20"/>
                <w:szCs w:val="20"/>
                <w:color w:val="auto"/>
              </w:rPr>
            </w:pPr>
            <w:r>
              <w:rPr>
                <w:rFonts w:ascii="Arial" w:cs="Arial" w:eastAsia="Arial" w:hAnsi="Arial"/>
                <w:sz w:val="16"/>
                <w:szCs w:val="16"/>
                <w:color w:val="262626"/>
              </w:rPr>
              <w:t>Kirsten M. Spears</w:t>
            </w:r>
          </w:p>
        </w:tc>
        <w:tc>
          <w:tcPr>
            <w:tcW w:w="1000" w:type="dxa"/>
            <w:vAlign w:val="bottom"/>
          </w:tcPr>
          <w:p>
            <w:pPr>
              <w:jc w:val="center"/>
              <w:ind w:left="139"/>
              <w:spacing w:after="0"/>
              <w:rPr>
                <w:sz w:val="20"/>
                <w:szCs w:val="20"/>
                <w:color w:val="auto"/>
              </w:rPr>
            </w:pPr>
            <w:r>
              <w:rPr>
                <w:rFonts w:ascii="Arial" w:cs="Arial" w:eastAsia="Arial" w:hAnsi="Arial"/>
                <w:sz w:val="16"/>
                <w:szCs w:val="16"/>
                <w:color w:val="262626"/>
                <w:w w:val="98"/>
              </w:rPr>
              <w:t>$412,000</w:t>
            </w:r>
          </w:p>
        </w:tc>
        <w:tc>
          <w:tcPr>
            <w:tcW w:w="560" w:type="dxa"/>
            <w:vAlign w:val="bottom"/>
          </w:tcPr>
          <w:p>
            <w:pPr>
              <w:jc w:val="center"/>
              <w:spacing w:after="0"/>
              <w:rPr>
                <w:sz w:val="20"/>
                <w:szCs w:val="20"/>
                <w:color w:val="auto"/>
              </w:rPr>
            </w:pPr>
            <w:r>
              <w:rPr>
                <w:rFonts w:ascii="Arial" w:cs="Arial" w:eastAsia="Arial" w:hAnsi="Arial"/>
                <w:sz w:val="16"/>
                <w:szCs w:val="16"/>
                <w:color w:val="262626"/>
              </w:rPr>
              <w:t>100%</w:t>
            </w:r>
          </w:p>
        </w:tc>
        <w:tc>
          <w:tcPr>
            <w:tcW w:w="2880" w:type="dxa"/>
            <w:vAlign w:val="bottom"/>
            <w:gridSpan w:val="3"/>
          </w:tcPr>
          <w:p>
            <w:pPr>
              <w:jc w:val="center"/>
              <w:spacing w:after="0"/>
              <w:rPr>
                <w:sz w:val="20"/>
                <w:szCs w:val="20"/>
                <w:color w:val="auto"/>
              </w:rPr>
            </w:pPr>
            <w:r>
              <w:rPr>
                <w:rFonts w:ascii="Arial" w:cs="Arial" w:eastAsia="Arial" w:hAnsi="Arial"/>
                <w:sz w:val="16"/>
                <w:szCs w:val="16"/>
                <w:color w:val="262626"/>
                <w:w w:val="99"/>
              </w:rPr>
              <w:t>Total Corporate &amp; Division: 132%</w:t>
            </w:r>
          </w:p>
        </w:tc>
        <w:tc>
          <w:tcPr>
            <w:tcW w:w="900" w:type="dxa"/>
            <w:vAlign w:val="bottom"/>
          </w:tcPr>
          <w:p>
            <w:pPr>
              <w:jc w:val="center"/>
              <w:spacing w:after="0"/>
              <w:rPr>
                <w:sz w:val="20"/>
                <w:szCs w:val="20"/>
                <w:color w:val="auto"/>
              </w:rPr>
            </w:pPr>
            <w:r>
              <w:rPr>
                <w:rFonts w:ascii="Arial" w:cs="Arial" w:eastAsia="Arial" w:hAnsi="Arial"/>
                <w:sz w:val="16"/>
                <w:szCs w:val="16"/>
                <w:color w:val="262626"/>
                <w:w w:val="91"/>
              </w:rPr>
              <w:t>   110%</w:t>
            </w:r>
          </w:p>
        </w:tc>
        <w:tc>
          <w:tcPr>
            <w:tcW w:w="1260" w:type="dxa"/>
            <w:vAlign w:val="bottom"/>
          </w:tcPr>
          <w:p>
            <w:pPr>
              <w:jc w:val="center"/>
              <w:spacing w:after="0"/>
              <w:rPr>
                <w:sz w:val="20"/>
                <w:szCs w:val="20"/>
                <w:color w:val="auto"/>
              </w:rPr>
            </w:pPr>
            <w:r>
              <w:rPr>
                <w:rFonts w:ascii="Arial" w:cs="Arial" w:eastAsia="Arial" w:hAnsi="Arial"/>
                <w:sz w:val="16"/>
                <w:szCs w:val="16"/>
                <w:color w:val="262626"/>
                <w:w w:val="98"/>
              </w:rPr>
              <w:t>(145% of Target)</w:t>
            </w:r>
          </w:p>
        </w:tc>
        <w:tc>
          <w:tcPr>
            <w:tcW w:w="0" w:type="dxa"/>
            <w:vAlign w:val="bottom"/>
          </w:tcPr>
          <w:p>
            <w:pPr>
              <w:spacing w:after="0"/>
              <w:rPr>
                <w:sz w:val="1"/>
                <w:szCs w:val="1"/>
                <w:color w:val="auto"/>
              </w:rPr>
            </w:pPr>
          </w:p>
        </w:tc>
      </w:tr>
      <w:tr>
        <w:trPr>
          <w:trHeight w:val="29"/>
        </w:trPr>
        <w:tc>
          <w:tcPr>
            <w:tcW w:w="2100" w:type="dxa"/>
            <w:vAlign w:val="bottom"/>
            <w:tcBorders>
              <w:bottom w:val="single" w:sz="8" w:color="CF0A2C"/>
            </w:tcBorders>
          </w:tcPr>
          <w:p>
            <w:pPr>
              <w:spacing w:after="0"/>
              <w:rPr>
                <w:sz w:val="2"/>
                <w:szCs w:val="2"/>
                <w:color w:val="auto"/>
              </w:rPr>
            </w:pPr>
          </w:p>
        </w:tc>
        <w:tc>
          <w:tcPr>
            <w:tcW w:w="1000" w:type="dxa"/>
            <w:vAlign w:val="bottom"/>
            <w:tcBorders>
              <w:bottom w:val="single" w:sz="8" w:color="CF0A2C"/>
            </w:tcBorders>
          </w:tcPr>
          <w:p>
            <w:pPr>
              <w:spacing w:after="0"/>
              <w:rPr>
                <w:sz w:val="2"/>
                <w:szCs w:val="2"/>
                <w:color w:val="auto"/>
              </w:rPr>
            </w:pPr>
          </w:p>
        </w:tc>
        <w:tc>
          <w:tcPr>
            <w:tcW w:w="560" w:type="dxa"/>
            <w:vAlign w:val="bottom"/>
            <w:tcBorders>
              <w:bottom w:val="single" w:sz="8" w:color="CF0A2C"/>
            </w:tcBorders>
          </w:tcPr>
          <w:p>
            <w:pPr>
              <w:spacing w:after="0"/>
              <w:rPr>
                <w:sz w:val="2"/>
                <w:szCs w:val="2"/>
                <w:color w:val="auto"/>
              </w:rPr>
            </w:pPr>
          </w:p>
        </w:tc>
        <w:tc>
          <w:tcPr>
            <w:tcW w:w="820" w:type="dxa"/>
            <w:vAlign w:val="bottom"/>
            <w:tcBorders>
              <w:bottom w:val="single" w:sz="8" w:color="CF0A2C"/>
            </w:tcBorders>
          </w:tcPr>
          <w:p>
            <w:pPr>
              <w:spacing w:after="0"/>
              <w:rPr>
                <w:sz w:val="2"/>
                <w:szCs w:val="2"/>
                <w:color w:val="auto"/>
              </w:rPr>
            </w:pPr>
          </w:p>
        </w:tc>
        <w:tc>
          <w:tcPr>
            <w:tcW w:w="1380" w:type="dxa"/>
            <w:vAlign w:val="bottom"/>
            <w:tcBorders>
              <w:bottom w:val="single" w:sz="8" w:color="CF0A2C"/>
            </w:tcBorders>
          </w:tcPr>
          <w:p>
            <w:pPr>
              <w:spacing w:after="0"/>
              <w:rPr>
                <w:sz w:val="2"/>
                <w:szCs w:val="2"/>
                <w:color w:val="auto"/>
              </w:rPr>
            </w:pPr>
          </w:p>
        </w:tc>
        <w:tc>
          <w:tcPr>
            <w:tcW w:w="680" w:type="dxa"/>
            <w:vAlign w:val="bottom"/>
            <w:tcBorders>
              <w:bottom w:val="single" w:sz="8" w:color="CF0A2C"/>
            </w:tcBorders>
          </w:tcPr>
          <w:p>
            <w:pPr>
              <w:spacing w:after="0"/>
              <w:rPr>
                <w:sz w:val="2"/>
                <w:szCs w:val="2"/>
                <w:color w:val="auto"/>
              </w:rPr>
            </w:pPr>
          </w:p>
        </w:tc>
        <w:tc>
          <w:tcPr>
            <w:tcW w:w="900" w:type="dxa"/>
            <w:vAlign w:val="bottom"/>
            <w:tcBorders>
              <w:bottom w:val="single" w:sz="8" w:color="CF0A2C"/>
            </w:tcBorders>
          </w:tcPr>
          <w:p>
            <w:pPr>
              <w:spacing w:after="0"/>
              <w:rPr>
                <w:sz w:val="2"/>
                <w:szCs w:val="2"/>
                <w:color w:val="auto"/>
              </w:rPr>
            </w:pPr>
          </w:p>
        </w:tc>
        <w:tc>
          <w:tcPr>
            <w:tcW w:w="1260" w:type="dxa"/>
            <w:vAlign w:val="bottom"/>
            <w:tcBorders>
              <w:bottom w:val="single" w:sz="8" w:color="CF0A2C"/>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262626"/>
              </w:rPr>
              <w:t>150%</w:t>
            </w:r>
          </w:p>
        </w:tc>
        <w:tc>
          <w:tcPr>
            <w:tcW w:w="1380" w:type="dxa"/>
            <w:vAlign w:val="bottom"/>
          </w:tcPr>
          <w:p>
            <w:pPr>
              <w:jc w:val="center"/>
              <w:spacing w:after="0"/>
              <w:rPr>
                <w:sz w:val="20"/>
                <w:szCs w:val="20"/>
                <w:color w:val="auto"/>
              </w:rPr>
            </w:pPr>
            <w:r>
              <w:rPr>
                <w:rFonts w:ascii="Arial" w:cs="Arial" w:eastAsia="Arial" w:hAnsi="Arial"/>
                <w:sz w:val="16"/>
                <w:szCs w:val="16"/>
                <w:color w:val="262626"/>
              </w:rPr>
              <w:t>150%</w:t>
            </w:r>
          </w:p>
        </w:tc>
        <w:tc>
          <w:tcPr>
            <w:tcW w:w="680" w:type="dxa"/>
            <w:vAlign w:val="bottom"/>
          </w:tcPr>
          <w:p>
            <w:pPr>
              <w:jc w:val="center"/>
              <w:spacing w:after="0"/>
              <w:rPr>
                <w:sz w:val="20"/>
                <w:szCs w:val="20"/>
                <w:color w:val="auto"/>
              </w:rPr>
            </w:pPr>
            <w:r>
              <w:rPr>
                <w:rFonts w:ascii="Arial" w:cs="Arial" w:eastAsia="Arial" w:hAnsi="Arial"/>
                <w:sz w:val="16"/>
                <w:szCs w:val="16"/>
                <w:color w:val="262626"/>
                <w:w w:val="97"/>
              </w:rPr>
              <w:t>120%</w:t>
            </w:r>
          </w:p>
        </w:tc>
        <w:tc>
          <w:tcPr>
            <w:tcW w:w="900" w:type="dxa"/>
            <w:vAlign w:val="bottom"/>
          </w:tcPr>
          <w:p>
            <w:pPr>
              <w:spacing w:after="0"/>
              <w:rPr>
                <w:sz w:val="19"/>
                <w:szCs w:val="19"/>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262626"/>
                <w:w w:val="98"/>
              </w:rPr>
              <w:t>$ 869,063</w:t>
            </w:r>
          </w:p>
        </w:tc>
        <w:tc>
          <w:tcPr>
            <w:tcW w:w="0" w:type="dxa"/>
            <w:vAlign w:val="bottom"/>
          </w:tcPr>
          <w:p>
            <w:pPr>
              <w:spacing w:after="0"/>
              <w:rPr>
                <w:sz w:val="1"/>
                <w:szCs w:val="1"/>
                <w:color w:val="auto"/>
              </w:rPr>
            </w:pPr>
          </w:p>
        </w:tc>
      </w:tr>
      <w:tr>
        <w:trPr>
          <w:trHeight w:val="29"/>
        </w:trPr>
        <w:tc>
          <w:tcPr>
            <w:tcW w:w="2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Borders>
              <w:bottom w:val="single" w:sz="8" w:color="7F7F7F"/>
            </w:tcBorders>
          </w:tcPr>
          <w:p>
            <w:pPr>
              <w:spacing w:after="0"/>
              <w:rPr>
                <w:sz w:val="2"/>
                <w:szCs w:val="2"/>
                <w:color w:val="auto"/>
              </w:rPr>
            </w:pPr>
          </w:p>
        </w:tc>
        <w:tc>
          <w:tcPr>
            <w:tcW w:w="1380" w:type="dxa"/>
            <w:vAlign w:val="bottom"/>
            <w:tcBorders>
              <w:bottom w:val="single" w:sz="8" w:color="7F7F7F"/>
            </w:tcBorders>
          </w:tcPr>
          <w:p>
            <w:pPr>
              <w:spacing w:after="0"/>
              <w:rPr>
                <w:sz w:val="2"/>
                <w:szCs w:val="2"/>
                <w:color w:val="auto"/>
              </w:rPr>
            </w:pPr>
          </w:p>
        </w:tc>
        <w:tc>
          <w:tcPr>
            <w:tcW w:w="680" w:type="dxa"/>
            <w:vAlign w:val="bottom"/>
            <w:tcBorders>
              <w:bottom w:val="single" w:sz="8" w:color="7F7F7F"/>
            </w:tcBorders>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2100" w:type="dxa"/>
            <w:vAlign w:val="bottom"/>
          </w:tcPr>
          <w:p>
            <w:pPr>
              <w:spacing w:after="0"/>
              <w:rPr>
                <w:sz w:val="20"/>
                <w:szCs w:val="20"/>
                <w:color w:val="auto"/>
              </w:rPr>
            </w:pPr>
            <w:r>
              <w:rPr>
                <w:rFonts w:ascii="Arial" w:cs="Arial" w:eastAsia="Arial" w:hAnsi="Arial"/>
                <w:sz w:val="16"/>
                <w:szCs w:val="16"/>
                <w:color w:val="262626"/>
              </w:rPr>
              <w:t>Mark D. Brazeal</w:t>
            </w:r>
          </w:p>
        </w:tc>
        <w:tc>
          <w:tcPr>
            <w:tcW w:w="1000" w:type="dxa"/>
            <w:vAlign w:val="bottom"/>
          </w:tcPr>
          <w:p>
            <w:pPr>
              <w:jc w:val="center"/>
              <w:ind w:left="139"/>
              <w:spacing w:after="0"/>
              <w:rPr>
                <w:sz w:val="20"/>
                <w:szCs w:val="20"/>
                <w:color w:val="auto"/>
              </w:rPr>
            </w:pPr>
            <w:r>
              <w:rPr>
                <w:rFonts w:ascii="Arial" w:cs="Arial" w:eastAsia="Arial" w:hAnsi="Arial"/>
                <w:sz w:val="16"/>
                <w:szCs w:val="16"/>
                <w:color w:val="262626"/>
                <w:w w:val="98"/>
              </w:rPr>
              <w:t>$515,000</w:t>
            </w:r>
          </w:p>
        </w:tc>
        <w:tc>
          <w:tcPr>
            <w:tcW w:w="560" w:type="dxa"/>
            <w:vAlign w:val="bottom"/>
          </w:tcPr>
          <w:p>
            <w:pPr>
              <w:jc w:val="center"/>
              <w:spacing w:after="0"/>
              <w:rPr>
                <w:sz w:val="20"/>
                <w:szCs w:val="20"/>
                <w:color w:val="auto"/>
              </w:rPr>
            </w:pPr>
            <w:r>
              <w:rPr>
                <w:rFonts w:ascii="Arial" w:cs="Arial" w:eastAsia="Arial" w:hAnsi="Arial"/>
                <w:sz w:val="16"/>
                <w:szCs w:val="16"/>
                <w:color w:val="262626"/>
              </w:rPr>
              <w:t>100%</w:t>
            </w:r>
          </w:p>
        </w:tc>
        <w:tc>
          <w:tcPr>
            <w:tcW w:w="2880" w:type="dxa"/>
            <w:vAlign w:val="bottom"/>
            <w:gridSpan w:val="3"/>
          </w:tcPr>
          <w:p>
            <w:pPr>
              <w:jc w:val="center"/>
              <w:spacing w:after="0"/>
              <w:rPr>
                <w:sz w:val="20"/>
                <w:szCs w:val="20"/>
                <w:color w:val="auto"/>
              </w:rPr>
            </w:pPr>
            <w:r>
              <w:rPr>
                <w:rFonts w:ascii="Arial" w:cs="Arial" w:eastAsia="Arial" w:hAnsi="Arial"/>
                <w:sz w:val="16"/>
                <w:szCs w:val="16"/>
                <w:color w:val="262626"/>
                <w:w w:val="99"/>
              </w:rPr>
              <w:t>Total Corporate &amp; Division: 135%</w:t>
            </w:r>
          </w:p>
        </w:tc>
        <w:tc>
          <w:tcPr>
            <w:tcW w:w="900" w:type="dxa"/>
            <w:vAlign w:val="bottom"/>
          </w:tcPr>
          <w:p>
            <w:pPr>
              <w:jc w:val="center"/>
              <w:spacing w:after="0"/>
              <w:rPr>
                <w:sz w:val="20"/>
                <w:szCs w:val="20"/>
                <w:color w:val="auto"/>
              </w:rPr>
            </w:pPr>
            <w:r>
              <w:rPr>
                <w:rFonts w:ascii="Arial" w:cs="Arial" w:eastAsia="Arial" w:hAnsi="Arial"/>
                <w:sz w:val="16"/>
                <w:szCs w:val="16"/>
                <w:color w:val="262626"/>
                <w:w w:val="91"/>
              </w:rPr>
              <w:t>   125%</w:t>
            </w:r>
          </w:p>
        </w:tc>
        <w:tc>
          <w:tcPr>
            <w:tcW w:w="1260" w:type="dxa"/>
            <w:vAlign w:val="bottom"/>
          </w:tcPr>
          <w:p>
            <w:pPr>
              <w:jc w:val="center"/>
              <w:spacing w:after="0"/>
              <w:rPr>
                <w:sz w:val="20"/>
                <w:szCs w:val="20"/>
                <w:color w:val="auto"/>
              </w:rPr>
            </w:pPr>
            <w:r>
              <w:rPr>
                <w:rFonts w:ascii="Arial" w:cs="Arial" w:eastAsia="Arial" w:hAnsi="Arial"/>
                <w:sz w:val="16"/>
                <w:szCs w:val="16"/>
                <w:color w:val="262626"/>
                <w:w w:val="98"/>
              </w:rPr>
              <w:t>(169% of Target)</w:t>
            </w:r>
          </w:p>
        </w:tc>
        <w:tc>
          <w:tcPr>
            <w:tcW w:w="0" w:type="dxa"/>
            <w:vAlign w:val="bottom"/>
          </w:tcPr>
          <w:p>
            <w:pPr>
              <w:spacing w:after="0"/>
              <w:rPr>
                <w:sz w:val="1"/>
                <w:szCs w:val="1"/>
                <w:color w:val="auto"/>
              </w:rPr>
            </w:pPr>
          </w:p>
        </w:tc>
      </w:tr>
      <w:tr>
        <w:trPr>
          <w:trHeight w:val="29"/>
        </w:trPr>
        <w:tc>
          <w:tcPr>
            <w:tcW w:w="2100" w:type="dxa"/>
            <w:vAlign w:val="bottom"/>
            <w:tcBorders>
              <w:bottom w:val="single" w:sz="8" w:color="CF0A2C"/>
            </w:tcBorders>
          </w:tcPr>
          <w:p>
            <w:pPr>
              <w:spacing w:after="0"/>
              <w:rPr>
                <w:sz w:val="2"/>
                <w:szCs w:val="2"/>
                <w:color w:val="auto"/>
              </w:rPr>
            </w:pPr>
          </w:p>
        </w:tc>
        <w:tc>
          <w:tcPr>
            <w:tcW w:w="1000" w:type="dxa"/>
            <w:vAlign w:val="bottom"/>
            <w:tcBorders>
              <w:bottom w:val="single" w:sz="8" w:color="CF0A2C"/>
            </w:tcBorders>
          </w:tcPr>
          <w:p>
            <w:pPr>
              <w:spacing w:after="0"/>
              <w:rPr>
                <w:sz w:val="2"/>
                <w:szCs w:val="2"/>
                <w:color w:val="auto"/>
              </w:rPr>
            </w:pPr>
          </w:p>
        </w:tc>
        <w:tc>
          <w:tcPr>
            <w:tcW w:w="560" w:type="dxa"/>
            <w:vAlign w:val="bottom"/>
            <w:tcBorders>
              <w:bottom w:val="single" w:sz="8" w:color="CF0A2C"/>
            </w:tcBorders>
          </w:tcPr>
          <w:p>
            <w:pPr>
              <w:spacing w:after="0"/>
              <w:rPr>
                <w:sz w:val="2"/>
                <w:szCs w:val="2"/>
                <w:color w:val="auto"/>
              </w:rPr>
            </w:pPr>
          </w:p>
        </w:tc>
        <w:tc>
          <w:tcPr>
            <w:tcW w:w="820" w:type="dxa"/>
            <w:vAlign w:val="bottom"/>
            <w:tcBorders>
              <w:bottom w:val="single" w:sz="8" w:color="CF0A2C"/>
            </w:tcBorders>
          </w:tcPr>
          <w:p>
            <w:pPr>
              <w:spacing w:after="0"/>
              <w:rPr>
                <w:sz w:val="2"/>
                <w:szCs w:val="2"/>
                <w:color w:val="auto"/>
              </w:rPr>
            </w:pPr>
          </w:p>
        </w:tc>
        <w:tc>
          <w:tcPr>
            <w:tcW w:w="1380" w:type="dxa"/>
            <w:vAlign w:val="bottom"/>
            <w:tcBorders>
              <w:bottom w:val="single" w:sz="8" w:color="CF0A2C"/>
            </w:tcBorders>
          </w:tcPr>
          <w:p>
            <w:pPr>
              <w:spacing w:after="0"/>
              <w:rPr>
                <w:sz w:val="2"/>
                <w:szCs w:val="2"/>
                <w:color w:val="auto"/>
              </w:rPr>
            </w:pPr>
          </w:p>
        </w:tc>
        <w:tc>
          <w:tcPr>
            <w:tcW w:w="680" w:type="dxa"/>
            <w:vAlign w:val="bottom"/>
            <w:tcBorders>
              <w:bottom w:val="single" w:sz="8" w:color="CF0A2C"/>
            </w:tcBorders>
          </w:tcPr>
          <w:p>
            <w:pPr>
              <w:spacing w:after="0"/>
              <w:rPr>
                <w:sz w:val="2"/>
                <w:szCs w:val="2"/>
                <w:color w:val="auto"/>
              </w:rPr>
            </w:pPr>
          </w:p>
        </w:tc>
        <w:tc>
          <w:tcPr>
            <w:tcW w:w="900" w:type="dxa"/>
            <w:vAlign w:val="bottom"/>
            <w:tcBorders>
              <w:bottom w:val="single" w:sz="8" w:color="CF0A2C"/>
            </w:tcBorders>
          </w:tcPr>
          <w:p>
            <w:pPr>
              <w:spacing w:after="0"/>
              <w:rPr>
                <w:sz w:val="2"/>
                <w:szCs w:val="2"/>
                <w:color w:val="auto"/>
              </w:rPr>
            </w:pPr>
          </w:p>
        </w:tc>
        <w:tc>
          <w:tcPr>
            <w:tcW w:w="1260" w:type="dxa"/>
            <w:vAlign w:val="bottom"/>
            <w:tcBorders>
              <w:bottom w:val="single" w:sz="8" w:color="CF0A2C"/>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262626"/>
              </w:rPr>
              <w:t>150%</w:t>
            </w:r>
          </w:p>
        </w:tc>
        <w:tc>
          <w:tcPr>
            <w:tcW w:w="1380" w:type="dxa"/>
            <w:vAlign w:val="bottom"/>
          </w:tcPr>
          <w:p>
            <w:pPr>
              <w:jc w:val="center"/>
              <w:spacing w:after="0"/>
              <w:rPr>
                <w:sz w:val="20"/>
                <w:szCs w:val="20"/>
                <w:color w:val="auto"/>
              </w:rPr>
            </w:pPr>
            <w:r>
              <w:rPr>
                <w:rFonts w:ascii="Arial" w:cs="Arial" w:eastAsia="Arial" w:hAnsi="Arial"/>
                <w:sz w:val="16"/>
                <w:szCs w:val="16"/>
                <w:color w:val="262626"/>
              </w:rPr>
              <w:t>150%</w:t>
            </w:r>
          </w:p>
        </w:tc>
        <w:tc>
          <w:tcPr>
            <w:tcW w:w="680" w:type="dxa"/>
            <w:vAlign w:val="bottom"/>
          </w:tcPr>
          <w:p>
            <w:pPr>
              <w:jc w:val="center"/>
              <w:spacing w:after="0"/>
              <w:rPr>
                <w:sz w:val="20"/>
                <w:szCs w:val="20"/>
                <w:color w:val="auto"/>
              </w:rPr>
            </w:pPr>
            <w:r>
              <w:rPr>
                <w:rFonts w:ascii="Arial" w:cs="Arial" w:eastAsia="Arial" w:hAnsi="Arial"/>
                <w:sz w:val="16"/>
                <w:szCs w:val="16"/>
                <w:color w:val="262626"/>
                <w:w w:val="99"/>
              </w:rPr>
              <w:t>—</w:t>
            </w:r>
          </w:p>
        </w:tc>
        <w:tc>
          <w:tcPr>
            <w:tcW w:w="900" w:type="dxa"/>
            <w:vAlign w:val="bottom"/>
          </w:tcPr>
          <w:p>
            <w:pPr>
              <w:spacing w:after="0"/>
              <w:rPr>
                <w:sz w:val="19"/>
                <w:szCs w:val="19"/>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262626"/>
              </w:rPr>
              <w:t>$1,351,876</w:t>
            </w:r>
          </w:p>
        </w:tc>
        <w:tc>
          <w:tcPr>
            <w:tcW w:w="0" w:type="dxa"/>
            <w:vAlign w:val="bottom"/>
          </w:tcPr>
          <w:p>
            <w:pPr>
              <w:spacing w:after="0"/>
              <w:rPr>
                <w:sz w:val="1"/>
                <w:szCs w:val="1"/>
                <w:color w:val="auto"/>
              </w:rPr>
            </w:pPr>
          </w:p>
        </w:tc>
      </w:tr>
      <w:tr>
        <w:trPr>
          <w:trHeight w:val="29"/>
        </w:trPr>
        <w:tc>
          <w:tcPr>
            <w:tcW w:w="2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Borders>
              <w:bottom w:val="single" w:sz="8" w:color="7F7F7F"/>
            </w:tcBorders>
          </w:tcPr>
          <w:p>
            <w:pPr>
              <w:spacing w:after="0"/>
              <w:rPr>
                <w:sz w:val="2"/>
                <w:szCs w:val="2"/>
                <w:color w:val="auto"/>
              </w:rPr>
            </w:pPr>
          </w:p>
        </w:tc>
        <w:tc>
          <w:tcPr>
            <w:tcW w:w="1380" w:type="dxa"/>
            <w:vAlign w:val="bottom"/>
            <w:tcBorders>
              <w:bottom w:val="single" w:sz="8" w:color="7F7F7F"/>
            </w:tcBorders>
          </w:tcPr>
          <w:p>
            <w:pPr>
              <w:spacing w:after="0"/>
              <w:rPr>
                <w:sz w:val="2"/>
                <w:szCs w:val="2"/>
                <w:color w:val="auto"/>
              </w:rPr>
            </w:pPr>
          </w:p>
        </w:tc>
        <w:tc>
          <w:tcPr>
            <w:tcW w:w="680" w:type="dxa"/>
            <w:vAlign w:val="bottom"/>
            <w:tcBorders>
              <w:bottom w:val="single" w:sz="8" w:color="7F7F7F"/>
            </w:tcBorders>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2100" w:type="dxa"/>
            <w:vAlign w:val="bottom"/>
          </w:tcPr>
          <w:p>
            <w:pPr>
              <w:spacing w:after="0"/>
              <w:rPr>
                <w:sz w:val="20"/>
                <w:szCs w:val="20"/>
                <w:color w:val="auto"/>
              </w:rPr>
            </w:pPr>
            <w:r>
              <w:rPr>
                <w:rFonts w:ascii="Arial" w:cs="Arial" w:eastAsia="Arial" w:hAnsi="Arial"/>
                <w:sz w:val="16"/>
                <w:szCs w:val="16"/>
                <w:color w:val="262626"/>
              </w:rPr>
              <w:t>Charlie B. Kawwas, Ph.D.</w:t>
            </w:r>
          </w:p>
        </w:tc>
        <w:tc>
          <w:tcPr>
            <w:tcW w:w="1000" w:type="dxa"/>
            <w:vAlign w:val="bottom"/>
          </w:tcPr>
          <w:p>
            <w:pPr>
              <w:jc w:val="center"/>
              <w:ind w:left="139"/>
              <w:spacing w:after="0"/>
              <w:rPr>
                <w:sz w:val="20"/>
                <w:szCs w:val="20"/>
                <w:color w:val="auto"/>
              </w:rPr>
            </w:pPr>
            <w:r>
              <w:rPr>
                <w:rFonts w:ascii="Arial" w:cs="Arial" w:eastAsia="Arial" w:hAnsi="Arial"/>
                <w:sz w:val="16"/>
                <w:szCs w:val="16"/>
                <w:color w:val="262626"/>
                <w:w w:val="98"/>
              </w:rPr>
              <w:t>$721,000</w:t>
            </w:r>
          </w:p>
        </w:tc>
        <w:tc>
          <w:tcPr>
            <w:tcW w:w="560" w:type="dxa"/>
            <w:vAlign w:val="bottom"/>
          </w:tcPr>
          <w:p>
            <w:pPr>
              <w:jc w:val="center"/>
              <w:spacing w:after="0"/>
              <w:rPr>
                <w:sz w:val="20"/>
                <w:szCs w:val="20"/>
                <w:color w:val="auto"/>
              </w:rPr>
            </w:pPr>
            <w:r>
              <w:rPr>
                <w:rFonts w:ascii="Arial" w:cs="Arial" w:eastAsia="Arial" w:hAnsi="Arial"/>
                <w:sz w:val="16"/>
                <w:szCs w:val="16"/>
                <w:color w:val="262626"/>
              </w:rPr>
              <w:t>100%</w:t>
            </w:r>
          </w:p>
        </w:tc>
        <w:tc>
          <w:tcPr>
            <w:tcW w:w="2880" w:type="dxa"/>
            <w:vAlign w:val="bottom"/>
            <w:gridSpan w:val="3"/>
          </w:tcPr>
          <w:p>
            <w:pPr>
              <w:jc w:val="center"/>
              <w:spacing w:after="0"/>
              <w:rPr>
                <w:sz w:val="20"/>
                <w:szCs w:val="20"/>
                <w:color w:val="auto"/>
              </w:rPr>
            </w:pPr>
            <w:r>
              <w:rPr>
                <w:rFonts w:ascii="Arial" w:cs="Arial" w:eastAsia="Arial" w:hAnsi="Arial"/>
                <w:sz w:val="16"/>
                <w:szCs w:val="16"/>
                <w:color w:val="262626"/>
                <w:w w:val="99"/>
              </w:rPr>
              <w:t>Total Corporate: 150%</w:t>
            </w:r>
          </w:p>
        </w:tc>
        <w:tc>
          <w:tcPr>
            <w:tcW w:w="900" w:type="dxa"/>
            <w:vAlign w:val="bottom"/>
          </w:tcPr>
          <w:p>
            <w:pPr>
              <w:jc w:val="center"/>
              <w:spacing w:after="0"/>
              <w:rPr>
                <w:sz w:val="20"/>
                <w:szCs w:val="20"/>
                <w:color w:val="auto"/>
              </w:rPr>
            </w:pPr>
            <w:r>
              <w:rPr>
                <w:rFonts w:ascii="Arial" w:cs="Arial" w:eastAsia="Arial" w:hAnsi="Arial"/>
                <w:sz w:val="16"/>
                <w:szCs w:val="16"/>
                <w:color w:val="262626"/>
                <w:w w:val="91"/>
              </w:rPr>
              <w:t>   125%</w:t>
            </w:r>
          </w:p>
        </w:tc>
        <w:tc>
          <w:tcPr>
            <w:tcW w:w="1260" w:type="dxa"/>
            <w:vAlign w:val="bottom"/>
          </w:tcPr>
          <w:p>
            <w:pPr>
              <w:jc w:val="center"/>
              <w:spacing w:after="0"/>
              <w:rPr>
                <w:sz w:val="20"/>
                <w:szCs w:val="20"/>
                <w:color w:val="auto"/>
              </w:rPr>
            </w:pPr>
            <w:r>
              <w:rPr>
                <w:rFonts w:ascii="Arial" w:cs="Arial" w:eastAsia="Arial" w:hAnsi="Arial"/>
                <w:sz w:val="16"/>
                <w:szCs w:val="16"/>
                <w:color w:val="262626"/>
                <w:w w:val="98"/>
              </w:rPr>
              <w:t>(188% of 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103505</wp:posOffset>
            </wp:positionV>
            <wp:extent cx="4940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4030" cy="8255"/>
                    </a:xfrm>
                    <a:prstGeom prst="rect">
                      <a:avLst/>
                    </a:prstGeom>
                    <a:noFill/>
                  </pic:spPr>
                </pic:pic>
              </a:graphicData>
            </a:graphic>
          </wp:anchor>
        </w:drawing>
      </w:r>
    </w:p>
    <w:p>
      <w:pPr>
        <w:spacing w:after="0" w:line="187" w:lineRule="exact"/>
        <w:rPr>
          <w:sz w:val="20"/>
          <w:szCs w:val="20"/>
          <w:color w:val="auto"/>
        </w:rPr>
      </w:pPr>
    </w:p>
    <w:p>
      <w:pPr>
        <w:jc w:val="both"/>
        <w:ind w:left="1620" w:right="179" w:hanging="344"/>
        <w:spacing w:after="0" w:line="261" w:lineRule="auto"/>
        <w:tabs>
          <w:tab w:leader="none" w:pos="1620" w:val="left"/>
        </w:tabs>
        <w:numPr>
          <w:ilvl w:val="0"/>
          <w:numId w:val="24"/>
        </w:numPr>
        <w:rPr>
          <w:rFonts w:ascii="Arial" w:cs="Arial" w:eastAsia="Arial" w:hAnsi="Arial"/>
          <w:sz w:val="14"/>
          <w:szCs w:val="14"/>
          <w:color w:val="262626"/>
        </w:rPr>
      </w:pPr>
      <w:r>
        <w:rPr>
          <w:rFonts w:ascii="Arial" w:cs="Arial" w:eastAsia="Arial" w:hAnsi="Arial"/>
          <w:sz w:val="14"/>
          <w:szCs w:val="14"/>
          <w:color w:val="262626"/>
        </w:rPr>
        <w:t>Mr. Tan did not receive an APB Plan payout in fiscal 2025 as the 2023 Tan PSU Award was front-loaded to cover five annual cash incentive opportunities under the APB Plan and five years of annual equity awards. The independent directors do not intend to provide Mr. Tan with annual cash incentive opportunities under the APB Plan through fiscal 2027.</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Long-Term Incentive Compensation</w:t>
      </w:r>
    </w:p>
    <w:p>
      <w:pPr>
        <w:spacing w:after="0" w:line="202"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Our equity awards serve as a long-term incentive and retention tool for our executive officers, and reflect the value we place on their contributions to Broadcom. In addition, our distinctive approach in granting multi-year PSU awards continues to provide our executive officers with a strong incentive to remain with and build value in Broadcom over an extended period.</w:t>
      </w:r>
    </w:p>
    <w:p>
      <w:pPr>
        <w:spacing w:after="0" w:line="101" w:lineRule="exact"/>
        <w:rPr>
          <w:sz w:val="20"/>
          <w:szCs w:val="20"/>
          <w:color w:val="auto"/>
        </w:rPr>
      </w:pPr>
    </w:p>
    <w:p>
      <w:pPr>
        <w:jc w:val="both"/>
        <w:ind w:left="1280" w:right="159"/>
        <w:spacing w:after="0" w:line="352" w:lineRule="auto"/>
        <w:rPr>
          <w:sz w:val="20"/>
          <w:szCs w:val="20"/>
          <w:color w:val="auto"/>
        </w:rPr>
      </w:pPr>
      <w:r>
        <w:rPr>
          <w:rFonts w:ascii="Arial" w:cs="Arial" w:eastAsia="Arial" w:hAnsi="Arial"/>
          <w:sz w:val="16"/>
          <w:szCs w:val="16"/>
          <w:color w:val="262626"/>
        </w:rPr>
        <w:t>The Compensation Committee believes that granting RSU and PSU awards furthers the objectives of our compensation philosophy by motivating strategic financial performance improvement and delivering outstanding stockholder returns. By doing so, the interests of our executive officers are closely aligned with our stockholders’ interests.</w:t>
      </w:r>
    </w:p>
    <w:p>
      <w:pPr>
        <w:spacing w:after="0" w:line="90"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We have not granted stock options since 2015, other than options granted as substitutes for a target company’s options in connection with an acquisition, and we do not grant stock appreciation rights or similar option-like instruments. Although we do not have a formal policy with respect to the timing of our equity award grants, the Compensation Committee generally grants equity awards on a predetermined annual schedule and we do not take material nonpublic information into account when determining the timing and terms of such awards. In addition, we do not grant equity awards in anticipation of the release of material nonpublic information and we do not time the release of material nonpublic information based on equity award grant dates or for the purpose of affecting the value of executive compensation.</w:t>
      </w:r>
    </w:p>
    <w:p>
      <w:pPr>
        <w:sectPr>
          <w:pgSz w:w="11900" w:h="16838" w:orient="portrait"/>
          <w:cols w:equalWidth="0" w:num="1">
            <w:col w:w="10139"/>
          </w:cols>
          <w:pgMar w:left="320" w:top="480" w:right="1440" w:bottom="1440" w:gutter="0" w:footer="0" w:header="0"/>
        </w:sectPr>
      </w:pPr>
    </w:p>
    <w:p>
      <w:pPr>
        <w:spacing w:after="0" w:line="89"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768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5155"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As part of the annual equity program for our executive officers (other than our CEO), the Compensation Committee reviews in March of each year the scope, responsibilities and achievements of our executive officers, as well as the criticality of such executive officers to Broadcom’s strategic roadmap. The Compensation Committee also reviews the executive officers’ unvested equity value and the external market competitiveness of the executive officers’ equity awards to assess the retention risk of our executive officers in an extremely competitive talent market for executives with successful track records.</w:t>
      </w:r>
    </w:p>
    <w:p>
      <w:pPr>
        <w:spacing w:after="0" w:line="106"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Based on the review of these factors, the Compensation Committee may grant an annual equity award to all, some or none of our executive officers. If the Compensation Committee determines that a grant of an annual equity award to Ms. Spears or Mr. Brazeal is warranted, their equity awards have been typically comprised of 50% in the form of RSU awards and 50% in the form of PSU awards at target.</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Equity Award Granted to Mr. Tan in Fiscal 2025</w:t>
      </w:r>
    </w:p>
    <w:p>
      <w:pPr>
        <w:spacing w:after="0" w:line="163"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Since our initial public offering (“IPO”) in August 2009 through fiscal 2025, our cumulative TSR has grown 34,330% and our market capitalization increased from $3.8 billion to over $1.7 trillion under Mr. Tan’s leadership,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269875</wp:posOffset>
            </wp:positionV>
            <wp:extent cx="4448810" cy="48748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448810" cy="4874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59"/>
        <w:spacing w:after="0"/>
        <w:rPr>
          <w:sz w:val="20"/>
          <w:szCs w:val="20"/>
          <w:color w:val="auto"/>
        </w:rPr>
      </w:pPr>
      <w:r>
        <w:rPr>
          <w:rFonts w:ascii="Arial" w:cs="Arial" w:eastAsia="Arial" w:hAnsi="Arial"/>
          <w:sz w:val="15"/>
          <w:szCs w:val="15"/>
          <w:color w:val="262626"/>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The Board believes that to sustain the increase in stockholder value illustrated above and to compete successfully in a highly competitive technology industry undergoing a profound transformation due to AI, Broadcom must continue to develop increasingly advanced technologies and execute new business strategies and models to meet the accelerating demands of our customers. Over the past two years, our top stockholders have also expressed overwhelming support for retaining Mr. Tan beyond fiscal 2027 to lead Broadcom through this transformation that is occurring in the technology industry.</w:t>
      </w:r>
    </w:p>
    <w:p>
      <w:pPr>
        <w:spacing w:after="0" w:line="106"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Following the Compensation Committee’s review of the executive compensation program and the Board’s review of corporate strategy, as well as feedback from our top stockholders, the independent directors determined that retaining Mr. Tan through fiscal 2030 is in the best interests of Broadcom and our stockholders to sustain the increase in stockholder value. In consultation with Meridian, upon the recommendation of the Compensation Committee and as part of the annual equity award program, the independent directors granted Mr. Tan a PSU award (the “2025 Tan PSU Award”) on September 3, 2025 (the “Grant Date”).</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Equity Award Objectives</w:t>
      </w:r>
    </w:p>
    <w:p>
      <w:pPr>
        <w:spacing w:after="0" w:line="205"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The Compensation Committee and the independent directors, in consultation with Meridian, structured the 2025 Tan PSU Award to achieve the following objectives:</w:t>
      </w:r>
    </w:p>
    <w:p>
      <w:pPr>
        <w:spacing w:after="0" w:line="62" w:lineRule="exact"/>
        <w:rPr>
          <w:sz w:val="20"/>
          <w:szCs w:val="20"/>
          <w:color w:val="auto"/>
        </w:rPr>
      </w:pPr>
    </w:p>
    <w:p>
      <w:pPr>
        <w:ind w:left="1780" w:right="179" w:hanging="249"/>
        <w:spacing w:after="0" w:line="353" w:lineRule="auto"/>
        <w:tabs>
          <w:tab w:leader="none" w:pos="1780" w:val="left"/>
        </w:tabs>
        <w:numPr>
          <w:ilvl w:val="0"/>
          <w:numId w:val="25"/>
        </w:numPr>
        <w:rPr>
          <w:rFonts w:ascii="Arial" w:cs="Arial" w:eastAsia="Arial" w:hAnsi="Arial"/>
          <w:sz w:val="16"/>
          <w:szCs w:val="16"/>
          <w:color w:val="262626"/>
        </w:rPr>
      </w:pPr>
      <w:r>
        <w:rPr>
          <w:rFonts w:ascii="Arial" w:cs="Arial" w:eastAsia="Arial" w:hAnsi="Arial"/>
          <w:sz w:val="16"/>
          <w:szCs w:val="16"/>
          <w:color w:val="262626"/>
        </w:rPr>
        <w:t>Secure Mr. Tan’s continued leadership through fiscal 2030 consistent with the overwhelming support for Mr. Tan expressed by our top stockholders</w:t>
      </w:r>
    </w:p>
    <w:p>
      <w:pPr>
        <w:spacing w:after="0" w:line="76" w:lineRule="exact"/>
        <w:rPr>
          <w:rFonts w:ascii="Arial" w:cs="Arial" w:eastAsia="Arial" w:hAnsi="Arial"/>
          <w:sz w:val="16"/>
          <w:szCs w:val="16"/>
          <w:color w:val="262626"/>
        </w:rPr>
      </w:pPr>
    </w:p>
    <w:p>
      <w:pPr>
        <w:ind w:left="1780" w:right="179" w:hanging="249"/>
        <w:spacing w:after="0" w:line="353" w:lineRule="auto"/>
        <w:tabs>
          <w:tab w:leader="none" w:pos="1780" w:val="left"/>
        </w:tabs>
        <w:numPr>
          <w:ilvl w:val="0"/>
          <w:numId w:val="25"/>
        </w:numPr>
        <w:rPr>
          <w:rFonts w:ascii="Arial" w:cs="Arial" w:eastAsia="Arial" w:hAnsi="Arial"/>
          <w:sz w:val="16"/>
          <w:szCs w:val="16"/>
          <w:color w:val="262626"/>
        </w:rPr>
      </w:pPr>
      <w:r>
        <w:rPr>
          <w:rFonts w:ascii="Arial" w:cs="Arial" w:eastAsia="Arial" w:hAnsi="Arial"/>
          <w:sz w:val="16"/>
          <w:szCs w:val="16"/>
          <w:color w:val="262626"/>
        </w:rPr>
        <w:t>Incentivize performance through transparent and formidable long-term goals designed to deliver value to our stockholders in accordance with our pay-for-performance philosophy</w:t>
      </w:r>
    </w:p>
    <w:p>
      <w:pPr>
        <w:spacing w:after="0" w:line="76" w:lineRule="exact"/>
        <w:rPr>
          <w:rFonts w:ascii="Arial" w:cs="Arial" w:eastAsia="Arial" w:hAnsi="Arial"/>
          <w:sz w:val="16"/>
          <w:szCs w:val="16"/>
          <w:color w:val="262626"/>
        </w:rPr>
      </w:pPr>
    </w:p>
    <w:p>
      <w:pPr>
        <w:ind w:left="1780" w:hanging="249"/>
        <w:spacing w:after="0"/>
        <w:tabs>
          <w:tab w:leader="none" w:pos="1780" w:val="left"/>
        </w:tabs>
        <w:numPr>
          <w:ilvl w:val="0"/>
          <w:numId w:val="25"/>
        </w:numPr>
        <w:rPr>
          <w:rFonts w:ascii="Arial" w:cs="Arial" w:eastAsia="Arial" w:hAnsi="Arial"/>
          <w:sz w:val="16"/>
          <w:szCs w:val="16"/>
          <w:color w:val="262626"/>
        </w:rPr>
      </w:pPr>
      <w:r>
        <w:rPr>
          <w:rFonts w:ascii="Arial" w:cs="Arial" w:eastAsia="Arial" w:hAnsi="Arial"/>
          <w:sz w:val="16"/>
          <w:szCs w:val="16"/>
          <w:color w:val="262626"/>
        </w:rPr>
        <w:t>Ensure the vesting and performance periods do not overlap with the 2023 Tan PSU Award</w:t>
      </w:r>
    </w:p>
    <w:p>
      <w:pPr>
        <w:spacing w:after="0" w:line="191" w:lineRule="exact"/>
        <w:rPr>
          <w:rFonts w:ascii="Arial" w:cs="Arial" w:eastAsia="Arial" w:hAnsi="Arial"/>
          <w:sz w:val="16"/>
          <w:szCs w:val="16"/>
          <w:color w:val="262626"/>
        </w:rPr>
      </w:pPr>
    </w:p>
    <w:p>
      <w:pPr>
        <w:ind w:left="1780" w:right="159" w:hanging="249"/>
        <w:spacing w:after="0" w:line="353" w:lineRule="auto"/>
        <w:tabs>
          <w:tab w:leader="none" w:pos="1780" w:val="left"/>
        </w:tabs>
        <w:numPr>
          <w:ilvl w:val="0"/>
          <w:numId w:val="25"/>
        </w:numPr>
        <w:rPr>
          <w:rFonts w:ascii="Arial" w:cs="Arial" w:eastAsia="Arial" w:hAnsi="Arial"/>
          <w:sz w:val="16"/>
          <w:szCs w:val="16"/>
          <w:color w:val="262626"/>
        </w:rPr>
      </w:pPr>
      <w:r>
        <w:rPr>
          <w:rFonts w:ascii="Arial" w:cs="Arial" w:eastAsia="Arial" w:hAnsi="Arial"/>
          <w:sz w:val="16"/>
          <w:szCs w:val="16"/>
          <w:color w:val="262626"/>
        </w:rPr>
        <w:t>Obtain Mr. Tan’s commitment to hold the after-tax shares of Broadcom common stock upon the vesting of the 2023 Tan PSU Award</w:t>
      </w:r>
    </w:p>
    <w:p>
      <w:pPr>
        <w:spacing w:after="0" w:line="76" w:lineRule="exact"/>
        <w:rPr>
          <w:rFonts w:ascii="Arial" w:cs="Arial" w:eastAsia="Arial" w:hAnsi="Arial"/>
          <w:sz w:val="16"/>
          <w:szCs w:val="16"/>
          <w:color w:val="262626"/>
        </w:rPr>
      </w:pPr>
    </w:p>
    <w:p>
      <w:pPr>
        <w:ind w:left="1780" w:right="179" w:hanging="249"/>
        <w:spacing w:after="0" w:line="353" w:lineRule="auto"/>
        <w:tabs>
          <w:tab w:leader="none" w:pos="1780" w:val="left"/>
        </w:tabs>
        <w:numPr>
          <w:ilvl w:val="0"/>
          <w:numId w:val="25"/>
        </w:numPr>
        <w:rPr>
          <w:rFonts w:ascii="Arial" w:cs="Arial" w:eastAsia="Arial" w:hAnsi="Arial"/>
          <w:sz w:val="16"/>
          <w:szCs w:val="16"/>
          <w:color w:val="262626"/>
        </w:rPr>
      </w:pPr>
      <w:r>
        <w:rPr>
          <w:rFonts w:ascii="Arial" w:cs="Arial" w:eastAsia="Arial" w:hAnsi="Arial"/>
          <w:sz w:val="16"/>
          <w:szCs w:val="16"/>
          <w:color w:val="262626"/>
        </w:rPr>
        <w:t>Strong governance and oversight of the pre-established performance goals by the Compensation Committee and the independent directors</w:t>
      </w:r>
    </w:p>
    <w:p>
      <w:pPr>
        <w:spacing w:after="0" w:line="143"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2023 Tan PSU Award Post-Vesting Holding Requirement</w:t>
      </w:r>
    </w:p>
    <w:p>
      <w:pPr>
        <w:spacing w:after="0" w:line="245"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As a condition to receiving the 2025 Tan PSU Award, Mr. Tan agreed to a post-vesting holding requirement with respect to the after-tax shares Mr. Tan would receive upon the vesting of the 2023 Tan PSU Award (the “Non-Transferable Shares”). The independent directors conditioned the 2025 Tan PSU Award with this post-vesting holding requirement to incentivize Mr. Tan to continue his employment at Broadcom beyond fiscal 2027 and further align the interests of Mr. Tan with those of our stockholders through fiscal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110490</wp:posOffset>
            </wp:positionV>
            <wp:extent cx="5530850" cy="7156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30850" cy="715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280" w:right="159"/>
        <w:spacing w:after="0" w:line="337" w:lineRule="auto"/>
        <w:rPr>
          <w:sz w:val="20"/>
          <w:szCs w:val="20"/>
          <w:color w:val="auto"/>
        </w:rPr>
      </w:pPr>
      <w:r>
        <w:rPr>
          <w:rFonts w:ascii="Arial" w:cs="Arial" w:eastAsia="Arial" w:hAnsi="Arial"/>
          <w:sz w:val="16"/>
          <w:szCs w:val="16"/>
          <w:color w:val="262626"/>
        </w:rPr>
        <w:t>As illustrated in the graphic above, Mr. Tan has agreed to hold the Non-Transferable Shares through fiscal 2030, and if he voluntarily resigns without good reason prior to the end of fiscal 2030, then such holding period will extend through the end of fiscal 2032 (in each case, the “Holding Period Expiration Date”). During this holding period Mr. Tan has agreed not to sell, assign, transfer, pledge, hypothecate or otherwise encumber or dispose of (collectively, “Transfer”) the Non-Transferable Shares without the prior written consent of the Compensation Committee.</w:t>
      </w:r>
    </w:p>
    <w:p>
      <w:pPr>
        <w:spacing w:after="0" w:line="104" w:lineRule="exact"/>
        <w:rPr>
          <w:sz w:val="20"/>
          <w:szCs w:val="20"/>
          <w:color w:val="auto"/>
        </w:rPr>
      </w:pPr>
    </w:p>
    <w:p>
      <w:pPr>
        <w:jc w:val="both"/>
        <w:ind w:left="1280" w:right="159"/>
        <w:spacing w:after="0" w:line="343" w:lineRule="auto"/>
        <w:rPr>
          <w:sz w:val="20"/>
          <w:szCs w:val="20"/>
          <w:color w:val="auto"/>
        </w:rPr>
      </w:pPr>
      <w:r>
        <w:rPr>
          <w:rFonts w:ascii="Arial" w:cs="Arial" w:eastAsia="Arial" w:hAnsi="Arial"/>
          <w:sz w:val="16"/>
          <w:szCs w:val="16"/>
          <w:color w:val="262626"/>
        </w:rPr>
        <w:t>In the event of (i) Mr. Tan’s death or permanent disability, (ii) the termination of Mr. Tan’s employment by Broadcom without cause or (iii) Mr. Tan’s termination of employment due to a resignation for good reason, the Holding Period Expiration Date will be the date of such event, as applicable.</w:t>
      </w:r>
    </w:p>
    <w:p>
      <w:pPr>
        <w:spacing w:after="0" w:line="80"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850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jc w:val="both"/>
        <w:ind w:left="1280" w:right="179"/>
        <w:spacing w:after="0" w:line="330" w:lineRule="auto"/>
        <w:rPr>
          <w:sz w:val="20"/>
          <w:szCs w:val="20"/>
          <w:color w:val="auto"/>
        </w:rPr>
      </w:pPr>
      <w:r>
        <w:rPr>
          <w:rFonts w:ascii="Arial" w:cs="Arial" w:eastAsia="Arial" w:hAnsi="Arial"/>
          <w:sz w:val="16"/>
          <w:szCs w:val="16"/>
          <w:color w:val="262626"/>
        </w:rPr>
        <w:t>If Mr. Tan requests permission from the Compensation Committee to Transfer any Non-Transferable Shares prior to the Holding Period Expiration Date (i) during his employment, then the Compensation Committee will provide consent to a Transfer if it determines in its discretion that, after such Transfer, the number of shares of Broadcom common stock held by Mr. Tan, together with the shares underlying the 2025 Tan PSU Award, is commensurate, in the Compensation Committee’s judgment, with the total number of Non-Transferable Shares or (ii) if Mr. Tan has voluntarily resigned without good reason, then the Compensation Committee will provide consent if Mr. Tan will continue to hold at least 50% of the Non-Transferable Shares after such Transfer.</w:t>
      </w:r>
    </w:p>
    <w:p>
      <w:pPr>
        <w:spacing w:after="0" w:line="162"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Target Value Determination</w:t>
      </w:r>
    </w:p>
    <w:p>
      <w:pPr>
        <w:spacing w:after="0" w:line="178"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Upon the recommendation of the Compensation Committee and in consultation with Meridian, the independent directors aligned the annual target value of the 2025 Tan PSU Award with the top decile of current chief executive officer compensation for similarly-situated large technology peer companies based in the Silicon Valley region in recognition of our top percentile TSR performance compared to these peers since our IPO.</w:t>
      </w:r>
    </w:p>
    <w:p>
      <w:pPr>
        <w:spacing w:after="0" w:line="101" w:lineRule="exact"/>
        <w:rPr>
          <w:sz w:val="20"/>
          <w:szCs w:val="20"/>
          <w:color w:val="auto"/>
        </w:rPr>
      </w:pPr>
    </w:p>
    <w:p>
      <w:pPr>
        <w:jc w:val="both"/>
        <w:ind w:left="1280" w:right="179"/>
        <w:spacing w:after="0" w:line="337" w:lineRule="auto"/>
        <w:rPr>
          <w:sz w:val="20"/>
          <w:szCs w:val="20"/>
          <w:color w:val="auto"/>
        </w:rPr>
      </w:pPr>
      <w:r>
        <w:rPr>
          <w:rFonts w:ascii="Arial" w:cs="Arial" w:eastAsia="Arial" w:hAnsi="Arial"/>
          <w:sz w:val="16"/>
          <w:szCs w:val="16"/>
          <w:color w:val="262626"/>
        </w:rPr>
        <w:t>The 2025 Tan PSU Award represents three years of front-loaded value to cover fiscal 2028, 2029 and 2030, and has a target value corresponding to the challenging and ambitious performance goals described below. The independent directors do not intend to grant an additional annual equity award to Mr. Tan through the end of fiscal 2030 as the 2023 Tan PSU Award covers Mr. Tan’s annual long-term incentive opportunity from fiscal 2023 through fiscal 2027 and the 2025 Tan PSU Award covers Mr. Tan’s annual long-term incentive opportunity from fiscal 2028 through fiscal 2030.</w:t>
      </w:r>
    </w:p>
    <w:p>
      <w:pPr>
        <w:spacing w:after="0" w:line="144"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Performance Metric Selection Aligns with Stockholder Interests</w:t>
      </w:r>
    </w:p>
    <w:p>
      <w:pPr>
        <w:spacing w:after="0" w:line="178" w:lineRule="exact"/>
        <w:rPr>
          <w:sz w:val="20"/>
          <w:szCs w:val="20"/>
          <w:color w:val="auto"/>
        </w:rPr>
      </w:pPr>
    </w:p>
    <w:p>
      <w:pPr>
        <w:jc w:val="both"/>
        <w:ind w:left="1280" w:right="159"/>
        <w:spacing w:after="0" w:line="337" w:lineRule="auto"/>
        <w:rPr>
          <w:sz w:val="20"/>
          <w:szCs w:val="20"/>
          <w:color w:val="auto"/>
        </w:rPr>
      </w:pPr>
      <w:r>
        <w:rPr>
          <w:rFonts w:ascii="Arial" w:cs="Arial" w:eastAsia="Arial" w:hAnsi="Arial"/>
          <w:sz w:val="16"/>
          <w:szCs w:val="16"/>
          <w:color w:val="262626"/>
        </w:rPr>
        <w:t>Taking into consideration the recommendation of the Compensation Committee, input from Meridian and feedback from our stockholders, the independent directors selected revenue from our technologies and products used or expected to be used by our customers for AI enablement, including but not limited to our custom AI accelerators, XPUs, ASICs, networking and connectivity solutions, and AI racks or systems based on our XPUs (“AI Revenue”) as the performance metric for the 2025 Tan PSU Award.</w:t>
      </w:r>
    </w:p>
    <w:p>
      <w:pPr>
        <w:spacing w:after="0" w:line="104" w:lineRule="exact"/>
        <w:rPr>
          <w:sz w:val="20"/>
          <w:szCs w:val="20"/>
          <w:color w:val="auto"/>
        </w:rPr>
      </w:pPr>
    </w:p>
    <w:p>
      <w:pPr>
        <w:jc w:val="both"/>
        <w:ind w:left="1280" w:right="159"/>
        <w:spacing w:after="0" w:line="335" w:lineRule="auto"/>
        <w:rPr>
          <w:sz w:val="20"/>
          <w:szCs w:val="20"/>
          <w:color w:val="auto"/>
        </w:rPr>
      </w:pPr>
      <w:r>
        <w:rPr>
          <w:rFonts w:ascii="Arial" w:cs="Arial" w:eastAsia="Arial" w:hAnsi="Arial"/>
          <w:sz w:val="16"/>
          <w:szCs w:val="16"/>
          <w:color w:val="262626"/>
        </w:rPr>
        <w:t>AI Revenue was selected as the performance metric of the 2025 Tan PSU Award given that Broadcom must successfully compete in a highly competitive technology industry that is undergoing a profound transformation due to AI to continue its long-term value creation. The independent directors believe that AI Revenue would provide the most accurate and direct measure of our progress in advancing our technologies and products during this transformation. Moreover, the independent directors believe the AI Revenue performance metric with a post-vesting holding requirement for the Non-Transferable Shares strongly aligns the interests of Mr. Tan with those of our stockholders through the end of fiscal 2030.</w:t>
      </w:r>
    </w:p>
    <w:p>
      <w:pPr>
        <w:spacing w:after="0" w:line="351" w:lineRule="exact"/>
        <w:rPr>
          <w:sz w:val="20"/>
          <w:szCs w:val="20"/>
          <w:color w:val="auto"/>
        </w:rPr>
      </w:pPr>
    </w:p>
    <w:p>
      <w:pPr>
        <w:jc w:val="both"/>
        <w:ind w:left="1280" w:right="159"/>
        <w:spacing w:after="0" w:line="352" w:lineRule="auto"/>
        <w:rPr>
          <w:sz w:val="20"/>
          <w:szCs w:val="20"/>
          <w:color w:val="auto"/>
        </w:rPr>
      </w:pPr>
      <w:r>
        <w:rPr>
          <w:rFonts w:ascii="Arial" w:cs="Arial" w:eastAsia="Arial" w:hAnsi="Arial"/>
          <w:sz w:val="16"/>
          <w:szCs w:val="16"/>
          <w:color w:val="262626"/>
        </w:rPr>
        <w:t>The calculation of AI Revenue will be pursuant to GAAP reporting and publicly disclosed in our quarterly financial earnings calls, subject to review and recommendation by the Compensation Committee and ultimately determined by the independent directors.</w:t>
      </w:r>
    </w:p>
    <w:p>
      <w:pPr>
        <w:spacing w:after="0" w:line="130"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PSU Award Structure</w:t>
      </w:r>
    </w:p>
    <w:p>
      <w:pPr>
        <w:spacing w:after="0" w:line="178" w:lineRule="exact"/>
        <w:rPr>
          <w:sz w:val="20"/>
          <w:szCs w:val="20"/>
          <w:color w:val="auto"/>
        </w:rPr>
      </w:pPr>
    </w:p>
    <w:p>
      <w:pPr>
        <w:jc w:val="both"/>
        <w:ind w:left="1280" w:right="159"/>
        <w:spacing w:after="0" w:line="343" w:lineRule="auto"/>
        <w:rPr>
          <w:sz w:val="20"/>
          <w:szCs w:val="20"/>
          <w:color w:val="auto"/>
        </w:rPr>
      </w:pPr>
      <w:r>
        <w:rPr>
          <w:rFonts w:ascii="Arial" w:cs="Arial" w:eastAsia="Arial" w:hAnsi="Arial"/>
          <w:sz w:val="16"/>
          <w:szCs w:val="16"/>
          <w:color w:val="262626"/>
        </w:rPr>
        <w:t>As discussed above, our executive compensation program is intentionally distinct from typical market practice as it utilizes multi-year front-loaded grants to incentivize significant stockholder value creation and enhance retention of our most critical management team members.</w:t>
      </w:r>
    </w:p>
    <w:p>
      <w:pPr>
        <w:spacing w:after="0" w:line="97" w:lineRule="exact"/>
        <w:rPr>
          <w:sz w:val="20"/>
          <w:szCs w:val="20"/>
          <w:color w:val="auto"/>
        </w:rPr>
      </w:pPr>
    </w:p>
    <w:p>
      <w:pPr>
        <w:jc w:val="both"/>
        <w:ind w:left="1280" w:right="179"/>
        <w:spacing w:after="0" w:line="337" w:lineRule="auto"/>
        <w:rPr>
          <w:sz w:val="20"/>
          <w:szCs w:val="20"/>
          <w:color w:val="auto"/>
        </w:rPr>
      </w:pPr>
      <w:r>
        <w:rPr>
          <w:rFonts w:ascii="Arial" w:cs="Arial" w:eastAsia="Arial" w:hAnsi="Arial"/>
          <w:sz w:val="16"/>
          <w:szCs w:val="16"/>
          <w:color w:val="262626"/>
        </w:rPr>
        <w:t>In accordance with our executive compensation program and the recommendation of the Compensation Committee, the independent directors granted Mr. Tan the 2025 Tan PSU Award upon receiving Mr. Tan’s agreement to the post-vesting holding requirement for the Non-Transferable Shares. Granted as part of the annual equity award program, the 2025 Tan PSU Award is front-loaded to cover Mr. Tan’s annual equity awards for fiscal 2028, 2029 and 2030, and does not overlap with the 2023 Tan PSU Award.</w:t>
      </w:r>
    </w:p>
    <w:p>
      <w:pPr>
        <w:spacing w:after="0" w:line="104"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The target number of shares subject to the 2025 Tan PSU Award is 610,521 shares (the “Target PSUs”). Mr. Tan may earn between 0% and 300% of the Target PSUs contingent on both (i) the attainment of challenging and ambitious performance goals based on AI Revenue during a three-year performance period from the start of fiscal 2028 through the end of fiscal 2030 (the “Performance Period”) and (ii) continued service requirements from the Grant Date through the end of fiscal 2030 (the “Service Period”). The vesting date of the 2025 Tan PSU Award is the last day of fiscal 2030 (the “Vesting Date”). The actual number of shares earned by Mr. Tan on the Vesting Date will be the product of multiplying a payout percentage, as determined by the independent directors upon the recommendation of the Compensation Committee, by the Target PSUs (the “Earned PSUs”).</w:t>
      </w:r>
    </w:p>
    <w:p>
      <w:pPr>
        <w:sectPr>
          <w:pgSz w:w="11900" w:h="16838" w:orient="portrait"/>
          <w:cols w:equalWidth="0" w:num="1">
            <w:col w:w="10139"/>
          </w:cols>
          <w:pgMar w:left="320" w:top="480" w:right="1440" w:bottom="827" w:gutter="0" w:footer="0" w:header="0"/>
        </w:sectPr>
      </w:pPr>
    </w:p>
    <w:p>
      <w:pPr>
        <w:spacing w:after="0" w:line="88"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80" w:right="1440" w:bottom="827"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In the event Mr. Tan incurs a termination of employment or consultancy (a “Termination of Services”) during the Service Period, the 2025 Tan PSU Award will be forfeited in its entirety and the underlying shares will not be issued, except as otherwise described below:</w:t>
      </w:r>
    </w:p>
    <w:p>
      <w:pPr>
        <w:spacing w:after="0" w:line="84" w:lineRule="exact"/>
        <w:rPr>
          <w:sz w:val="20"/>
          <w:szCs w:val="20"/>
          <w:color w:val="auto"/>
        </w:rPr>
      </w:pPr>
    </w:p>
    <w:p>
      <w:pPr>
        <w:jc w:val="both"/>
        <w:ind w:left="1780" w:right="179" w:hanging="249"/>
        <w:spacing w:after="0" w:line="333" w:lineRule="auto"/>
        <w:tabs>
          <w:tab w:leader="none" w:pos="1780" w:val="left"/>
        </w:tabs>
        <w:numPr>
          <w:ilvl w:val="0"/>
          <w:numId w:val="26"/>
        </w:numPr>
        <w:rPr>
          <w:rFonts w:ascii="Arial" w:cs="Arial" w:eastAsia="Arial" w:hAnsi="Arial"/>
          <w:sz w:val="16"/>
          <w:szCs w:val="16"/>
          <w:color w:val="262626"/>
        </w:rPr>
      </w:pPr>
      <w:r>
        <w:rPr>
          <w:rFonts w:ascii="Arial" w:cs="Arial" w:eastAsia="Arial" w:hAnsi="Arial"/>
          <w:sz w:val="16"/>
          <w:szCs w:val="16"/>
          <w:color w:val="262626"/>
        </w:rPr>
        <w:t>If, during the Performance Period, Mr. Tan incurs a Termination of Services (i) by him for good reason, (ii) by Broadcom without cause, or (iii) due to death or permanent disability (each, a “Covered Termination”), a prorated portion of the Target PSUs will remain outstanding and be subject to performance-based vesting in accordance with the 2025 Tan PSU Award, with proration based on the portion of the Performance Period during which Mr. Tan provided services.</w:t>
      </w:r>
    </w:p>
    <w:p>
      <w:pPr>
        <w:spacing w:after="0" w:line="92" w:lineRule="exact"/>
        <w:rPr>
          <w:rFonts w:ascii="Arial" w:cs="Arial" w:eastAsia="Arial" w:hAnsi="Arial"/>
          <w:sz w:val="16"/>
          <w:szCs w:val="16"/>
          <w:color w:val="262626"/>
        </w:rPr>
      </w:pPr>
    </w:p>
    <w:p>
      <w:pPr>
        <w:jc w:val="both"/>
        <w:ind w:left="1780" w:right="159" w:hanging="249"/>
        <w:spacing w:after="0" w:line="329" w:lineRule="auto"/>
        <w:tabs>
          <w:tab w:leader="none" w:pos="1780" w:val="left"/>
        </w:tabs>
        <w:numPr>
          <w:ilvl w:val="0"/>
          <w:numId w:val="26"/>
        </w:numPr>
        <w:rPr>
          <w:rFonts w:ascii="Arial" w:cs="Arial" w:eastAsia="Arial" w:hAnsi="Arial"/>
          <w:sz w:val="16"/>
          <w:szCs w:val="16"/>
          <w:color w:val="262626"/>
        </w:rPr>
      </w:pPr>
      <w:r>
        <w:rPr>
          <w:rFonts w:ascii="Arial" w:cs="Arial" w:eastAsia="Arial" w:hAnsi="Arial"/>
          <w:sz w:val="16"/>
          <w:szCs w:val="16"/>
          <w:color w:val="262626"/>
        </w:rPr>
        <w:t>If a change in control of Broadcom occurs on or after the Grant Date and before the end of the first quarter of fiscal 2028, the 2025 Tan PSU Award will be forfeited in its entirety effective immediately prior to the change in control. If a change in control occurs after the end of the first quarter of fiscal 2028, the Performance Period will be shortened so that it ends on the last day of Broadcom’s fiscal quarter ending immediately prior to the change in control and the shares underlying the 2025 Tan PSU Award will be prorated based on the shortened Performance Period. For purposes of determining the Payout Percentage (defined below) for a shortened Performance Period prior to the end of fiscal 2028, the Applicable AI Revenue levels will be prorated accordingly if the change in control occurs during the second, third or fourth quarter of fiscal 2028. Any Earned PSUs will remain subject to time-based vesting in accordance with the 2025 Tan PSU Award. If Mr. Tan experiences a Covered Termination on or after the date of the change in control, such Earned PSUs will immediately vest in full.</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Formidable Performance Goals</w:t>
      </w:r>
    </w:p>
    <w:p>
      <w:pPr>
        <w:spacing w:after="0" w:line="165"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The independent directors designed the 2025 Tan PSU Award to deliver value to Mr. Tan only if Broadcom achieves significant growth in AI Revenue during the Performance Period.</w:t>
      </w:r>
    </w:p>
    <w:p>
      <w:pPr>
        <w:spacing w:after="0" w:line="75"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When determining the magnitude of the performance goals of the 2025 Tan PSU Award, the Compensation Committee and the independent directors set challenging and ambitious targets based on achieving significant and sustained growth in AI Revenue.</w:t>
      </w:r>
    </w:p>
    <w:p>
      <w:pPr>
        <w:spacing w:after="0" w:line="110"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The performance goal under the 2025 Tan PSU Award is achieved when the highest aggregate AI Revenue for a period of any four consecutive fiscal quarters within the Performance Period (the “Applicable AI Revenue”) is between the achievement levels set forth in the table below. The payout percentage set forth in the table below (the “Payout Percentage”) will be determined using a linear interpolation between the achievement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115570</wp:posOffset>
            </wp:positionV>
            <wp:extent cx="55225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15"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2620" w:type="dxa"/>
            <w:vAlign w:val="bottom"/>
          </w:tcPr>
          <w:p>
            <w:pPr>
              <w:spacing w:after="0"/>
              <w:rPr>
                <w:sz w:val="20"/>
                <w:szCs w:val="20"/>
                <w:color w:val="auto"/>
              </w:rPr>
            </w:pPr>
            <w:r>
              <w:rPr>
                <w:rFonts w:ascii="Arial" w:cs="Arial" w:eastAsia="Arial" w:hAnsi="Arial"/>
                <w:sz w:val="16"/>
                <w:szCs w:val="16"/>
                <w:b w:val="1"/>
                <w:bCs w:val="1"/>
                <w:color w:val="auto"/>
              </w:rPr>
              <w:t>Achievement Level</w:t>
            </w:r>
          </w:p>
        </w:tc>
        <w:tc>
          <w:tcPr>
            <w:tcW w:w="3500" w:type="dxa"/>
            <w:vAlign w:val="bottom"/>
            <w:gridSpan w:val="2"/>
          </w:tcPr>
          <w:p>
            <w:pPr>
              <w:ind w:left="1180"/>
              <w:spacing w:after="0"/>
              <w:rPr>
                <w:sz w:val="20"/>
                <w:szCs w:val="20"/>
                <w:color w:val="auto"/>
              </w:rPr>
            </w:pPr>
            <w:r>
              <w:rPr>
                <w:rFonts w:ascii="Arial" w:cs="Arial" w:eastAsia="Arial" w:hAnsi="Arial"/>
                <w:sz w:val="16"/>
                <w:szCs w:val="16"/>
                <w:b w:val="1"/>
                <w:bCs w:val="1"/>
                <w:color w:val="auto"/>
              </w:rPr>
              <w:t>Applicable AI Revenue</w:t>
            </w:r>
          </w:p>
        </w:tc>
        <w:tc>
          <w:tcPr>
            <w:tcW w:w="2580" w:type="dxa"/>
            <w:vAlign w:val="bottom"/>
          </w:tcPr>
          <w:p>
            <w:pPr>
              <w:jc w:val="center"/>
              <w:spacing w:after="0"/>
              <w:rPr>
                <w:sz w:val="20"/>
                <w:szCs w:val="20"/>
                <w:color w:val="auto"/>
              </w:rPr>
            </w:pPr>
            <w:r>
              <w:rPr>
                <w:rFonts w:ascii="Arial" w:cs="Arial" w:eastAsia="Arial" w:hAnsi="Arial"/>
                <w:sz w:val="16"/>
                <w:szCs w:val="16"/>
                <w:b w:val="1"/>
                <w:bCs w:val="1"/>
                <w:color w:val="auto"/>
                <w:w w:val="99"/>
              </w:rPr>
              <w:t>Payout Percentage</w:t>
            </w:r>
          </w:p>
        </w:tc>
      </w:tr>
      <w:tr>
        <w:trPr>
          <w:trHeight w:val="47"/>
        </w:trPr>
        <w:tc>
          <w:tcPr>
            <w:tcW w:w="2620" w:type="dxa"/>
            <w:vAlign w:val="bottom"/>
            <w:tcBorders>
              <w:bottom w:val="single" w:sz="8" w:color="CF0A2C"/>
            </w:tcBorders>
          </w:tcPr>
          <w:p>
            <w:pPr>
              <w:spacing w:after="0"/>
              <w:rPr>
                <w:sz w:val="4"/>
                <w:szCs w:val="4"/>
                <w:color w:val="auto"/>
              </w:rPr>
            </w:pPr>
          </w:p>
        </w:tc>
        <w:tc>
          <w:tcPr>
            <w:tcW w:w="2080" w:type="dxa"/>
            <w:vAlign w:val="bottom"/>
            <w:tcBorders>
              <w:bottom w:val="single" w:sz="8" w:color="CF0A2C"/>
            </w:tcBorders>
          </w:tcPr>
          <w:p>
            <w:pPr>
              <w:spacing w:after="0"/>
              <w:rPr>
                <w:sz w:val="4"/>
                <w:szCs w:val="4"/>
                <w:color w:val="auto"/>
              </w:rPr>
            </w:pPr>
          </w:p>
        </w:tc>
        <w:tc>
          <w:tcPr>
            <w:tcW w:w="1420" w:type="dxa"/>
            <w:vAlign w:val="bottom"/>
            <w:tcBorders>
              <w:bottom w:val="single" w:sz="8" w:color="CF0A2C"/>
            </w:tcBorders>
          </w:tcPr>
          <w:p>
            <w:pPr>
              <w:spacing w:after="0"/>
              <w:rPr>
                <w:sz w:val="4"/>
                <w:szCs w:val="4"/>
                <w:color w:val="auto"/>
              </w:rPr>
            </w:pPr>
          </w:p>
        </w:tc>
        <w:tc>
          <w:tcPr>
            <w:tcW w:w="2580" w:type="dxa"/>
            <w:vAlign w:val="bottom"/>
            <w:tcBorders>
              <w:bottom w:val="single" w:sz="8" w:color="CF0A2C"/>
            </w:tcBorders>
          </w:tcPr>
          <w:p>
            <w:pPr>
              <w:spacing w:after="0"/>
              <w:rPr>
                <w:sz w:val="4"/>
                <w:szCs w:val="4"/>
                <w:color w:val="auto"/>
              </w:rPr>
            </w:pPr>
          </w:p>
        </w:tc>
      </w:tr>
      <w:tr>
        <w:trPr>
          <w:trHeight w:val="300"/>
        </w:trPr>
        <w:tc>
          <w:tcPr>
            <w:tcW w:w="2620" w:type="dxa"/>
            <w:vAlign w:val="bottom"/>
          </w:tcPr>
          <w:p>
            <w:pPr>
              <w:spacing w:after="0"/>
              <w:rPr>
                <w:sz w:val="20"/>
                <w:szCs w:val="20"/>
                <w:color w:val="auto"/>
              </w:rPr>
            </w:pPr>
            <w:r>
              <w:rPr>
                <w:rFonts w:ascii="Arial" w:cs="Arial" w:eastAsia="Arial" w:hAnsi="Arial"/>
                <w:sz w:val="16"/>
                <w:szCs w:val="16"/>
                <w:color w:val="262626"/>
              </w:rPr>
              <w:t>Maximum</w:t>
            </w:r>
          </w:p>
        </w:tc>
        <w:tc>
          <w:tcPr>
            <w:tcW w:w="2080" w:type="dxa"/>
            <w:vAlign w:val="bottom"/>
          </w:tcPr>
          <w:p>
            <w:pPr>
              <w:ind w:left="1560"/>
              <w:spacing w:after="0"/>
              <w:rPr>
                <w:sz w:val="20"/>
                <w:szCs w:val="20"/>
                <w:color w:val="auto"/>
              </w:rPr>
            </w:pPr>
            <w:r>
              <w:rPr>
                <w:rFonts w:ascii="Times New Roman" w:cs="Times New Roman" w:eastAsia="Times New Roman" w:hAnsi="Times New Roman"/>
                <w:sz w:val="16"/>
                <w:szCs w:val="16"/>
                <w:color w:val="262626"/>
              </w:rPr>
              <w:t xml:space="preserve">≥ </w:t>
            </w:r>
            <w:r>
              <w:rPr>
                <w:rFonts w:ascii="Arial" w:cs="Arial" w:eastAsia="Arial" w:hAnsi="Arial"/>
                <w:sz w:val="16"/>
                <w:szCs w:val="16"/>
                <w:color w:val="262626"/>
              </w:rPr>
              <w:t>$120</w:t>
            </w:r>
          </w:p>
        </w:tc>
        <w:tc>
          <w:tcPr>
            <w:tcW w:w="1420" w:type="dxa"/>
            <w:vAlign w:val="bottom"/>
          </w:tcPr>
          <w:p>
            <w:pPr>
              <w:ind w:left="20"/>
              <w:spacing w:after="0"/>
              <w:rPr>
                <w:sz w:val="20"/>
                <w:szCs w:val="20"/>
                <w:color w:val="auto"/>
              </w:rPr>
            </w:pPr>
            <w:r>
              <w:rPr>
                <w:rFonts w:ascii="Arial" w:cs="Arial" w:eastAsia="Arial" w:hAnsi="Arial"/>
                <w:sz w:val="16"/>
                <w:szCs w:val="16"/>
                <w:color w:val="262626"/>
              </w:rPr>
              <w:t>Billion</w:t>
            </w:r>
          </w:p>
        </w:tc>
        <w:tc>
          <w:tcPr>
            <w:tcW w:w="2580" w:type="dxa"/>
            <w:vAlign w:val="bottom"/>
          </w:tcPr>
          <w:p>
            <w:pPr>
              <w:jc w:val="center"/>
              <w:spacing w:after="0"/>
              <w:rPr>
                <w:sz w:val="20"/>
                <w:szCs w:val="20"/>
                <w:color w:val="auto"/>
              </w:rPr>
            </w:pPr>
            <w:r>
              <w:rPr>
                <w:rFonts w:ascii="Arial" w:cs="Arial" w:eastAsia="Arial" w:hAnsi="Arial"/>
                <w:sz w:val="16"/>
                <w:szCs w:val="16"/>
                <w:color w:val="262626"/>
                <w:w w:val="97"/>
              </w:rPr>
              <w:t>300%</w:t>
            </w:r>
          </w:p>
        </w:tc>
      </w:tr>
      <w:tr>
        <w:trPr>
          <w:trHeight w:val="295"/>
        </w:trPr>
        <w:tc>
          <w:tcPr>
            <w:tcW w:w="2620" w:type="dxa"/>
            <w:vAlign w:val="bottom"/>
          </w:tcPr>
          <w:p>
            <w:pPr>
              <w:spacing w:after="0"/>
              <w:rPr>
                <w:sz w:val="20"/>
                <w:szCs w:val="20"/>
                <w:color w:val="auto"/>
              </w:rPr>
            </w:pPr>
            <w:r>
              <w:rPr>
                <w:rFonts w:ascii="Arial" w:cs="Arial" w:eastAsia="Arial" w:hAnsi="Arial"/>
                <w:sz w:val="16"/>
                <w:szCs w:val="16"/>
                <w:color w:val="262626"/>
              </w:rPr>
              <w:t>Stretch</w:t>
            </w:r>
          </w:p>
        </w:tc>
        <w:tc>
          <w:tcPr>
            <w:tcW w:w="2080" w:type="dxa"/>
            <w:vAlign w:val="bottom"/>
          </w:tcPr>
          <w:p>
            <w:pPr>
              <w:ind w:left="1560"/>
              <w:spacing w:after="0"/>
              <w:rPr>
                <w:sz w:val="20"/>
                <w:szCs w:val="20"/>
                <w:color w:val="auto"/>
              </w:rPr>
            </w:pPr>
            <w:r>
              <w:rPr>
                <w:rFonts w:ascii="Arial" w:cs="Arial" w:eastAsia="Arial" w:hAnsi="Arial"/>
                <w:sz w:val="16"/>
                <w:szCs w:val="16"/>
                <w:color w:val="262626"/>
                <w:w w:val="95"/>
              </w:rPr>
              <w:t>   $105</w:t>
            </w:r>
          </w:p>
        </w:tc>
        <w:tc>
          <w:tcPr>
            <w:tcW w:w="1420" w:type="dxa"/>
            <w:vAlign w:val="bottom"/>
          </w:tcPr>
          <w:p>
            <w:pPr>
              <w:ind w:left="20"/>
              <w:spacing w:after="0"/>
              <w:rPr>
                <w:sz w:val="20"/>
                <w:szCs w:val="20"/>
                <w:color w:val="auto"/>
              </w:rPr>
            </w:pPr>
            <w:r>
              <w:rPr>
                <w:rFonts w:ascii="Arial" w:cs="Arial" w:eastAsia="Arial" w:hAnsi="Arial"/>
                <w:sz w:val="16"/>
                <w:szCs w:val="16"/>
                <w:color w:val="262626"/>
              </w:rPr>
              <w:t>Billion</w:t>
            </w:r>
          </w:p>
        </w:tc>
        <w:tc>
          <w:tcPr>
            <w:tcW w:w="2580" w:type="dxa"/>
            <w:vAlign w:val="bottom"/>
          </w:tcPr>
          <w:p>
            <w:pPr>
              <w:jc w:val="center"/>
              <w:spacing w:after="0"/>
              <w:rPr>
                <w:sz w:val="20"/>
                <w:szCs w:val="20"/>
                <w:color w:val="auto"/>
              </w:rPr>
            </w:pPr>
            <w:r>
              <w:rPr>
                <w:rFonts w:ascii="Arial" w:cs="Arial" w:eastAsia="Arial" w:hAnsi="Arial"/>
                <w:sz w:val="16"/>
                <w:szCs w:val="16"/>
                <w:color w:val="262626"/>
                <w:w w:val="97"/>
              </w:rPr>
              <w:t>200%</w:t>
            </w:r>
          </w:p>
        </w:tc>
      </w:tr>
      <w:tr>
        <w:trPr>
          <w:trHeight w:val="295"/>
        </w:trPr>
        <w:tc>
          <w:tcPr>
            <w:tcW w:w="2620" w:type="dxa"/>
            <w:vAlign w:val="bottom"/>
          </w:tcPr>
          <w:p>
            <w:pPr>
              <w:spacing w:after="0"/>
              <w:rPr>
                <w:sz w:val="20"/>
                <w:szCs w:val="20"/>
                <w:color w:val="auto"/>
              </w:rPr>
            </w:pPr>
            <w:r>
              <w:rPr>
                <w:rFonts w:ascii="Arial" w:cs="Arial" w:eastAsia="Arial" w:hAnsi="Arial"/>
                <w:sz w:val="16"/>
                <w:szCs w:val="16"/>
                <w:color w:val="262626"/>
              </w:rPr>
              <w:t>Target</w:t>
            </w:r>
          </w:p>
        </w:tc>
        <w:tc>
          <w:tcPr>
            <w:tcW w:w="2080" w:type="dxa"/>
            <w:vAlign w:val="bottom"/>
          </w:tcPr>
          <w:p>
            <w:pPr>
              <w:ind w:left="1560"/>
              <w:spacing w:after="0"/>
              <w:rPr>
                <w:sz w:val="20"/>
                <w:szCs w:val="20"/>
                <w:color w:val="auto"/>
              </w:rPr>
            </w:pPr>
            <w:r>
              <w:rPr>
                <w:rFonts w:ascii="Arial" w:cs="Arial" w:eastAsia="Arial" w:hAnsi="Arial"/>
                <w:sz w:val="16"/>
                <w:szCs w:val="16"/>
                <w:color w:val="262626"/>
                <w:w w:val="89"/>
              </w:rPr>
              <w:t>    $90</w:t>
            </w:r>
          </w:p>
        </w:tc>
        <w:tc>
          <w:tcPr>
            <w:tcW w:w="1420" w:type="dxa"/>
            <w:vAlign w:val="bottom"/>
          </w:tcPr>
          <w:p>
            <w:pPr>
              <w:ind w:left="20"/>
              <w:spacing w:after="0"/>
              <w:rPr>
                <w:sz w:val="20"/>
                <w:szCs w:val="20"/>
                <w:color w:val="auto"/>
              </w:rPr>
            </w:pPr>
            <w:r>
              <w:rPr>
                <w:rFonts w:ascii="Arial" w:cs="Arial" w:eastAsia="Arial" w:hAnsi="Arial"/>
                <w:sz w:val="16"/>
                <w:szCs w:val="16"/>
                <w:color w:val="262626"/>
              </w:rPr>
              <w:t>Billion</w:t>
            </w:r>
          </w:p>
        </w:tc>
        <w:tc>
          <w:tcPr>
            <w:tcW w:w="2580" w:type="dxa"/>
            <w:vAlign w:val="bottom"/>
          </w:tcPr>
          <w:p>
            <w:pPr>
              <w:jc w:val="center"/>
              <w:spacing w:after="0"/>
              <w:rPr>
                <w:sz w:val="20"/>
                <w:szCs w:val="20"/>
                <w:color w:val="auto"/>
              </w:rPr>
            </w:pPr>
            <w:r>
              <w:rPr>
                <w:rFonts w:ascii="Arial" w:cs="Arial" w:eastAsia="Arial" w:hAnsi="Arial"/>
                <w:sz w:val="16"/>
                <w:szCs w:val="16"/>
                <w:color w:val="262626"/>
                <w:w w:val="97"/>
              </w:rPr>
              <w:t>100%</w:t>
            </w:r>
          </w:p>
        </w:tc>
      </w:tr>
      <w:tr>
        <w:trPr>
          <w:trHeight w:val="309"/>
        </w:trPr>
        <w:tc>
          <w:tcPr>
            <w:tcW w:w="2620" w:type="dxa"/>
            <w:vAlign w:val="bottom"/>
          </w:tcPr>
          <w:p>
            <w:pPr>
              <w:spacing w:after="0"/>
              <w:rPr>
                <w:sz w:val="20"/>
                <w:szCs w:val="20"/>
                <w:color w:val="auto"/>
              </w:rPr>
            </w:pPr>
            <w:r>
              <w:rPr>
                <w:rFonts w:ascii="Arial" w:cs="Arial" w:eastAsia="Arial" w:hAnsi="Arial"/>
                <w:sz w:val="16"/>
                <w:szCs w:val="16"/>
                <w:color w:val="262626"/>
              </w:rPr>
              <w:t>Threshold</w:t>
            </w:r>
          </w:p>
        </w:tc>
        <w:tc>
          <w:tcPr>
            <w:tcW w:w="2080" w:type="dxa"/>
            <w:vAlign w:val="bottom"/>
          </w:tcPr>
          <w:p>
            <w:pPr>
              <w:ind w:left="1560"/>
              <w:spacing w:after="0"/>
              <w:rPr>
                <w:sz w:val="20"/>
                <w:szCs w:val="20"/>
                <w:color w:val="auto"/>
              </w:rPr>
            </w:pPr>
            <w:r>
              <w:rPr>
                <w:rFonts w:ascii="Arial" w:cs="Arial" w:eastAsia="Arial" w:hAnsi="Arial"/>
                <w:sz w:val="16"/>
                <w:szCs w:val="16"/>
                <w:color w:val="262626"/>
                <w:w w:val="93"/>
              </w:rPr>
              <w:t xml:space="preserve">  </w:t>
            </w:r>
            <w:r>
              <w:rPr>
                <w:rFonts w:ascii="Times New Roman" w:cs="Times New Roman" w:eastAsia="Times New Roman" w:hAnsi="Times New Roman"/>
                <w:sz w:val="16"/>
                <w:szCs w:val="16"/>
                <w:color w:val="262626"/>
                <w:w w:val="93"/>
              </w:rPr>
              <w:t>≤</w:t>
            </w:r>
            <w:r>
              <w:rPr>
                <w:rFonts w:ascii="Arial" w:cs="Arial" w:eastAsia="Arial" w:hAnsi="Arial"/>
                <w:sz w:val="16"/>
                <w:szCs w:val="16"/>
                <w:color w:val="262626"/>
                <w:w w:val="93"/>
              </w:rPr>
              <w:t xml:space="preserve"> $60</w:t>
            </w:r>
          </w:p>
        </w:tc>
        <w:tc>
          <w:tcPr>
            <w:tcW w:w="1420" w:type="dxa"/>
            <w:vAlign w:val="bottom"/>
          </w:tcPr>
          <w:p>
            <w:pPr>
              <w:ind w:left="20"/>
              <w:spacing w:after="0"/>
              <w:rPr>
                <w:sz w:val="20"/>
                <w:szCs w:val="20"/>
                <w:color w:val="auto"/>
              </w:rPr>
            </w:pPr>
            <w:r>
              <w:rPr>
                <w:rFonts w:ascii="Arial" w:cs="Arial" w:eastAsia="Arial" w:hAnsi="Arial"/>
                <w:sz w:val="16"/>
                <w:szCs w:val="16"/>
                <w:color w:val="262626"/>
              </w:rPr>
              <w:t>Billion</w:t>
            </w:r>
          </w:p>
        </w:tc>
        <w:tc>
          <w:tcPr>
            <w:tcW w:w="2580" w:type="dxa"/>
            <w:vAlign w:val="bottom"/>
          </w:tcPr>
          <w:p>
            <w:pPr>
              <w:jc w:val="center"/>
              <w:spacing w:after="0"/>
              <w:rPr>
                <w:sz w:val="20"/>
                <w:szCs w:val="20"/>
                <w:color w:val="auto"/>
              </w:rPr>
            </w:pPr>
            <w:r>
              <w:rPr>
                <w:rFonts w:ascii="Arial" w:cs="Arial" w:eastAsia="Arial" w:hAnsi="Arial"/>
                <w:sz w:val="16"/>
                <w:szCs w:val="16"/>
                <w:color w:val="262626"/>
                <w:w w:val="88"/>
              </w:rPr>
              <w:t>    0%</w:t>
            </w:r>
          </w:p>
        </w:tc>
      </w:tr>
    </w:tbl>
    <w:p>
      <w:pPr>
        <w:spacing w:after="0" w:line="175"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As illustrated in the graphic below, for Mr. Tan to earn any shares under the 2025 Tan PSU Award, the Applicable AI Revenue must be more than three times the $20 billion of fiscal 2025 AI Revenue that was forecasted at the time the Compensation Committee recommended and the independent directors approved the performance goals of the 2025 Tan PSU Award.</w:t>
      </w:r>
    </w:p>
    <w:p>
      <w:pPr>
        <w:spacing w:after="0" w:line="101" w:lineRule="exact"/>
        <w:rPr>
          <w:sz w:val="20"/>
          <w:szCs w:val="20"/>
          <w:color w:val="auto"/>
        </w:rPr>
      </w:pPr>
    </w:p>
    <w:p>
      <w:pPr>
        <w:jc w:val="both"/>
        <w:ind w:left="1280" w:right="159"/>
        <w:spacing w:after="0" w:line="336" w:lineRule="auto"/>
        <w:rPr>
          <w:sz w:val="20"/>
          <w:szCs w:val="20"/>
          <w:color w:val="auto"/>
        </w:rPr>
      </w:pPr>
      <w:r>
        <w:rPr>
          <w:rFonts w:ascii="Arial" w:cs="Arial" w:eastAsia="Arial" w:hAnsi="Arial"/>
          <w:sz w:val="16"/>
          <w:szCs w:val="16"/>
          <w:color w:val="262626"/>
        </w:rPr>
        <w:t>If the Applicable AI Revenue is equal to or below the “Threshold” achievement level of $60 billion during the Performance Period, the payout percentage will be 0% and the 2025 Tan PSU Award will be forfeited in its entirety. Achievement at the “Maximum” level requires attainment of at least $120 billion in Applicable AI Revenue during the Performance Period – an increase of $100 billion over the forecasted fiscal 2025 AI Revenue. The “Maximum” achievement level also represents approximately two times our total net revenue in fiscal 2025, underscoring the formidable performance required for Mr. Tan to achieve the performance goal under the 2025 Tan PSU Award.</w:t>
      </w:r>
    </w:p>
    <w:p>
      <w:pPr>
        <w:sectPr>
          <w:pgSz w:w="11900" w:h="16838" w:orient="portrait"/>
          <w:cols w:equalWidth="0" w:num="1">
            <w:col w:w="10139"/>
          </w:cols>
          <w:pgMar w:left="320" w:top="480" w:right="1440" w:bottom="1440" w:gutter="0" w:footer="0" w:header="0"/>
        </w:sectPr>
      </w:pPr>
    </w:p>
    <w:p>
      <w:pPr>
        <w:spacing w:after="0" w:line="317"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850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215265</wp:posOffset>
            </wp:positionV>
            <wp:extent cx="5070475" cy="1840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70475" cy="184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No Overlap of Performance Periods Between 2025 Tan PSU Award and 2023 Tan PSU Award</w:t>
      </w:r>
    </w:p>
    <w:p>
      <w:pPr>
        <w:spacing w:after="0" w:line="165"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As illustrated in the graphic below, the independent directors structured the 2025 Tan PSU Award as a separate and non-overlapping LTI award covering fiscal 2028 through fiscal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99695</wp:posOffset>
            </wp:positionV>
            <wp:extent cx="4431665" cy="1176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431665" cy="117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As of the Grant Date, Mr. Tan had only one outstanding equity award – the 2023 Tan PSU Award – that was front-loaded to cover five years of annual LTI opportunity from fiscal 2023 through fiscal 2027. There is no overlap in the performance periods or annualized equity award value opportunities of the 2023 Tan PSU Award and the 2025 Tan PSU Award, and Mr. Tan is not eligible to earn payouts from both awards concurrently.</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Stockholder Engagement</w:t>
      </w:r>
    </w:p>
    <w:p>
      <w:pPr>
        <w:spacing w:after="0" w:line="260" w:lineRule="exact"/>
        <w:rPr>
          <w:sz w:val="20"/>
          <w:szCs w:val="20"/>
          <w:color w:val="auto"/>
        </w:rPr>
      </w:pPr>
    </w:p>
    <w:tbl>
      <w:tblPr>
        <w:tblLayout w:type="fixed"/>
        <w:tblInd w:w="1280" w:type="dxa"/>
        <w:tblCellMar>
          <w:top w:w="0" w:type="dxa"/>
          <w:left w:w="0" w:type="dxa"/>
          <w:bottom w:w="0" w:type="dxa"/>
          <w:right w:w="0" w:type="dxa"/>
        </w:tblCellMar>
      </w:tblPr>
      <w:tr>
        <w:trPr>
          <w:trHeight w:val="401"/>
        </w:trPr>
        <w:tc>
          <w:tcPr>
            <w:tcW w:w="2260" w:type="dxa"/>
            <w:vAlign w:val="bottom"/>
            <w:tcBorders>
              <w:right w:val="single" w:sz="8" w:color="CF0A2C"/>
            </w:tcBorders>
          </w:tcPr>
          <w:p>
            <w:pPr>
              <w:spacing w:after="0"/>
              <w:rPr>
                <w:sz w:val="20"/>
                <w:szCs w:val="20"/>
                <w:color w:val="auto"/>
              </w:rPr>
            </w:pPr>
            <w:r>
              <w:rPr>
                <w:rFonts w:ascii="Arial" w:cs="Arial" w:eastAsia="Arial" w:hAnsi="Arial"/>
                <w:sz w:val="25"/>
                <w:szCs w:val="25"/>
                <w:b w:val="1"/>
                <w:bCs w:val="1"/>
                <w:color w:val="262626"/>
              </w:rPr>
              <w:t>45%</w:t>
            </w:r>
          </w:p>
        </w:tc>
        <w:tc>
          <w:tcPr>
            <w:tcW w:w="2160" w:type="dxa"/>
            <w:vAlign w:val="bottom"/>
            <w:tcBorders>
              <w:right w:val="single" w:sz="8" w:color="CF0A2C"/>
            </w:tcBorders>
          </w:tcPr>
          <w:p>
            <w:pPr>
              <w:ind w:left="80"/>
              <w:spacing w:after="0"/>
              <w:rPr>
                <w:sz w:val="20"/>
                <w:szCs w:val="20"/>
                <w:color w:val="auto"/>
              </w:rPr>
            </w:pPr>
            <w:r>
              <w:rPr>
                <w:rFonts w:ascii="Arial" w:cs="Arial" w:eastAsia="Arial" w:hAnsi="Arial"/>
                <w:sz w:val="25"/>
                <w:szCs w:val="25"/>
                <w:b w:val="1"/>
                <w:bCs w:val="1"/>
                <w:color w:val="262626"/>
              </w:rPr>
              <w:t>38%</w:t>
            </w:r>
          </w:p>
        </w:tc>
        <w:tc>
          <w:tcPr>
            <w:tcW w:w="2200" w:type="dxa"/>
            <w:vAlign w:val="bottom"/>
            <w:tcBorders>
              <w:right w:val="single" w:sz="8" w:color="CF0A2C"/>
            </w:tcBorders>
          </w:tcPr>
          <w:p>
            <w:pPr>
              <w:ind w:left="80"/>
              <w:spacing w:after="0"/>
              <w:rPr>
                <w:sz w:val="20"/>
                <w:szCs w:val="20"/>
                <w:color w:val="auto"/>
              </w:rPr>
            </w:pPr>
            <w:r>
              <w:rPr>
                <w:rFonts w:ascii="Arial" w:cs="Arial" w:eastAsia="Arial" w:hAnsi="Arial"/>
                <w:sz w:val="25"/>
                <w:szCs w:val="25"/>
                <w:b w:val="1"/>
                <w:bCs w:val="1"/>
                <w:color w:val="262626"/>
              </w:rPr>
              <w:t>16</w:t>
            </w:r>
          </w:p>
        </w:tc>
        <w:tc>
          <w:tcPr>
            <w:tcW w:w="1800" w:type="dxa"/>
            <w:vAlign w:val="bottom"/>
            <w:vMerge w:val="restart"/>
          </w:tcPr>
          <w:p>
            <w:pPr>
              <w:ind w:left="80"/>
              <w:spacing w:after="0"/>
              <w:rPr>
                <w:sz w:val="20"/>
                <w:szCs w:val="20"/>
                <w:color w:val="auto"/>
              </w:rPr>
            </w:pPr>
            <w:r>
              <w:rPr>
                <w:rFonts w:ascii="Arial" w:cs="Arial" w:eastAsia="Arial" w:hAnsi="Arial"/>
                <w:sz w:val="16"/>
                <w:szCs w:val="16"/>
                <w:color w:val="262626"/>
              </w:rPr>
              <w:t>Engagement with</w:t>
            </w:r>
          </w:p>
        </w:tc>
        <w:tc>
          <w:tcPr>
            <w:tcW w:w="0" w:type="dxa"/>
            <w:vAlign w:val="bottom"/>
          </w:tcPr>
          <w:p>
            <w:pPr>
              <w:spacing w:after="0"/>
              <w:rPr>
                <w:sz w:val="1"/>
                <w:szCs w:val="1"/>
                <w:color w:val="auto"/>
              </w:rPr>
            </w:pPr>
          </w:p>
        </w:tc>
      </w:tr>
      <w:tr>
        <w:trPr>
          <w:trHeight w:val="67"/>
        </w:trPr>
        <w:tc>
          <w:tcPr>
            <w:tcW w:w="2260" w:type="dxa"/>
            <w:vAlign w:val="bottom"/>
            <w:tcBorders>
              <w:right w:val="single" w:sz="8" w:color="CF0A2C"/>
            </w:tcBorders>
          </w:tcPr>
          <w:p>
            <w:pPr>
              <w:spacing w:after="0"/>
              <w:rPr>
                <w:sz w:val="5"/>
                <w:szCs w:val="5"/>
                <w:color w:val="auto"/>
              </w:rPr>
            </w:pPr>
          </w:p>
        </w:tc>
        <w:tc>
          <w:tcPr>
            <w:tcW w:w="2160" w:type="dxa"/>
            <w:vAlign w:val="bottom"/>
            <w:tcBorders>
              <w:right w:val="single" w:sz="8" w:color="CF0A2C"/>
            </w:tcBorders>
          </w:tcPr>
          <w:p>
            <w:pPr>
              <w:spacing w:after="0"/>
              <w:rPr>
                <w:sz w:val="5"/>
                <w:szCs w:val="5"/>
                <w:color w:val="auto"/>
              </w:rPr>
            </w:pPr>
          </w:p>
        </w:tc>
        <w:tc>
          <w:tcPr>
            <w:tcW w:w="2200" w:type="dxa"/>
            <w:vAlign w:val="bottom"/>
            <w:tcBorders>
              <w:right w:val="single" w:sz="8" w:color="CF0A2C"/>
            </w:tcBorders>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260" w:type="dxa"/>
            <w:vAlign w:val="bottom"/>
            <w:tcBorders>
              <w:right w:val="single" w:sz="8" w:color="CF0A2C"/>
            </w:tcBorders>
            <w:vMerge w:val="restart"/>
          </w:tcPr>
          <w:p>
            <w:pPr>
              <w:spacing w:after="0"/>
              <w:rPr>
                <w:sz w:val="20"/>
                <w:szCs w:val="20"/>
                <w:color w:val="auto"/>
              </w:rPr>
            </w:pPr>
            <w:r>
              <w:rPr>
                <w:rFonts w:ascii="Arial" w:cs="Arial" w:eastAsia="Arial" w:hAnsi="Arial"/>
                <w:sz w:val="16"/>
                <w:szCs w:val="16"/>
                <w:color w:val="262626"/>
              </w:rPr>
              <w:t>Stockholders representing</w:t>
            </w:r>
          </w:p>
        </w:tc>
        <w:tc>
          <w:tcPr>
            <w:tcW w:w="2160" w:type="dxa"/>
            <w:vAlign w:val="bottom"/>
            <w:tcBorders>
              <w:right w:val="single" w:sz="8" w:color="CF0A2C"/>
            </w:tcBorders>
            <w:vMerge w:val="restart"/>
          </w:tcPr>
          <w:p>
            <w:pPr>
              <w:ind w:left="80"/>
              <w:spacing w:after="0"/>
              <w:rPr>
                <w:sz w:val="20"/>
                <w:szCs w:val="20"/>
                <w:color w:val="auto"/>
              </w:rPr>
            </w:pPr>
            <w:r>
              <w:rPr>
                <w:rFonts w:ascii="Arial" w:cs="Arial" w:eastAsia="Arial" w:hAnsi="Arial"/>
                <w:sz w:val="16"/>
                <w:szCs w:val="16"/>
                <w:color w:val="262626"/>
              </w:rPr>
              <w:t>Stockholders representing</w:t>
            </w:r>
          </w:p>
        </w:tc>
        <w:tc>
          <w:tcPr>
            <w:tcW w:w="2200" w:type="dxa"/>
            <w:vAlign w:val="bottom"/>
            <w:tcBorders>
              <w:right w:val="single" w:sz="8" w:color="CF0A2C"/>
            </w:tcBorders>
            <w:vMerge w:val="restart"/>
          </w:tcPr>
          <w:p>
            <w:pPr>
              <w:ind w:left="80"/>
              <w:spacing w:after="0"/>
              <w:rPr>
                <w:sz w:val="20"/>
                <w:szCs w:val="20"/>
                <w:color w:val="auto"/>
              </w:rPr>
            </w:pPr>
            <w:r>
              <w:rPr>
                <w:rFonts w:ascii="Arial" w:cs="Arial" w:eastAsia="Arial" w:hAnsi="Arial"/>
                <w:sz w:val="16"/>
                <w:szCs w:val="16"/>
                <w:color w:val="262626"/>
              </w:rPr>
              <w:t>Our Compensation</w:t>
            </w:r>
          </w:p>
        </w:tc>
        <w:tc>
          <w:tcPr>
            <w:tcW w:w="1800" w:type="dxa"/>
            <w:vAlign w:val="bottom"/>
          </w:tcPr>
          <w:p>
            <w:pPr>
              <w:ind w:left="80"/>
              <w:spacing w:after="0"/>
              <w:rPr>
                <w:sz w:val="20"/>
                <w:szCs w:val="20"/>
                <w:color w:val="auto"/>
              </w:rPr>
            </w:pPr>
            <w:r>
              <w:rPr>
                <w:rFonts w:ascii="Arial" w:cs="Arial" w:eastAsia="Arial" w:hAnsi="Arial"/>
                <w:sz w:val="16"/>
                <w:szCs w:val="16"/>
                <w:color w:val="262626"/>
                <w:w w:val="98"/>
              </w:rPr>
              <w:t>Institutional Shareholder</w:t>
            </w:r>
          </w:p>
        </w:tc>
        <w:tc>
          <w:tcPr>
            <w:tcW w:w="0" w:type="dxa"/>
            <w:vAlign w:val="bottom"/>
          </w:tcPr>
          <w:p>
            <w:pPr>
              <w:spacing w:after="0"/>
              <w:rPr>
                <w:sz w:val="1"/>
                <w:szCs w:val="1"/>
                <w:color w:val="auto"/>
              </w:rPr>
            </w:pPr>
          </w:p>
        </w:tc>
      </w:tr>
      <w:tr>
        <w:trPr>
          <w:trHeight w:val="94"/>
        </w:trPr>
        <w:tc>
          <w:tcPr>
            <w:tcW w:w="2260" w:type="dxa"/>
            <w:vAlign w:val="bottom"/>
            <w:tcBorders>
              <w:right w:val="single" w:sz="8" w:color="CF0A2C"/>
            </w:tcBorders>
            <w:vMerge w:val="continue"/>
          </w:tcPr>
          <w:p>
            <w:pPr>
              <w:spacing w:after="0"/>
              <w:rPr>
                <w:sz w:val="8"/>
                <w:szCs w:val="8"/>
                <w:color w:val="auto"/>
              </w:rPr>
            </w:pPr>
          </w:p>
        </w:tc>
        <w:tc>
          <w:tcPr>
            <w:tcW w:w="2160" w:type="dxa"/>
            <w:vAlign w:val="bottom"/>
            <w:tcBorders>
              <w:right w:val="single" w:sz="8" w:color="CF0A2C"/>
            </w:tcBorders>
            <w:vMerge w:val="continue"/>
          </w:tcPr>
          <w:p>
            <w:pPr>
              <w:spacing w:after="0"/>
              <w:rPr>
                <w:sz w:val="8"/>
                <w:szCs w:val="8"/>
                <w:color w:val="auto"/>
              </w:rPr>
            </w:pPr>
          </w:p>
        </w:tc>
        <w:tc>
          <w:tcPr>
            <w:tcW w:w="2200" w:type="dxa"/>
            <w:vAlign w:val="bottom"/>
            <w:tcBorders>
              <w:right w:val="single" w:sz="8" w:color="CF0A2C"/>
            </w:tcBorders>
            <w:vMerge w:val="continue"/>
          </w:tcPr>
          <w:p>
            <w:pPr>
              <w:spacing w:after="0"/>
              <w:rPr>
                <w:sz w:val="8"/>
                <w:szCs w:val="8"/>
                <w:color w:val="auto"/>
              </w:rPr>
            </w:pPr>
          </w:p>
        </w:tc>
        <w:tc>
          <w:tcPr>
            <w:tcW w:w="1800" w:type="dxa"/>
            <w:vAlign w:val="bottom"/>
            <w:vMerge w:val="restart"/>
          </w:tcPr>
          <w:p>
            <w:pPr>
              <w:ind w:left="80"/>
              <w:spacing w:after="0"/>
              <w:rPr>
                <w:sz w:val="20"/>
                <w:szCs w:val="20"/>
                <w:color w:val="auto"/>
              </w:rPr>
            </w:pPr>
            <w:r>
              <w:rPr>
                <w:rFonts w:ascii="Arial" w:cs="Arial" w:eastAsia="Arial" w:hAnsi="Arial"/>
                <w:sz w:val="16"/>
                <w:szCs w:val="16"/>
                <w:color w:val="262626"/>
              </w:rPr>
              <w:t>Services Inc. and</w:t>
            </w:r>
          </w:p>
        </w:tc>
        <w:tc>
          <w:tcPr>
            <w:tcW w:w="0" w:type="dxa"/>
            <w:vAlign w:val="bottom"/>
          </w:tcPr>
          <w:p>
            <w:pPr>
              <w:spacing w:after="0"/>
              <w:rPr>
                <w:sz w:val="1"/>
                <w:szCs w:val="1"/>
                <w:color w:val="auto"/>
              </w:rPr>
            </w:pPr>
          </w:p>
        </w:tc>
      </w:tr>
      <w:tr>
        <w:trPr>
          <w:trHeight w:val="161"/>
        </w:trPr>
        <w:tc>
          <w:tcPr>
            <w:tcW w:w="2260" w:type="dxa"/>
            <w:vAlign w:val="bottom"/>
            <w:tcBorders>
              <w:right w:val="single" w:sz="8" w:color="CF0A2C"/>
            </w:tcBorders>
            <w:vMerge w:val="restart"/>
          </w:tcPr>
          <w:p>
            <w:pPr>
              <w:spacing w:after="0"/>
              <w:rPr>
                <w:sz w:val="20"/>
                <w:szCs w:val="20"/>
                <w:color w:val="auto"/>
              </w:rPr>
            </w:pPr>
            <w:r>
              <w:rPr>
                <w:rFonts w:ascii="Arial" w:cs="Arial" w:eastAsia="Arial" w:hAnsi="Arial"/>
                <w:sz w:val="16"/>
                <w:szCs w:val="16"/>
                <w:color w:val="262626"/>
              </w:rPr>
              <w:t>45% of common stock were</w:t>
            </w:r>
          </w:p>
        </w:tc>
        <w:tc>
          <w:tcPr>
            <w:tcW w:w="2160" w:type="dxa"/>
            <w:vAlign w:val="bottom"/>
            <w:tcBorders>
              <w:right w:val="single" w:sz="8" w:color="CF0A2C"/>
            </w:tcBorders>
            <w:vMerge w:val="restart"/>
          </w:tcPr>
          <w:p>
            <w:pPr>
              <w:ind w:left="80"/>
              <w:spacing w:after="0"/>
              <w:rPr>
                <w:sz w:val="20"/>
                <w:szCs w:val="20"/>
                <w:color w:val="auto"/>
              </w:rPr>
            </w:pPr>
            <w:r>
              <w:rPr>
                <w:rFonts w:ascii="Arial" w:cs="Arial" w:eastAsia="Arial" w:hAnsi="Arial"/>
                <w:sz w:val="16"/>
                <w:szCs w:val="16"/>
                <w:color w:val="262626"/>
              </w:rPr>
              <w:t>38% of common stock</w:t>
            </w:r>
          </w:p>
        </w:tc>
        <w:tc>
          <w:tcPr>
            <w:tcW w:w="2200" w:type="dxa"/>
            <w:vAlign w:val="bottom"/>
            <w:tcBorders>
              <w:right w:val="single" w:sz="8" w:color="CF0A2C"/>
            </w:tcBorders>
            <w:vMerge w:val="restart"/>
          </w:tcPr>
          <w:p>
            <w:pPr>
              <w:ind w:left="80"/>
              <w:spacing w:after="0"/>
              <w:rPr>
                <w:sz w:val="20"/>
                <w:szCs w:val="20"/>
                <w:color w:val="auto"/>
              </w:rPr>
            </w:pPr>
            <w:r>
              <w:rPr>
                <w:rFonts w:ascii="Arial" w:cs="Arial" w:eastAsia="Arial" w:hAnsi="Arial"/>
                <w:sz w:val="16"/>
                <w:szCs w:val="16"/>
                <w:color w:val="262626"/>
              </w:rPr>
              <w:t>Committee Chair</w:t>
            </w: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260" w:type="dxa"/>
            <w:vAlign w:val="bottom"/>
            <w:tcBorders>
              <w:right w:val="single" w:sz="8" w:color="CF0A2C"/>
            </w:tcBorders>
            <w:vMerge w:val="continue"/>
          </w:tcPr>
          <w:p>
            <w:pPr>
              <w:spacing w:after="0"/>
              <w:rPr>
                <w:sz w:val="7"/>
                <w:szCs w:val="7"/>
                <w:color w:val="auto"/>
              </w:rPr>
            </w:pPr>
          </w:p>
        </w:tc>
        <w:tc>
          <w:tcPr>
            <w:tcW w:w="2160" w:type="dxa"/>
            <w:vAlign w:val="bottom"/>
            <w:tcBorders>
              <w:right w:val="single" w:sz="8" w:color="CF0A2C"/>
            </w:tcBorders>
            <w:vMerge w:val="continue"/>
          </w:tcPr>
          <w:p>
            <w:pPr>
              <w:spacing w:after="0"/>
              <w:rPr>
                <w:sz w:val="7"/>
                <w:szCs w:val="7"/>
                <w:color w:val="auto"/>
              </w:rPr>
            </w:pPr>
          </w:p>
        </w:tc>
        <w:tc>
          <w:tcPr>
            <w:tcW w:w="2200" w:type="dxa"/>
            <w:vAlign w:val="bottom"/>
            <w:tcBorders>
              <w:right w:val="single" w:sz="8" w:color="CF0A2C"/>
            </w:tcBorders>
            <w:vMerge w:val="continue"/>
          </w:tcPr>
          <w:p>
            <w:pPr>
              <w:spacing w:after="0"/>
              <w:rPr>
                <w:sz w:val="7"/>
                <w:szCs w:val="7"/>
                <w:color w:val="auto"/>
              </w:rPr>
            </w:pPr>
          </w:p>
        </w:tc>
        <w:tc>
          <w:tcPr>
            <w:tcW w:w="1800" w:type="dxa"/>
            <w:vAlign w:val="bottom"/>
            <w:vMerge w:val="restart"/>
          </w:tcPr>
          <w:p>
            <w:pPr>
              <w:ind w:left="80"/>
              <w:spacing w:after="0"/>
              <w:rPr>
                <w:sz w:val="20"/>
                <w:szCs w:val="20"/>
                <w:color w:val="auto"/>
              </w:rPr>
            </w:pPr>
            <w:r>
              <w:rPr>
                <w:rFonts w:ascii="Arial" w:cs="Arial" w:eastAsia="Arial" w:hAnsi="Arial"/>
                <w:sz w:val="16"/>
                <w:szCs w:val="16"/>
                <w:color w:val="262626"/>
              </w:rPr>
              <w:t>Glass Lewis &amp; Co.</w:t>
            </w:r>
          </w:p>
        </w:tc>
        <w:tc>
          <w:tcPr>
            <w:tcW w:w="0" w:type="dxa"/>
            <w:vAlign w:val="bottom"/>
          </w:tcPr>
          <w:p>
            <w:pPr>
              <w:spacing w:after="0"/>
              <w:rPr>
                <w:sz w:val="1"/>
                <w:szCs w:val="1"/>
                <w:color w:val="auto"/>
              </w:rPr>
            </w:pPr>
          </w:p>
        </w:tc>
      </w:tr>
      <w:tr>
        <w:trPr>
          <w:trHeight w:val="174"/>
        </w:trPr>
        <w:tc>
          <w:tcPr>
            <w:tcW w:w="2260" w:type="dxa"/>
            <w:vAlign w:val="bottom"/>
            <w:tcBorders>
              <w:right w:val="single" w:sz="8" w:color="CF0A2C"/>
            </w:tcBorders>
            <w:vMerge w:val="restart"/>
          </w:tcPr>
          <w:p>
            <w:pPr>
              <w:spacing w:after="0"/>
              <w:rPr>
                <w:sz w:val="20"/>
                <w:szCs w:val="20"/>
                <w:color w:val="auto"/>
              </w:rPr>
            </w:pPr>
            <w:r>
              <w:rPr>
                <w:rFonts w:ascii="Arial" w:cs="Arial" w:eastAsia="Arial" w:hAnsi="Arial"/>
                <w:sz w:val="16"/>
                <w:szCs w:val="16"/>
                <w:color w:val="262626"/>
              </w:rPr>
              <w:t>contacted</w:t>
            </w:r>
          </w:p>
        </w:tc>
        <w:tc>
          <w:tcPr>
            <w:tcW w:w="2160" w:type="dxa"/>
            <w:vAlign w:val="bottom"/>
            <w:tcBorders>
              <w:right w:val="single" w:sz="8" w:color="CF0A2C"/>
            </w:tcBorders>
            <w:vMerge w:val="restart"/>
          </w:tcPr>
          <w:p>
            <w:pPr>
              <w:ind w:left="80"/>
              <w:spacing w:after="0"/>
              <w:rPr>
                <w:sz w:val="20"/>
                <w:szCs w:val="20"/>
                <w:color w:val="auto"/>
              </w:rPr>
            </w:pPr>
            <w:r>
              <w:rPr>
                <w:rFonts w:ascii="Arial" w:cs="Arial" w:eastAsia="Arial" w:hAnsi="Arial"/>
                <w:sz w:val="16"/>
                <w:szCs w:val="16"/>
                <w:color w:val="262626"/>
              </w:rPr>
              <w:t>provided feedback</w:t>
            </w:r>
          </w:p>
        </w:tc>
        <w:tc>
          <w:tcPr>
            <w:tcW w:w="2200" w:type="dxa"/>
            <w:vAlign w:val="bottom"/>
            <w:tcBorders>
              <w:right w:val="single" w:sz="8" w:color="CF0A2C"/>
            </w:tcBorders>
            <w:vMerge w:val="restart"/>
          </w:tcPr>
          <w:p>
            <w:pPr>
              <w:ind w:left="80"/>
              <w:spacing w:after="0"/>
              <w:rPr>
                <w:sz w:val="20"/>
                <w:szCs w:val="20"/>
                <w:color w:val="auto"/>
              </w:rPr>
            </w:pPr>
            <w:r>
              <w:rPr>
                <w:rFonts w:ascii="Arial" w:cs="Arial" w:eastAsia="Arial" w:hAnsi="Arial"/>
                <w:sz w:val="16"/>
                <w:szCs w:val="16"/>
                <w:color w:val="262626"/>
              </w:rPr>
              <w:t>participated in 16 meetings</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260" w:type="dxa"/>
            <w:vAlign w:val="bottom"/>
            <w:tcBorders>
              <w:right w:val="single" w:sz="8" w:color="CF0A2C"/>
            </w:tcBorders>
            <w:vMerge w:val="continue"/>
          </w:tcPr>
          <w:p>
            <w:pPr>
              <w:spacing w:after="0"/>
              <w:rPr>
                <w:sz w:val="7"/>
                <w:szCs w:val="7"/>
                <w:color w:val="auto"/>
              </w:rPr>
            </w:pPr>
          </w:p>
        </w:tc>
        <w:tc>
          <w:tcPr>
            <w:tcW w:w="2160" w:type="dxa"/>
            <w:vAlign w:val="bottom"/>
            <w:tcBorders>
              <w:right w:val="single" w:sz="8" w:color="CF0A2C"/>
            </w:tcBorders>
            <w:vMerge w:val="continue"/>
          </w:tcPr>
          <w:p>
            <w:pPr>
              <w:spacing w:after="0"/>
              <w:rPr>
                <w:sz w:val="7"/>
                <w:szCs w:val="7"/>
                <w:color w:val="auto"/>
              </w:rPr>
            </w:pPr>
          </w:p>
        </w:tc>
        <w:tc>
          <w:tcPr>
            <w:tcW w:w="2200" w:type="dxa"/>
            <w:vAlign w:val="bottom"/>
            <w:tcBorders>
              <w:right w:val="single" w:sz="8" w:color="CF0A2C"/>
            </w:tcBorders>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260" w:type="dxa"/>
            <w:vAlign w:val="bottom"/>
            <w:tcBorders>
              <w:right w:val="single" w:sz="8" w:color="CF0A2C"/>
            </w:tcBorders>
          </w:tcPr>
          <w:p>
            <w:pPr>
              <w:spacing w:after="0"/>
              <w:rPr>
                <w:sz w:val="22"/>
                <w:szCs w:val="22"/>
                <w:color w:val="auto"/>
              </w:rPr>
            </w:pPr>
          </w:p>
        </w:tc>
        <w:tc>
          <w:tcPr>
            <w:tcW w:w="2160" w:type="dxa"/>
            <w:vAlign w:val="bottom"/>
            <w:tcBorders>
              <w:right w:val="single" w:sz="8" w:color="CF0A2C"/>
            </w:tcBorders>
          </w:tcPr>
          <w:p>
            <w:pPr>
              <w:spacing w:after="0"/>
              <w:rPr>
                <w:sz w:val="22"/>
                <w:szCs w:val="22"/>
                <w:color w:val="auto"/>
              </w:rPr>
            </w:pPr>
          </w:p>
        </w:tc>
        <w:tc>
          <w:tcPr>
            <w:tcW w:w="2200" w:type="dxa"/>
            <w:vAlign w:val="bottom"/>
            <w:tcBorders>
              <w:right w:val="single" w:sz="8" w:color="CF0A2C"/>
            </w:tcBorders>
          </w:tcPr>
          <w:p>
            <w:pPr>
              <w:ind w:left="80"/>
              <w:spacing w:after="0"/>
              <w:rPr>
                <w:sz w:val="20"/>
                <w:szCs w:val="20"/>
                <w:color w:val="auto"/>
              </w:rPr>
            </w:pPr>
            <w:r>
              <w:rPr>
                <w:rFonts w:ascii="Arial" w:cs="Arial" w:eastAsia="Arial" w:hAnsi="Arial"/>
                <w:sz w:val="16"/>
                <w:szCs w:val="16"/>
                <w:color w:val="262626"/>
              </w:rPr>
              <w:t>with stockholders</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2260" w:type="dxa"/>
            <w:vAlign w:val="bottom"/>
            <w:tcBorders>
              <w:right w:val="single" w:sz="8" w:color="CF0A2C"/>
            </w:tcBorders>
          </w:tcPr>
          <w:p>
            <w:pPr>
              <w:spacing w:after="0"/>
              <w:rPr>
                <w:sz w:val="3"/>
                <w:szCs w:val="3"/>
                <w:color w:val="auto"/>
              </w:rPr>
            </w:pPr>
          </w:p>
        </w:tc>
        <w:tc>
          <w:tcPr>
            <w:tcW w:w="2160" w:type="dxa"/>
            <w:vAlign w:val="bottom"/>
            <w:tcBorders>
              <w:right w:val="single" w:sz="8" w:color="CF0A2C"/>
            </w:tcBorders>
          </w:tcPr>
          <w:p>
            <w:pPr>
              <w:spacing w:after="0"/>
              <w:rPr>
                <w:sz w:val="3"/>
                <w:szCs w:val="3"/>
                <w:color w:val="auto"/>
              </w:rPr>
            </w:pPr>
          </w:p>
        </w:tc>
        <w:tc>
          <w:tcPr>
            <w:tcW w:w="2200" w:type="dxa"/>
            <w:vAlign w:val="bottom"/>
            <w:tcBorders>
              <w:right w:val="single" w:sz="8" w:color="CF0A2C"/>
            </w:tcBorders>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1280" w:right="159"/>
        <w:spacing w:after="0" w:line="336" w:lineRule="auto"/>
        <w:rPr>
          <w:sz w:val="20"/>
          <w:szCs w:val="20"/>
          <w:color w:val="auto"/>
        </w:rPr>
      </w:pPr>
      <w:r>
        <w:rPr>
          <w:rFonts w:ascii="Arial" w:cs="Arial" w:eastAsia="Arial" w:hAnsi="Arial"/>
          <w:sz w:val="16"/>
          <w:szCs w:val="16"/>
          <w:color w:val="262626"/>
        </w:rPr>
        <w:t>Following our disclosure of the 2025 Tan PSU Award in the Current Report on Form 8-K filed in September 2025, we proactively contacted our top stockholders representing 45% of common stock outstanding, as well as proxy advisory firms Institutional Shareholder Services (“ISS”) and Glass Lewis. Our Compensation Committee Chair, on behalf of the independent directors, and representatives from the management engagement team held 16 meetings with stockholders representing 38% of common stock outstanding, as well as ISS and Glass Lewis, from September 2025 through December 2025.</w:t>
      </w:r>
    </w:p>
    <w:p>
      <w:pPr>
        <w:spacing w:after="0" w:line="105" w:lineRule="exact"/>
        <w:rPr>
          <w:sz w:val="20"/>
          <w:szCs w:val="20"/>
          <w:color w:val="auto"/>
        </w:rPr>
      </w:pPr>
    </w:p>
    <w:p>
      <w:pPr>
        <w:jc w:val="both"/>
        <w:ind w:left="1280" w:right="159"/>
        <w:spacing w:after="0" w:line="343" w:lineRule="auto"/>
        <w:rPr>
          <w:sz w:val="20"/>
          <w:szCs w:val="20"/>
          <w:color w:val="auto"/>
        </w:rPr>
      </w:pPr>
      <w:r>
        <w:rPr>
          <w:rFonts w:ascii="Arial" w:cs="Arial" w:eastAsia="Arial" w:hAnsi="Arial"/>
          <w:sz w:val="16"/>
          <w:szCs w:val="16"/>
          <w:color w:val="262626"/>
        </w:rPr>
        <w:t>In these meetings, our Compensation Committee Chair explained the rationale of the independent directors for retaining Mr. Tan through fiscal 2030 and granting the 2025 Tan PSU Award, responded to stockholder inquiries and obtained additional feedback from our stockholders.</w:t>
      </w:r>
    </w:p>
    <w:p>
      <w:pPr>
        <w:spacing w:after="0" w:line="110"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All of the stockholders we met with expressed appreciation for the opportunity to discuss the 2025 Tan PSU Award and to continue the discussion regarding the Board’s approach to CEO succession planning in advance of the Annual Meeting. These stockholders also acknowledged the importance of Mr. Tan’s continued leadership to sustain the long-term value creation for both Broadcom and our stockholders while the technology industry undergoes a profound transformation due to AI.</w:t>
      </w:r>
    </w:p>
    <w:p>
      <w:pPr>
        <w:sectPr>
          <w:pgSz w:w="11900" w:h="16838" w:orient="portrait"/>
          <w:cols w:equalWidth="0" w:num="1">
            <w:col w:w="10139"/>
          </w:cols>
          <w:pgMar w:left="320" w:top="480" w:right="1440" w:bottom="1440" w:gutter="0" w:footer="0" w:header="0"/>
        </w:sectPr>
      </w:pPr>
    </w:p>
    <w:p>
      <w:pPr>
        <w:spacing w:after="0" w:line="89"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ind w:left="1280" w:right="179"/>
        <w:spacing w:after="0" w:line="353" w:lineRule="auto"/>
        <w:rPr>
          <w:sz w:val="20"/>
          <w:szCs w:val="20"/>
          <w:color w:val="auto"/>
        </w:rPr>
      </w:pPr>
      <w:r>
        <w:rPr>
          <w:rFonts w:ascii="Arial" w:cs="Arial" w:eastAsia="Arial" w:hAnsi="Arial"/>
          <w:sz w:val="16"/>
          <w:szCs w:val="16"/>
          <w:color w:val="262626"/>
        </w:rPr>
        <w:t>The stockholders we met raised similar questions regarding the 2025 Tan PSU Award. Below are the questions asked by our stockholders and the responses provided during the engagement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116840</wp:posOffset>
            </wp:positionV>
            <wp:extent cx="5522595" cy="64084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22595" cy="6408420"/>
                    </a:xfrm>
                    <a:prstGeom prst="rect">
                      <a:avLst/>
                    </a:prstGeom>
                    <a:noFill/>
                  </pic:spPr>
                </pic:pic>
              </a:graphicData>
            </a:graphic>
          </wp:anchor>
        </w:drawing>
      </w:r>
    </w:p>
    <w:p>
      <w:pPr>
        <w:spacing w:after="0" w:line="311" w:lineRule="exact"/>
        <w:rPr>
          <w:sz w:val="20"/>
          <w:szCs w:val="20"/>
          <w:color w:val="auto"/>
        </w:rPr>
      </w:pPr>
    </w:p>
    <w:p>
      <w:pPr>
        <w:ind w:left="1720" w:right="299" w:hanging="439"/>
        <w:spacing w:after="0" w:line="371" w:lineRule="auto"/>
        <w:tabs>
          <w:tab w:leader="none" w:pos="1700" w:val="left"/>
        </w:tabs>
        <w:rPr>
          <w:sz w:val="20"/>
          <w:szCs w:val="20"/>
          <w:color w:val="auto"/>
        </w:rPr>
      </w:pPr>
      <w:r>
        <w:rPr>
          <w:rFonts w:ascii="Arial" w:cs="Arial" w:eastAsia="Arial" w:hAnsi="Arial"/>
          <w:sz w:val="16"/>
          <w:szCs w:val="16"/>
          <w:b w:val="1"/>
          <w:bCs w:val="1"/>
          <w:color w:val="CF0A2C"/>
        </w:rPr>
        <w:t> Q:</w:t>
      </w:r>
      <w:r>
        <w:rPr>
          <w:sz w:val="20"/>
          <w:szCs w:val="20"/>
          <w:color w:val="auto"/>
        </w:rPr>
        <w:tab/>
      </w:r>
      <w:r>
        <w:rPr>
          <w:rFonts w:ascii="Arial" w:cs="Arial" w:eastAsia="Arial" w:hAnsi="Arial"/>
          <w:sz w:val="16"/>
          <w:szCs w:val="16"/>
          <w:color w:val="262626"/>
        </w:rPr>
        <w:t>Why did the independent directors grant an equity award to Mr. Tan in September 2025 when Mr. Tan was granted the 2023 Tan PSU Award in fiscal 2023?</w:t>
      </w:r>
    </w:p>
    <w:p>
      <w:pPr>
        <w:spacing w:after="0" w:line="169" w:lineRule="exact"/>
        <w:rPr>
          <w:sz w:val="20"/>
          <w:szCs w:val="20"/>
          <w:color w:val="auto"/>
        </w:rPr>
      </w:pPr>
    </w:p>
    <w:p>
      <w:pPr>
        <w:ind w:left="1720" w:right="199" w:hanging="439"/>
        <w:spacing w:after="0" w:line="333" w:lineRule="auto"/>
        <w:tabs>
          <w:tab w:leader="none" w:pos="1700" w:val="left"/>
        </w:tabs>
        <w:rPr>
          <w:sz w:val="20"/>
          <w:szCs w:val="20"/>
          <w:color w:val="auto"/>
        </w:rPr>
      </w:pPr>
      <w:r>
        <w:rPr>
          <w:rFonts w:ascii="Arial" w:cs="Arial" w:eastAsia="Arial" w:hAnsi="Arial"/>
          <w:sz w:val="16"/>
          <w:szCs w:val="16"/>
          <w:b w:val="1"/>
          <w:bCs w:val="1"/>
          <w:color w:val="CF0A2C"/>
        </w:rPr>
        <w:t> A:</w:t>
      </w:r>
      <w:r>
        <w:rPr>
          <w:sz w:val="20"/>
          <w:szCs w:val="20"/>
          <w:color w:val="auto"/>
        </w:rPr>
        <w:tab/>
      </w:r>
      <w:r>
        <w:rPr>
          <w:rFonts w:ascii="Arial" w:cs="Arial" w:eastAsia="Arial" w:hAnsi="Arial"/>
          <w:sz w:val="16"/>
          <w:szCs w:val="16"/>
          <w:color w:val="262626"/>
        </w:rPr>
        <w:t>Prior to the 2025 Tan PSU Award grant, the 2023 Tan PSU Award was Mr. Tan’s only outstanding equity award and that award is scheduled to vest on October 31, 2027. For Broadcom to successfully compete in a highly competitive technology industry that is undergoing a profound transformation due to AI, the independent directors believe it is in the best interests of Broadcom and our stockholders to retain Mr. Tan through fiscal 2030. In addition, our top stockholders expressed overwhelming support in retaining Mr. Tan beyond fiscal 2027.</w:t>
      </w:r>
    </w:p>
    <w:p>
      <w:pPr>
        <w:spacing w:after="0" w:line="213"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16"/>
          <w:szCs w:val="16"/>
          <w:b w:val="1"/>
          <w:bCs w:val="1"/>
          <w:color w:val="CF0A2C"/>
        </w:rPr>
        <w:t> Q:</w:t>
      </w:r>
      <w:r>
        <w:rPr>
          <w:sz w:val="20"/>
          <w:szCs w:val="20"/>
          <w:color w:val="auto"/>
        </w:rPr>
        <w:tab/>
      </w:r>
      <w:r>
        <w:rPr>
          <w:rFonts w:ascii="Arial" w:cs="Arial" w:eastAsia="Arial" w:hAnsi="Arial"/>
          <w:sz w:val="16"/>
          <w:szCs w:val="16"/>
          <w:color w:val="262626"/>
        </w:rPr>
        <w:t>Is the 2023 Tan PSU Award now subject to a post-vesting holding requirement?</w:t>
      </w:r>
    </w:p>
    <w:p>
      <w:pPr>
        <w:spacing w:after="0" w:line="205" w:lineRule="exact"/>
        <w:rPr>
          <w:sz w:val="20"/>
          <w:szCs w:val="20"/>
          <w:color w:val="auto"/>
        </w:rPr>
      </w:pPr>
    </w:p>
    <w:p>
      <w:pPr>
        <w:jc w:val="both"/>
        <w:ind w:left="1720" w:right="239" w:hanging="439"/>
        <w:spacing w:after="0" w:line="343" w:lineRule="auto"/>
        <w:tabs>
          <w:tab w:leader="none" w:pos="1700" w:val="left"/>
        </w:tabs>
        <w:rPr>
          <w:sz w:val="20"/>
          <w:szCs w:val="20"/>
          <w:color w:val="auto"/>
        </w:rPr>
      </w:pPr>
      <w:r>
        <w:rPr>
          <w:rFonts w:ascii="Arial" w:cs="Arial" w:eastAsia="Arial" w:hAnsi="Arial"/>
          <w:sz w:val="16"/>
          <w:szCs w:val="16"/>
          <w:b w:val="1"/>
          <w:bCs w:val="1"/>
          <w:color w:val="CF0A2C"/>
        </w:rPr>
        <w:t> A:</w:t>
      </w:r>
      <w:r>
        <w:rPr>
          <w:sz w:val="20"/>
          <w:szCs w:val="20"/>
          <w:color w:val="auto"/>
        </w:rPr>
        <w:tab/>
      </w:r>
      <w:r>
        <w:rPr>
          <w:rFonts w:ascii="Arial" w:cs="Arial" w:eastAsia="Arial" w:hAnsi="Arial"/>
          <w:sz w:val="16"/>
          <w:szCs w:val="16"/>
          <w:color w:val="262626"/>
        </w:rPr>
        <w:t>Yes. Mr. Tan agreed to a post-vesting holding requirement through fiscal 2030 with respect to the Non-Transferable Shares. If Mr. Tan voluntarily terminates his employment without good reason, the post-vesting holding requirement is extended through fiscal 2032 with respect to the Non-Transferable Shares.</w:t>
      </w:r>
    </w:p>
    <w:p>
      <w:pPr>
        <w:spacing w:after="0" w:line="204"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16"/>
          <w:szCs w:val="16"/>
          <w:b w:val="1"/>
          <w:bCs w:val="1"/>
          <w:color w:val="CF0A2C"/>
        </w:rPr>
        <w:t> Q:</w:t>
      </w:r>
      <w:r>
        <w:rPr>
          <w:sz w:val="20"/>
          <w:szCs w:val="20"/>
          <w:color w:val="auto"/>
        </w:rPr>
        <w:tab/>
      </w:r>
      <w:r>
        <w:rPr>
          <w:rFonts w:ascii="Arial" w:cs="Arial" w:eastAsia="Arial" w:hAnsi="Arial"/>
          <w:sz w:val="16"/>
          <w:szCs w:val="16"/>
          <w:color w:val="262626"/>
        </w:rPr>
        <w:t>Does the 2025 Tan PSU Award overlap with the 2023 Tan PSU Award?</w:t>
      </w:r>
    </w:p>
    <w:p>
      <w:pPr>
        <w:spacing w:after="0" w:line="205"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16"/>
          <w:szCs w:val="16"/>
          <w:b w:val="1"/>
          <w:bCs w:val="1"/>
          <w:color w:val="CF0A2C"/>
        </w:rPr>
        <w:t> A:</w:t>
      </w:r>
      <w:r>
        <w:rPr>
          <w:sz w:val="20"/>
          <w:szCs w:val="20"/>
          <w:color w:val="auto"/>
        </w:rPr>
        <w:tab/>
      </w:r>
      <w:r>
        <w:rPr>
          <w:rFonts w:ascii="Arial" w:cs="Arial" w:eastAsia="Arial" w:hAnsi="Arial"/>
          <w:sz w:val="16"/>
          <w:szCs w:val="16"/>
          <w:color w:val="262626"/>
        </w:rPr>
        <w:t>No. There is no performance or vesting period overlap. These are two separate PSU awards.</w:t>
      </w:r>
    </w:p>
    <w:p>
      <w:pPr>
        <w:spacing w:after="0" w:line="313" w:lineRule="exact"/>
        <w:rPr>
          <w:sz w:val="20"/>
          <w:szCs w:val="20"/>
          <w:color w:val="auto"/>
        </w:rPr>
      </w:pPr>
    </w:p>
    <w:p>
      <w:pPr>
        <w:ind w:left="1280"/>
        <w:spacing w:after="0"/>
        <w:tabs>
          <w:tab w:leader="none" w:pos="1700" w:val="left"/>
        </w:tabs>
        <w:rPr>
          <w:sz w:val="20"/>
          <w:szCs w:val="20"/>
          <w:color w:val="auto"/>
        </w:rPr>
      </w:pPr>
      <w:r>
        <w:rPr>
          <w:rFonts w:ascii="Arial" w:cs="Arial" w:eastAsia="Arial" w:hAnsi="Arial"/>
          <w:sz w:val="16"/>
          <w:szCs w:val="16"/>
          <w:b w:val="1"/>
          <w:bCs w:val="1"/>
          <w:color w:val="CF0A2C"/>
        </w:rPr>
        <w:t> Q:</w:t>
      </w:r>
      <w:r>
        <w:rPr>
          <w:sz w:val="20"/>
          <w:szCs w:val="20"/>
          <w:color w:val="auto"/>
        </w:rPr>
        <w:tab/>
      </w:r>
      <w:r>
        <w:rPr>
          <w:rFonts w:ascii="Arial" w:cs="Arial" w:eastAsia="Arial" w:hAnsi="Arial"/>
          <w:sz w:val="16"/>
          <w:szCs w:val="16"/>
          <w:color w:val="262626"/>
        </w:rPr>
        <w:t>What is the performance goal of the 2025 Tan PSU Award?</w:t>
      </w:r>
    </w:p>
    <w:p>
      <w:pPr>
        <w:spacing w:after="0" w:line="219" w:lineRule="exact"/>
        <w:rPr>
          <w:sz w:val="20"/>
          <w:szCs w:val="20"/>
          <w:color w:val="auto"/>
        </w:rPr>
      </w:pPr>
    </w:p>
    <w:p>
      <w:pPr>
        <w:ind w:left="1720" w:right="179" w:hanging="439"/>
        <w:spacing w:after="0" w:line="339" w:lineRule="auto"/>
        <w:tabs>
          <w:tab w:leader="none" w:pos="1700" w:val="left"/>
        </w:tabs>
        <w:rPr>
          <w:sz w:val="20"/>
          <w:szCs w:val="20"/>
          <w:color w:val="auto"/>
        </w:rPr>
      </w:pPr>
      <w:r>
        <w:rPr>
          <w:rFonts w:ascii="Arial" w:cs="Arial" w:eastAsia="Arial" w:hAnsi="Arial"/>
          <w:sz w:val="16"/>
          <w:szCs w:val="16"/>
          <w:b w:val="1"/>
          <w:bCs w:val="1"/>
          <w:color w:val="CF0A2C"/>
        </w:rPr>
        <w:t> A:</w:t>
      </w:r>
      <w:r>
        <w:rPr>
          <w:sz w:val="20"/>
          <w:szCs w:val="20"/>
          <w:color w:val="auto"/>
        </w:rPr>
        <w:tab/>
      </w:r>
      <w:r>
        <w:rPr>
          <w:rFonts w:ascii="Arial" w:cs="Arial" w:eastAsia="Arial" w:hAnsi="Arial"/>
          <w:sz w:val="16"/>
          <w:szCs w:val="16"/>
          <w:color w:val="262626"/>
        </w:rPr>
        <w:t>The performance goal of the 2025 Tan PSU Award is achieved when the highest aggregate AI Revenue for a period of any four consecutive fiscal quarters from the start of fiscal 2028 through the end of fiscal 2030 exceeds at least $60 billion. “Maximum” achievement of the performance goal requires attainment of at least $120 billion in AI Revenue.</w:t>
      </w:r>
    </w:p>
    <w:p>
      <w:pPr>
        <w:spacing w:after="0" w:line="209" w:lineRule="exact"/>
        <w:rPr>
          <w:sz w:val="20"/>
          <w:szCs w:val="20"/>
          <w:color w:val="auto"/>
        </w:rPr>
      </w:pPr>
    </w:p>
    <w:p>
      <w:pPr>
        <w:ind w:left="1720" w:right="179" w:hanging="439"/>
        <w:spacing w:after="0" w:line="371" w:lineRule="auto"/>
        <w:tabs>
          <w:tab w:leader="none" w:pos="1700" w:val="left"/>
        </w:tabs>
        <w:rPr>
          <w:sz w:val="20"/>
          <w:szCs w:val="20"/>
          <w:color w:val="auto"/>
        </w:rPr>
      </w:pPr>
      <w:r>
        <w:rPr>
          <w:rFonts w:ascii="Arial" w:cs="Arial" w:eastAsia="Arial" w:hAnsi="Arial"/>
          <w:sz w:val="16"/>
          <w:szCs w:val="16"/>
          <w:b w:val="1"/>
          <w:bCs w:val="1"/>
          <w:color w:val="CF0A2C"/>
        </w:rPr>
        <w:t> Q:</w:t>
      </w:r>
      <w:r>
        <w:rPr>
          <w:sz w:val="20"/>
          <w:szCs w:val="20"/>
          <w:color w:val="auto"/>
        </w:rPr>
        <w:tab/>
      </w:r>
      <w:r>
        <w:rPr>
          <w:rFonts w:ascii="Arial" w:cs="Arial" w:eastAsia="Arial" w:hAnsi="Arial"/>
          <w:sz w:val="16"/>
          <w:szCs w:val="16"/>
          <w:color w:val="262626"/>
        </w:rPr>
        <w:t>Why is the performance metric of the 2025 Tan PSU Award based on AI Revenue and not on the price of Broadcom common stock?</w:t>
      </w:r>
    </w:p>
    <w:p>
      <w:pPr>
        <w:spacing w:after="0" w:line="62" w:lineRule="exact"/>
        <w:rPr>
          <w:sz w:val="20"/>
          <w:szCs w:val="20"/>
          <w:color w:val="auto"/>
        </w:rPr>
      </w:pPr>
    </w:p>
    <w:p>
      <w:pPr>
        <w:ind w:left="1720" w:right="259" w:hanging="439"/>
        <w:spacing w:after="0" w:line="333" w:lineRule="auto"/>
        <w:tabs>
          <w:tab w:leader="none" w:pos="1700" w:val="left"/>
        </w:tabs>
        <w:rPr>
          <w:sz w:val="20"/>
          <w:szCs w:val="20"/>
          <w:color w:val="auto"/>
        </w:rPr>
      </w:pPr>
      <w:r>
        <w:rPr>
          <w:rFonts w:ascii="Arial" w:cs="Arial" w:eastAsia="Arial" w:hAnsi="Arial"/>
          <w:sz w:val="16"/>
          <w:szCs w:val="16"/>
          <w:b w:val="1"/>
          <w:bCs w:val="1"/>
          <w:color w:val="CF0A2C"/>
        </w:rPr>
        <w:t> A:</w:t>
      </w:r>
      <w:r>
        <w:rPr>
          <w:sz w:val="20"/>
          <w:szCs w:val="20"/>
          <w:color w:val="auto"/>
        </w:rPr>
        <w:tab/>
      </w:r>
      <w:r>
        <w:rPr>
          <w:rFonts w:ascii="Arial" w:cs="Arial" w:eastAsia="Arial" w:hAnsi="Arial"/>
          <w:sz w:val="16"/>
          <w:szCs w:val="16"/>
          <w:color w:val="262626"/>
        </w:rPr>
        <w:t>AI Revenue was selected as the performance metric for the 2025 Tan PSU Award given that Broadcom must successfully compete in a highly competitive technology industry that is undergoing a profound transformation due to AI to continue its long-term value creation. The independent directors believe that AI Revenue would provide the most accurate and direct measure of our progress in advancing our technologies and products during this transformation.</w:t>
      </w:r>
    </w:p>
    <w:p>
      <w:pPr>
        <w:spacing w:after="0" w:line="213" w:lineRule="exact"/>
        <w:rPr>
          <w:sz w:val="20"/>
          <w:szCs w:val="20"/>
          <w:color w:val="auto"/>
        </w:rPr>
      </w:pPr>
    </w:p>
    <w:p>
      <w:pPr>
        <w:ind w:left="1720" w:right="519" w:hanging="439"/>
        <w:spacing w:after="0" w:line="371" w:lineRule="auto"/>
        <w:tabs>
          <w:tab w:leader="none" w:pos="1700" w:val="left"/>
        </w:tabs>
        <w:rPr>
          <w:sz w:val="20"/>
          <w:szCs w:val="20"/>
          <w:color w:val="auto"/>
        </w:rPr>
      </w:pPr>
      <w:r>
        <w:rPr>
          <w:rFonts w:ascii="Arial" w:cs="Arial" w:eastAsia="Arial" w:hAnsi="Arial"/>
          <w:sz w:val="16"/>
          <w:szCs w:val="16"/>
          <w:b w:val="1"/>
          <w:bCs w:val="1"/>
          <w:color w:val="CF0A2C"/>
        </w:rPr>
        <w:t> Q:</w:t>
      </w:r>
      <w:r>
        <w:rPr>
          <w:sz w:val="20"/>
          <w:szCs w:val="20"/>
          <w:color w:val="auto"/>
        </w:rPr>
        <w:tab/>
      </w:r>
      <w:r>
        <w:rPr>
          <w:rFonts w:ascii="Arial" w:cs="Arial" w:eastAsia="Arial" w:hAnsi="Arial"/>
          <w:sz w:val="16"/>
          <w:szCs w:val="16"/>
          <w:color w:val="262626"/>
        </w:rPr>
        <w:t>Who will determine whether the performance goal of the 2025 Tan PSU Award has been achieved at the end of fiscal 2030?</w:t>
      </w:r>
    </w:p>
    <w:p>
      <w:pPr>
        <w:spacing w:after="0" w:line="62" w:lineRule="exact"/>
        <w:rPr>
          <w:sz w:val="20"/>
          <w:szCs w:val="20"/>
          <w:color w:val="auto"/>
        </w:rPr>
      </w:pPr>
    </w:p>
    <w:p>
      <w:pPr>
        <w:ind w:left="1720" w:right="179" w:hanging="439"/>
        <w:spacing w:after="0" w:line="339" w:lineRule="auto"/>
        <w:tabs>
          <w:tab w:leader="none" w:pos="1700" w:val="left"/>
        </w:tabs>
        <w:rPr>
          <w:sz w:val="20"/>
          <w:szCs w:val="20"/>
          <w:color w:val="auto"/>
        </w:rPr>
      </w:pPr>
      <w:r>
        <w:rPr>
          <w:rFonts w:ascii="Arial" w:cs="Arial" w:eastAsia="Arial" w:hAnsi="Arial"/>
          <w:sz w:val="16"/>
          <w:szCs w:val="16"/>
          <w:b w:val="1"/>
          <w:bCs w:val="1"/>
          <w:color w:val="CF0A2C"/>
        </w:rPr>
        <w:t> A:</w:t>
      </w:r>
      <w:r>
        <w:rPr>
          <w:sz w:val="20"/>
          <w:szCs w:val="20"/>
          <w:color w:val="auto"/>
        </w:rPr>
        <w:tab/>
      </w:r>
      <w:r>
        <w:rPr>
          <w:rFonts w:ascii="Arial" w:cs="Arial" w:eastAsia="Arial" w:hAnsi="Arial"/>
          <w:sz w:val="16"/>
          <w:szCs w:val="16"/>
          <w:color w:val="262626"/>
        </w:rPr>
        <w:t>The performance goal of the 2025 Tan PSU Award is based on formulaic, pre-established and disclosed targets. The Compensation Committee will review the performance results and the independent directors, upon the recommendation of the Compensation Committee, will ultimately determine whether the performance goal has been achieved under GAAP reporting.</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Equity Awards Granted to Ms. Spears and Mr. Brazeal in Fiscal 2025</w:t>
      </w:r>
    </w:p>
    <w:p>
      <w:pPr>
        <w:spacing w:after="0" w:line="176"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In March 2025, the Compensation Committee reviewed the scope, responsibilities, achievements and business criticality of Ms. Spears, Mr. Brazeal and Dr. Kawwas as described above, including their unvested equity awards and retention risk. The Compensation Committee believed an annual equity award to each of Ms. Spears and Mr. Brazeal was warranted based on its review of the foregoing factors (the “2025 Spears/Brazeal Awards”). The Compensation Committee did not grant Dr. Kawwas an annual equity award because the 2023 Kawwas PSU Award was front-loaded to cover five years of annual equity awards from fiscal 2023 through fiscal 2027.</w:t>
      </w:r>
    </w:p>
    <w:p>
      <w:pPr>
        <w:spacing w:after="0" w:line="106" w:lineRule="exact"/>
        <w:rPr>
          <w:sz w:val="20"/>
          <w:szCs w:val="20"/>
          <w:color w:val="auto"/>
        </w:rPr>
      </w:pPr>
    </w:p>
    <w:p>
      <w:pPr>
        <w:jc w:val="both"/>
        <w:ind w:left="1280" w:right="159"/>
        <w:spacing w:after="0" w:line="343" w:lineRule="auto"/>
        <w:rPr>
          <w:sz w:val="20"/>
          <w:szCs w:val="20"/>
          <w:color w:val="auto"/>
        </w:rPr>
      </w:pPr>
      <w:r>
        <w:rPr>
          <w:rFonts w:ascii="Arial" w:cs="Arial" w:eastAsia="Arial" w:hAnsi="Arial"/>
          <w:sz w:val="16"/>
          <w:szCs w:val="16"/>
          <w:color w:val="262626"/>
        </w:rPr>
        <w:t>The 2025 Spears/Brazeal Awards were granted on March 15, 2025. Half of the 2025 Spears/Brazeal Awards are in the form of a service-based RSU award and the other half are in the form of a PSU award, assuming target performance. The 2025 Spears/Brazeal Awards are multi-year awards and will vest on the same basis as two annual equity</w:t>
      </w:r>
    </w:p>
    <w:p>
      <w:pPr>
        <w:sectPr>
          <w:pgSz w:w="11900" w:h="16838" w:orient="portrait"/>
          <w:cols w:equalWidth="0" w:num="1">
            <w:col w:w="10139"/>
          </w:cols>
          <w:pgMar w:left="320" w:top="480" w:right="1440" w:bottom="1440" w:gutter="0" w:footer="0" w:header="0"/>
        </w:sectPr>
      </w:pPr>
    </w:p>
    <w:p>
      <w:pPr>
        <w:spacing w:after="0" w:line="80"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850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awards. The 2025 Spears/Brazeal Awards have staggered vesting start dates of March 15, 2025 and March 15, 2026. Each RSU award consists of 30,000 RSUs that will vest quarterly over four years from the applicable vesting start date. Each PSU award consists of 30,000 PSUs (at target) that will vest as to 25% of the shares underlying such award on each annual anniversary of the applicable vesting start date, subject to continued employment on the relevant vesting date and attainment of the applicable performance criteria.</w:t>
      </w:r>
    </w:p>
    <w:p>
      <w:pPr>
        <w:spacing w:after="0" w:line="106" w:lineRule="exact"/>
        <w:rPr>
          <w:sz w:val="20"/>
          <w:szCs w:val="20"/>
          <w:color w:val="auto"/>
        </w:rPr>
      </w:pPr>
    </w:p>
    <w:p>
      <w:pPr>
        <w:jc w:val="both"/>
        <w:ind w:left="1280" w:right="159"/>
        <w:spacing w:after="0" w:line="331" w:lineRule="auto"/>
        <w:rPr>
          <w:sz w:val="20"/>
          <w:szCs w:val="20"/>
          <w:color w:val="auto"/>
        </w:rPr>
      </w:pPr>
      <w:r>
        <w:rPr>
          <w:rFonts w:ascii="Arial" w:cs="Arial" w:eastAsia="Arial" w:hAnsi="Arial"/>
          <w:sz w:val="16"/>
          <w:szCs w:val="16"/>
          <w:color w:val="262626"/>
        </w:rPr>
        <w:t>To continue to closely align the interests of Ms. Spears and Mr. Brazeal with those of our stockholders, each PSU award may be earned, if at all, based on our TSR performance relative to the S&amp;P 500 (“Relative TSR”) and absolute TSR performance, over four overlapping performance periods, commencing on March 2nd immediately preceding the applicable March 15th vesting start date and ending on March 1st of the first, second, third and fourth years following the performance period commencement date. The number of shares that may be earned is capped at 25% of the target number of shares subject to the PSU award for each of the first three performance periods, even if performance exceeds target performance. In the aggregate, up to 200% of the total target number of shares subject to the applicable PSU award may be earned, if for the fourth performance period, the Relative TSR is at or above the 75th percentile of the S&amp;P 500 and our absolute TSR is not negative. If the Relative TSR falls between two percentile levels, the number of shares earned will be determined using linear interpolation.</w:t>
      </w:r>
    </w:p>
    <w:p>
      <w:pPr>
        <w:spacing w:after="0" w:line="120" w:lineRule="exact"/>
        <w:rPr>
          <w:sz w:val="20"/>
          <w:szCs w:val="20"/>
          <w:color w:val="auto"/>
        </w:rPr>
      </w:pPr>
    </w:p>
    <w:p>
      <w:pPr>
        <w:jc w:val="both"/>
        <w:ind w:left="1280" w:right="159"/>
        <w:spacing w:after="0" w:line="353" w:lineRule="auto"/>
        <w:rPr>
          <w:sz w:val="20"/>
          <w:szCs w:val="20"/>
          <w:color w:val="auto"/>
        </w:rPr>
      </w:pPr>
      <w:r>
        <w:rPr>
          <w:rFonts w:ascii="Arial" w:cs="Arial" w:eastAsia="Arial" w:hAnsi="Arial"/>
          <w:sz w:val="16"/>
          <w:szCs w:val="16"/>
          <w:color w:val="262626"/>
        </w:rPr>
        <w:t>Within 60 days after the end of each performance period, the Compensation Committee will determine the number of shares earned based on the Relative TSR over the performance period expressed as a percentile as set forth below.</w:t>
      </w:r>
    </w:p>
    <w:p>
      <w:pPr>
        <w:spacing w:after="0" w:line="103" w:lineRule="exact"/>
        <w:rPr>
          <w:sz w:val="20"/>
          <w:szCs w:val="20"/>
          <w:color w:val="auto"/>
        </w:rPr>
      </w:pPr>
    </w:p>
    <w:p>
      <w:pPr>
        <w:ind w:left="1600" w:hanging="244"/>
        <w:spacing w:after="0"/>
        <w:tabs>
          <w:tab w:leader="none" w:pos="1600" w:val="left"/>
        </w:tabs>
        <w:numPr>
          <w:ilvl w:val="0"/>
          <w:numId w:val="27"/>
        </w:numPr>
        <w:rPr>
          <w:rFonts w:ascii="Arial" w:cs="Arial" w:eastAsia="Arial" w:hAnsi="Arial"/>
          <w:sz w:val="16"/>
          <w:szCs w:val="16"/>
          <w:color w:val="262626"/>
        </w:rPr>
      </w:pPr>
      <w:r>
        <w:rPr>
          <w:rFonts w:ascii="Arial" w:cs="Arial" w:eastAsia="Arial" w:hAnsi="Arial"/>
          <w:sz w:val="16"/>
          <w:szCs w:val="16"/>
          <w:color w:val="262626"/>
        </w:rPr>
        <w:t>For the first three performance periods:</w:t>
      </w:r>
    </w:p>
    <w:p>
      <w:pPr>
        <w:spacing w:after="0" w:line="218" w:lineRule="exact"/>
        <w:rPr>
          <w:rFonts w:ascii="Arial" w:cs="Arial" w:eastAsia="Arial" w:hAnsi="Arial"/>
          <w:sz w:val="16"/>
          <w:szCs w:val="16"/>
          <w:color w:val="262626"/>
        </w:rPr>
      </w:pPr>
    </w:p>
    <w:p>
      <w:pPr>
        <w:ind w:left="2300" w:hanging="246"/>
        <w:spacing w:after="0"/>
        <w:tabs>
          <w:tab w:leader="none" w:pos="2300" w:val="left"/>
        </w:tabs>
        <w:numPr>
          <w:ilvl w:val="1"/>
          <w:numId w:val="27"/>
        </w:numPr>
        <w:rPr>
          <w:rFonts w:ascii="Arial" w:cs="Arial" w:eastAsia="Arial" w:hAnsi="Arial"/>
          <w:sz w:val="16"/>
          <w:szCs w:val="16"/>
          <w:color w:val="262626"/>
        </w:rPr>
      </w:pPr>
      <w:r>
        <w:rPr>
          <w:rFonts w:ascii="Arial" w:cs="Arial" w:eastAsia="Arial" w:hAnsi="Arial"/>
          <w:sz w:val="16"/>
          <w:szCs w:val="16"/>
          <w:color w:val="262626"/>
        </w:rPr>
        <w:t>If the Relative TSR is less than the 25th percentile, no shares will be earned for such performance period.</w:t>
      </w:r>
    </w:p>
    <w:p>
      <w:pPr>
        <w:spacing w:after="0" w:line="218" w:lineRule="exact"/>
        <w:rPr>
          <w:rFonts w:ascii="Arial" w:cs="Arial" w:eastAsia="Arial" w:hAnsi="Arial"/>
          <w:sz w:val="16"/>
          <w:szCs w:val="16"/>
          <w:color w:val="262626"/>
        </w:rPr>
      </w:pPr>
    </w:p>
    <w:p>
      <w:pPr>
        <w:ind w:left="2300" w:right="179" w:hanging="246"/>
        <w:spacing w:after="0" w:line="371" w:lineRule="auto"/>
        <w:tabs>
          <w:tab w:leader="none" w:pos="2300" w:val="left"/>
        </w:tabs>
        <w:numPr>
          <w:ilvl w:val="1"/>
          <w:numId w:val="27"/>
        </w:numPr>
        <w:rPr>
          <w:rFonts w:ascii="Arial" w:cs="Arial" w:eastAsia="Arial" w:hAnsi="Arial"/>
          <w:sz w:val="16"/>
          <w:szCs w:val="16"/>
          <w:color w:val="262626"/>
        </w:rPr>
      </w:pPr>
      <w:r>
        <w:rPr>
          <w:rFonts w:ascii="Arial" w:cs="Arial" w:eastAsia="Arial" w:hAnsi="Arial"/>
          <w:sz w:val="16"/>
          <w:szCs w:val="16"/>
          <w:color w:val="262626"/>
        </w:rPr>
        <w:t>If the Relative TSR is at the 25th percentile, 50% of the target number of shares subject to such performance period will be earned.</w:t>
      </w:r>
    </w:p>
    <w:p>
      <w:pPr>
        <w:spacing w:after="0" w:line="75" w:lineRule="exact"/>
        <w:rPr>
          <w:rFonts w:ascii="Arial" w:cs="Arial" w:eastAsia="Arial" w:hAnsi="Arial"/>
          <w:sz w:val="16"/>
          <w:szCs w:val="16"/>
          <w:color w:val="262626"/>
        </w:rPr>
      </w:pPr>
    </w:p>
    <w:p>
      <w:pPr>
        <w:ind w:left="2300" w:right="159" w:hanging="246"/>
        <w:spacing w:after="0" w:line="371" w:lineRule="auto"/>
        <w:tabs>
          <w:tab w:leader="none" w:pos="2300" w:val="left"/>
        </w:tabs>
        <w:numPr>
          <w:ilvl w:val="1"/>
          <w:numId w:val="27"/>
        </w:numPr>
        <w:rPr>
          <w:rFonts w:ascii="Arial" w:cs="Arial" w:eastAsia="Arial" w:hAnsi="Arial"/>
          <w:sz w:val="16"/>
          <w:szCs w:val="16"/>
          <w:color w:val="262626"/>
        </w:rPr>
      </w:pPr>
      <w:r>
        <w:rPr>
          <w:rFonts w:ascii="Arial" w:cs="Arial" w:eastAsia="Arial" w:hAnsi="Arial"/>
          <w:sz w:val="16"/>
          <w:szCs w:val="16"/>
          <w:color w:val="262626"/>
        </w:rPr>
        <w:t>If the Relative TSR is at or above the 50th percentile, 100% of the target number of shares subject to such performance period will be earned.</w:t>
      </w:r>
    </w:p>
    <w:p>
      <w:pPr>
        <w:spacing w:after="0" w:line="75" w:lineRule="exact"/>
        <w:rPr>
          <w:rFonts w:ascii="Arial" w:cs="Arial" w:eastAsia="Arial" w:hAnsi="Arial"/>
          <w:sz w:val="16"/>
          <w:szCs w:val="16"/>
          <w:color w:val="262626"/>
        </w:rPr>
      </w:pPr>
    </w:p>
    <w:p>
      <w:pPr>
        <w:ind w:left="1600" w:hanging="244"/>
        <w:spacing w:after="0"/>
        <w:tabs>
          <w:tab w:leader="none" w:pos="1600" w:val="left"/>
        </w:tabs>
        <w:numPr>
          <w:ilvl w:val="0"/>
          <w:numId w:val="27"/>
        </w:numPr>
        <w:rPr>
          <w:rFonts w:ascii="Arial" w:cs="Arial" w:eastAsia="Arial" w:hAnsi="Arial"/>
          <w:sz w:val="16"/>
          <w:szCs w:val="16"/>
          <w:color w:val="262626"/>
        </w:rPr>
      </w:pPr>
      <w:r>
        <w:rPr>
          <w:rFonts w:ascii="Arial" w:cs="Arial" w:eastAsia="Arial" w:hAnsi="Arial"/>
          <w:sz w:val="16"/>
          <w:szCs w:val="16"/>
          <w:color w:val="262626"/>
        </w:rPr>
        <w:t>For the fourth performance period:</w:t>
      </w:r>
    </w:p>
    <w:p>
      <w:pPr>
        <w:spacing w:after="0" w:line="218" w:lineRule="exact"/>
        <w:rPr>
          <w:rFonts w:ascii="Arial" w:cs="Arial" w:eastAsia="Arial" w:hAnsi="Arial"/>
          <w:sz w:val="16"/>
          <w:szCs w:val="16"/>
          <w:color w:val="262626"/>
        </w:rPr>
      </w:pPr>
    </w:p>
    <w:p>
      <w:pPr>
        <w:jc w:val="both"/>
        <w:ind w:left="2300" w:right="179" w:hanging="246"/>
        <w:spacing w:after="0" w:line="343" w:lineRule="auto"/>
        <w:tabs>
          <w:tab w:leader="none" w:pos="2300" w:val="left"/>
        </w:tabs>
        <w:numPr>
          <w:ilvl w:val="1"/>
          <w:numId w:val="27"/>
        </w:numPr>
        <w:rPr>
          <w:rFonts w:ascii="Arial" w:cs="Arial" w:eastAsia="Arial" w:hAnsi="Arial"/>
          <w:sz w:val="16"/>
          <w:szCs w:val="16"/>
          <w:color w:val="262626"/>
        </w:rPr>
      </w:pPr>
      <w:r>
        <w:rPr>
          <w:rFonts w:ascii="Arial" w:cs="Arial" w:eastAsia="Arial" w:hAnsi="Arial"/>
          <w:sz w:val="16"/>
          <w:szCs w:val="16"/>
          <w:color w:val="262626"/>
        </w:rPr>
        <w:t>If the Relative TSR is greater than the 50th percentile but less than the 75th percentile, between 100% and 200% of the total target number of shares subject to the award will be earned, less shares earned in the prior three performance periods.</w:t>
      </w:r>
    </w:p>
    <w:p>
      <w:pPr>
        <w:spacing w:after="0" w:line="110" w:lineRule="exact"/>
        <w:rPr>
          <w:rFonts w:ascii="Arial" w:cs="Arial" w:eastAsia="Arial" w:hAnsi="Arial"/>
          <w:sz w:val="16"/>
          <w:szCs w:val="16"/>
          <w:color w:val="262626"/>
        </w:rPr>
      </w:pPr>
    </w:p>
    <w:p>
      <w:pPr>
        <w:ind w:left="2300" w:right="179" w:hanging="246"/>
        <w:spacing w:after="0" w:line="371" w:lineRule="auto"/>
        <w:tabs>
          <w:tab w:leader="none" w:pos="2300" w:val="left"/>
        </w:tabs>
        <w:numPr>
          <w:ilvl w:val="1"/>
          <w:numId w:val="27"/>
        </w:numPr>
        <w:rPr>
          <w:rFonts w:ascii="Arial" w:cs="Arial" w:eastAsia="Arial" w:hAnsi="Arial"/>
          <w:sz w:val="16"/>
          <w:szCs w:val="16"/>
          <w:color w:val="262626"/>
        </w:rPr>
      </w:pPr>
      <w:r>
        <w:rPr>
          <w:rFonts w:ascii="Arial" w:cs="Arial" w:eastAsia="Arial" w:hAnsi="Arial"/>
          <w:sz w:val="16"/>
          <w:szCs w:val="16"/>
          <w:color w:val="262626"/>
        </w:rPr>
        <w:t>If the Relative TSR is at or greater than the 75th percentile, 200% of the total target number of shares subject to the award will be earned, less shares earned in the prior three performance periods.</w:t>
      </w:r>
    </w:p>
    <w:p>
      <w:pPr>
        <w:spacing w:after="0" w:line="75" w:lineRule="exact"/>
        <w:rPr>
          <w:rFonts w:ascii="Arial" w:cs="Arial" w:eastAsia="Arial" w:hAnsi="Arial"/>
          <w:sz w:val="16"/>
          <w:szCs w:val="16"/>
          <w:color w:val="262626"/>
        </w:rPr>
      </w:pPr>
    </w:p>
    <w:p>
      <w:pPr>
        <w:ind w:left="2300" w:right="179" w:hanging="246"/>
        <w:spacing w:after="0" w:line="371" w:lineRule="auto"/>
        <w:tabs>
          <w:tab w:leader="none" w:pos="2300" w:val="left"/>
        </w:tabs>
        <w:numPr>
          <w:ilvl w:val="1"/>
          <w:numId w:val="27"/>
        </w:numPr>
        <w:rPr>
          <w:rFonts w:ascii="Arial" w:cs="Arial" w:eastAsia="Arial" w:hAnsi="Arial"/>
          <w:sz w:val="16"/>
          <w:szCs w:val="16"/>
          <w:color w:val="262626"/>
        </w:rPr>
      </w:pPr>
      <w:r>
        <w:rPr>
          <w:rFonts w:ascii="Arial" w:cs="Arial" w:eastAsia="Arial" w:hAnsi="Arial"/>
          <w:sz w:val="16"/>
          <w:szCs w:val="16"/>
          <w:color w:val="262626"/>
        </w:rPr>
        <w:t>If our absolute TSR is negative, the maximum payout over the four-year period is 100% of the total target number of shares.</w:t>
      </w:r>
    </w:p>
    <w:p>
      <w:pPr>
        <w:spacing w:after="0" w:line="142" w:lineRule="exact"/>
        <w:rPr>
          <w:sz w:val="20"/>
          <w:szCs w:val="20"/>
          <w:color w:val="auto"/>
        </w:rPr>
      </w:pPr>
    </w:p>
    <w:p>
      <w:pPr>
        <w:jc w:val="both"/>
        <w:ind w:left="1280" w:right="159"/>
        <w:spacing w:after="0" w:line="335" w:lineRule="auto"/>
        <w:rPr>
          <w:sz w:val="20"/>
          <w:szCs w:val="20"/>
          <w:color w:val="auto"/>
        </w:rPr>
      </w:pPr>
      <w:r>
        <w:rPr>
          <w:rFonts w:ascii="Arial" w:cs="Arial" w:eastAsia="Arial" w:hAnsi="Arial"/>
          <w:sz w:val="16"/>
          <w:szCs w:val="16"/>
          <w:color w:val="262626"/>
        </w:rPr>
        <w:t>The number of shares earned will be determined by multiplying the target number of shares subject to the performance period (25% of the total target number of shares) by an achievement factor set forth below (the “Achievement Factor”). The Achievement Factor is based on the Relative TSR for the applicable performance period. For the fourth performance period, the Achievement Factor is based on the Relative TSR, as well as the sum of the Achievement Factors for the first three performance periods (the “Prior Achievement Sum”). However, if our absolute TSR is negative for the fourth performance period, then the maximum number of shares that may be earned is 100% of the total target number of shares.</w:t>
      </w:r>
    </w:p>
    <w:p>
      <w:pPr>
        <w:spacing w:after="0" w:line="351" w:lineRule="exact"/>
        <w:rPr>
          <w:sz w:val="20"/>
          <w:szCs w:val="20"/>
          <w:color w:val="auto"/>
        </w:rPr>
      </w:pPr>
    </w:p>
    <w:p>
      <w:pPr>
        <w:jc w:val="both"/>
        <w:ind w:left="1280" w:right="179"/>
        <w:spacing w:after="0" w:line="337" w:lineRule="auto"/>
        <w:rPr>
          <w:sz w:val="20"/>
          <w:szCs w:val="20"/>
          <w:color w:val="auto"/>
        </w:rPr>
      </w:pPr>
      <w:r>
        <w:rPr>
          <w:rFonts w:ascii="Arial" w:cs="Arial" w:eastAsia="Arial" w:hAnsi="Arial"/>
          <w:sz w:val="16"/>
          <w:szCs w:val="16"/>
          <w:color w:val="262626"/>
        </w:rPr>
        <w:t>The design of these PSU awards, with its cumulative Achievement Factor mechanism and enhanced payout opportunity in the fourth performance period, incentivizes sustained outperformance over the full award term rather than short-term results. By allowing up to 200% of target shares to be earned only if the Relative TSR reaches the 75th percentile in the fourth performance period with a positive absolute TSR, while capping earlier periods at target, the PSU awards reward executives who drive consistent, long-term stockholder value creation throughout the entire performance cycle.</w:t>
      </w:r>
    </w:p>
    <w:p>
      <w:pPr>
        <w:sectPr>
          <w:pgSz w:w="11900" w:h="16838" w:orient="portrait"/>
          <w:cols w:equalWidth="0" w:num="1">
            <w:col w:w="10139"/>
          </w:cols>
          <w:pgMar w:left="320" w:top="480" w:right="1440" w:bottom="1440" w:gutter="0" w:footer="0" w:header="0"/>
        </w:sectPr>
      </w:pPr>
    </w:p>
    <w:p>
      <w:pPr>
        <w:spacing w:after="0" w:line="87"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215265</wp:posOffset>
            </wp:positionV>
            <wp:extent cx="55225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6"/>
                <w:szCs w:val="16"/>
                <w:b w:val="1"/>
                <w:bCs w:val="1"/>
                <w:color w:val="262626"/>
              </w:rPr>
              <w:t>Relative TSR</w:t>
            </w:r>
          </w:p>
        </w:tc>
        <w:tc>
          <w:tcPr>
            <w:tcW w:w="5460" w:type="dxa"/>
            <w:vAlign w:val="bottom"/>
            <w:gridSpan w:val="2"/>
          </w:tcPr>
          <w:p>
            <w:pPr>
              <w:ind w:left="160"/>
              <w:spacing w:after="0"/>
              <w:rPr>
                <w:sz w:val="20"/>
                <w:szCs w:val="20"/>
                <w:color w:val="auto"/>
              </w:rPr>
            </w:pPr>
            <w:r>
              <w:rPr>
                <w:rFonts w:ascii="Arial" w:cs="Arial" w:eastAsia="Arial" w:hAnsi="Arial"/>
                <w:sz w:val="16"/>
                <w:szCs w:val="16"/>
                <w:b w:val="1"/>
                <w:bCs w:val="1"/>
                <w:color w:val="262626"/>
              </w:rPr>
              <w:t>Achievement Factor</w:t>
            </w:r>
          </w:p>
        </w:tc>
      </w:tr>
      <w:tr>
        <w:trPr>
          <w:trHeight w:val="88"/>
        </w:trPr>
        <w:tc>
          <w:tcPr>
            <w:tcW w:w="3240" w:type="dxa"/>
            <w:vAlign w:val="bottom"/>
            <w:tcBorders>
              <w:bottom w:val="single" w:sz="8" w:color="CF0A2C"/>
            </w:tcBorders>
          </w:tcPr>
          <w:p>
            <w:pPr>
              <w:spacing w:after="0"/>
              <w:rPr>
                <w:sz w:val="7"/>
                <w:szCs w:val="7"/>
                <w:color w:val="auto"/>
              </w:rPr>
            </w:pPr>
          </w:p>
        </w:tc>
        <w:tc>
          <w:tcPr>
            <w:tcW w:w="280" w:type="dxa"/>
            <w:vAlign w:val="bottom"/>
            <w:tcBorders>
              <w:bottom w:val="single" w:sz="8" w:color="CF0A2C"/>
            </w:tcBorders>
          </w:tcPr>
          <w:p>
            <w:pPr>
              <w:spacing w:after="0"/>
              <w:rPr>
                <w:sz w:val="7"/>
                <w:szCs w:val="7"/>
                <w:color w:val="auto"/>
              </w:rPr>
            </w:pPr>
          </w:p>
        </w:tc>
        <w:tc>
          <w:tcPr>
            <w:tcW w:w="5180" w:type="dxa"/>
            <w:vAlign w:val="bottom"/>
            <w:tcBorders>
              <w:bottom w:val="single" w:sz="8" w:color="CF0A2C"/>
            </w:tcBorders>
          </w:tcPr>
          <w:p>
            <w:pPr>
              <w:spacing w:after="0"/>
              <w:rPr>
                <w:sz w:val="7"/>
                <w:szCs w:val="7"/>
                <w:color w:val="auto"/>
              </w:rPr>
            </w:pPr>
          </w:p>
        </w:tc>
      </w:tr>
      <w:tr>
        <w:trPr>
          <w:trHeight w:val="214"/>
        </w:trPr>
        <w:tc>
          <w:tcPr>
            <w:tcW w:w="3240" w:type="dxa"/>
            <w:vAlign w:val="bottom"/>
            <w:tcBorders>
              <w:right w:val="single" w:sz="8" w:color="CF0A2C"/>
            </w:tcBorders>
          </w:tcPr>
          <w:p>
            <w:pPr>
              <w:spacing w:after="0"/>
              <w:rPr>
                <w:sz w:val="20"/>
                <w:szCs w:val="20"/>
                <w:color w:val="auto"/>
              </w:rPr>
            </w:pPr>
            <w:r>
              <w:rPr>
                <w:rFonts w:ascii="Arial" w:cs="Arial" w:eastAsia="Arial" w:hAnsi="Arial"/>
                <w:sz w:val="14"/>
                <w:szCs w:val="14"/>
                <w:color w:val="262626"/>
              </w:rPr>
              <w:t>Performance Periods 1, 2 and 3:</w:t>
            </w:r>
          </w:p>
        </w:tc>
        <w:tc>
          <w:tcPr>
            <w:tcW w:w="28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309"/>
        </w:trPr>
        <w:tc>
          <w:tcPr>
            <w:tcW w:w="3240" w:type="dxa"/>
            <w:vAlign w:val="bottom"/>
            <w:tcBorders>
              <w:right w:val="single" w:sz="8" w:color="CF0A2C"/>
            </w:tcBorders>
          </w:tcPr>
          <w:p>
            <w:pPr>
              <w:spacing w:after="0"/>
              <w:rPr>
                <w:sz w:val="20"/>
                <w:szCs w:val="20"/>
                <w:color w:val="auto"/>
              </w:rPr>
            </w:pPr>
            <w:r>
              <w:rPr>
                <w:rFonts w:ascii="Arial" w:cs="Arial" w:eastAsia="Arial" w:hAnsi="Arial"/>
                <w:sz w:val="14"/>
                <w:szCs w:val="14"/>
                <w:color w:val="262626"/>
              </w:rPr>
              <w:t>  At 50th Percentile of S&amp;P 500</w:t>
            </w:r>
          </w:p>
        </w:tc>
        <w:tc>
          <w:tcPr>
            <w:tcW w:w="280" w:type="dxa"/>
            <w:vAlign w:val="bottom"/>
          </w:tcPr>
          <w:p>
            <w:pPr>
              <w:ind w:left="160"/>
              <w:spacing w:after="0"/>
              <w:rPr>
                <w:sz w:val="20"/>
                <w:szCs w:val="20"/>
                <w:color w:val="auto"/>
              </w:rPr>
            </w:pPr>
            <w:r>
              <w:rPr>
                <w:rFonts w:ascii="Arial" w:cs="Arial" w:eastAsia="Arial" w:hAnsi="Arial"/>
                <w:sz w:val="14"/>
                <w:szCs w:val="14"/>
                <w:color w:val="262626"/>
              </w:rPr>
              <w:t>•</w:t>
            </w:r>
          </w:p>
        </w:tc>
        <w:tc>
          <w:tcPr>
            <w:tcW w:w="5180" w:type="dxa"/>
            <w:vAlign w:val="bottom"/>
          </w:tcPr>
          <w:p>
            <w:pPr>
              <w:ind w:left="80"/>
              <w:spacing w:after="0"/>
              <w:rPr>
                <w:sz w:val="20"/>
                <w:szCs w:val="20"/>
                <w:color w:val="auto"/>
              </w:rPr>
            </w:pPr>
            <w:r>
              <w:rPr>
                <w:rFonts w:ascii="Arial" w:cs="Arial" w:eastAsia="Arial" w:hAnsi="Arial"/>
                <w:sz w:val="14"/>
                <w:szCs w:val="14"/>
                <w:color w:val="262626"/>
              </w:rPr>
              <w:t>1</w:t>
            </w:r>
          </w:p>
        </w:tc>
      </w:tr>
      <w:tr>
        <w:trPr>
          <w:trHeight w:val="362"/>
        </w:trPr>
        <w:tc>
          <w:tcPr>
            <w:tcW w:w="3240" w:type="dxa"/>
            <w:vAlign w:val="bottom"/>
            <w:tcBorders>
              <w:right w:val="single" w:sz="8" w:color="CF0A2C"/>
            </w:tcBorders>
          </w:tcPr>
          <w:p>
            <w:pPr>
              <w:spacing w:after="0"/>
              <w:rPr>
                <w:sz w:val="20"/>
                <w:szCs w:val="20"/>
                <w:color w:val="auto"/>
              </w:rPr>
            </w:pPr>
            <w:r>
              <w:rPr>
                <w:rFonts w:ascii="Arial" w:cs="Arial" w:eastAsia="Arial" w:hAnsi="Arial"/>
                <w:sz w:val="14"/>
                <w:szCs w:val="14"/>
                <w:color w:val="262626"/>
              </w:rPr>
              <w:t>  At 25th Percentile of S&amp;P 500</w:t>
            </w:r>
          </w:p>
        </w:tc>
        <w:tc>
          <w:tcPr>
            <w:tcW w:w="280" w:type="dxa"/>
            <w:vAlign w:val="bottom"/>
          </w:tcPr>
          <w:p>
            <w:pPr>
              <w:ind w:left="160"/>
              <w:spacing w:after="0"/>
              <w:rPr>
                <w:sz w:val="20"/>
                <w:szCs w:val="20"/>
                <w:color w:val="auto"/>
              </w:rPr>
            </w:pPr>
            <w:r>
              <w:rPr>
                <w:rFonts w:ascii="Arial" w:cs="Arial" w:eastAsia="Arial" w:hAnsi="Arial"/>
                <w:sz w:val="14"/>
                <w:szCs w:val="14"/>
                <w:color w:val="262626"/>
              </w:rPr>
              <w:t>•</w:t>
            </w:r>
          </w:p>
        </w:tc>
        <w:tc>
          <w:tcPr>
            <w:tcW w:w="5180" w:type="dxa"/>
            <w:vAlign w:val="bottom"/>
          </w:tcPr>
          <w:p>
            <w:pPr>
              <w:ind w:left="80"/>
              <w:spacing w:after="0"/>
              <w:rPr>
                <w:sz w:val="20"/>
                <w:szCs w:val="20"/>
                <w:color w:val="auto"/>
              </w:rPr>
            </w:pPr>
            <w:r>
              <w:rPr>
                <w:rFonts w:ascii="Arial" w:cs="Arial" w:eastAsia="Arial" w:hAnsi="Arial"/>
                <w:sz w:val="14"/>
                <w:szCs w:val="14"/>
                <w:color w:val="262626"/>
              </w:rPr>
              <w:t>0.5</w:t>
            </w:r>
          </w:p>
        </w:tc>
      </w:tr>
      <w:tr>
        <w:trPr>
          <w:trHeight w:val="362"/>
        </w:trPr>
        <w:tc>
          <w:tcPr>
            <w:tcW w:w="3240" w:type="dxa"/>
            <w:vAlign w:val="bottom"/>
            <w:tcBorders>
              <w:right w:val="single" w:sz="8" w:color="CF0A2C"/>
            </w:tcBorders>
          </w:tcPr>
          <w:p>
            <w:pPr>
              <w:spacing w:after="0"/>
              <w:rPr>
                <w:sz w:val="20"/>
                <w:szCs w:val="20"/>
                <w:color w:val="auto"/>
              </w:rPr>
            </w:pPr>
            <w:r>
              <w:rPr>
                <w:rFonts w:ascii="Arial" w:cs="Arial" w:eastAsia="Arial" w:hAnsi="Arial"/>
                <w:sz w:val="14"/>
                <w:szCs w:val="14"/>
                <w:color w:val="262626"/>
              </w:rPr>
              <w:t>   Below 25th Percentile of S&amp;P 500</w:t>
            </w:r>
          </w:p>
        </w:tc>
        <w:tc>
          <w:tcPr>
            <w:tcW w:w="280" w:type="dxa"/>
            <w:vAlign w:val="bottom"/>
          </w:tcPr>
          <w:p>
            <w:pPr>
              <w:ind w:left="160"/>
              <w:spacing w:after="0"/>
              <w:rPr>
                <w:sz w:val="20"/>
                <w:szCs w:val="20"/>
                <w:color w:val="auto"/>
              </w:rPr>
            </w:pPr>
            <w:r>
              <w:rPr>
                <w:rFonts w:ascii="Arial" w:cs="Arial" w:eastAsia="Arial" w:hAnsi="Arial"/>
                <w:sz w:val="14"/>
                <w:szCs w:val="14"/>
                <w:color w:val="262626"/>
              </w:rPr>
              <w:t>•</w:t>
            </w:r>
          </w:p>
        </w:tc>
        <w:tc>
          <w:tcPr>
            <w:tcW w:w="5180" w:type="dxa"/>
            <w:vAlign w:val="bottom"/>
          </w:tcPr>
          <w:p>
            <w:pPr>
              <w:ind w:left="80"/>
              <w:spacing w:after="0"/>
              <w:rPr>
                <w:sz w:val="20"/>
                <w:szCs w:val="20"/>
                <w:color w:val="auto"/>
              </w:rPr>
            </w:pPr>
            <w:r>
              <w:rPr>
                <w:rFonts w:ascii="Arial" w:cs="Arial" w:eastAsia="Arial" w:hAnsi="Arial"/>
                <w:sz w:val="14"/>
                <w:szCs w:val="14"/>
                <w:color w:val="262626"/>
              </w:rPr>
              <w:t>0</w:t>
            </w:r>
          </w:p>
        </w:tc>
      </w:tr>
      <w:tr>
        <w:trPr>
          <w:trHeight w:val="88"/>
        </w:trPr>
        <w:tc>
          <w:tcPr>
            <w:tcW w:w="3240" w:type="dxa"/>
            <w:vAlign w:val="bottom"/>
            <w:tcBorders>
              <w:bottom w:val="single" w:sz="8" w:color="CF0A2C"/>
              <w:right w:val="single" w:sz="8" w:color="CF0A2C"/>
            </w:tcBorders>
          </w:tcPr>
          <w:p>
            <w:pPr>
              <w:spacing w:after="0"/>
              <w:rPr>
                <w:sz w:val="7"/>
                <w:szCs w:val="7"/>
                <w:color w:val="auto"/>
              </w:rPr>
            </w:pPr>
          </w:p>
        </w:tc>
        <w:tc>
          <w:tcPr>
            <w:tcW w:w="280" w:type="dxa"/>
            <w:vAlign w:val="bottom"/>
            <w:tcBorders>
              <w:bottom w:val="single" w:sz="8" w:color="CF0A2C"/>
            </w:tcBorders>
          </w:tcPr>
          <w:p>
            <w:pPr>
              <w:spacing w:after="0"/>
              <w:rPr>
                <w:sz w:val="7"/>
                <w:szCs w:val="7"/>
                <w:color w:val="auto"/>
              </w:rPr>
            </w:pPr>
          </w:p>
        </w:tc>
        <w:tc>
          <w:tcPr>
            <w:tcW w:w="5180" w:type="dxa"/>
            <w:vAlign w:val="bottom"/>
            <w:tcBorders>
              <w:bottom w:val="single" w:sz="8" w:color="CF0A2C"/>
            </w:tcBorders>
          </w:tcPr>
          <w:p>
            <w:pPr>
              <w:spacing w:after="0"/>
              <w:rPr>
                <w:sz w:val="7"/>
                <w:szCs w:val="7"/>
                <w:color w:val="auto"/>
              </w:rPr>
            </w:pPr>
          </w:p>
        </w:tc>
      </w:tr>
      <w:tr>
        <w:trPr>
          <w:trHeight w:val="214"/>
        </w:trPr>
        <w:tc>
          <w:tcPr>
            <w:tcW w:w="3240" w:type="dxa"/>
            <w:vAlign w:val="bottom"/>
            <w:tcBorders>
              <w:right w:val="single" w:sz="8" w:color="CF0A2C"/>
            </w:tcBorders>
          </w:tcPr>
          <w:p>
            <w:pPr>
              <w:spacing w:after="0"/>
              <w:rPr>
                <w:sz w:val="20"/>
                <w:szCs w:val="20"/>
                <w:color w:val="auto"/>
              </w:rPr>
            </w:pPr>
            <w:r>
              <w:rPr>
                <w:rFonts w:ascii="Arial" w:cs="Arial" w:eastAsia="Arial" w:hAnsi="Arial"/>
                <w:sz w:val="14"/>
                <w:szCs w:val="14"/>
                <w:color w:val="262626"/>
              </w:rPr>
              <w:t>Performance Period 4:</w:t>
            </w:r>
          </w:p>
        </w:tc>
        <w:tc>
          <w:tcPr>
            <w:tcW w:w="28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309"/>
        </w:trPr>
        <w:tc>
          <w:tcPr>
            <w:tcW w:w="3240" w:type="dxa"/>
            <w:vAlign w:val="bottom"/>
            <w:tcBorders>
              <w:right w:val="single" w:sz="8" w:color="CF0A2C"/>
            </w:tcBorders>
          </w:tcPr>
          <w:p>
            <w:pPr>
              <w:spacing w:after="0"/>
              <w:rPr>
                <w:sz w:val="20"/>
                <w:szCs w:val="20"/>
                <w:color w:val="auto"/>
              </w:rPr>
            </w:pPr>
            <w:r>
              <w:rPr>
                <w:rFonts w:ascii="Arial" w:cs="Arial" w:eastAsia="Arial" w:hAnsi="Arial"/>
                <w:sz w:val="14"/>
                <w:szCs w:val="14"/>
                <w:color w:val="262626"/>
              </w:rPr>
              <w:t>  At 75th Percentile of S&amp;P 500</w:t>
            </w:r>
          </w:p>
        </w:tc>
        <w:tc>
          <w:tcPr>
            <w:tcW w:w="5460" w:type="dxa"/>
            <w:vAlign w:val="bottom"/>
            <w:gridSpan w:val="2"/>
          </w:tcPr>
          <w:p>
            <w:pPr>
              <w:ind w:left="160"/>
              <w:spacing w:after="0"/>
              <w:rPr>
                <w:sz w:val="20"/>
                <w:szCs w:val="20"/>
                <w:color w:val="auto"/>
              </w:rPr>
            </w:pPr>
            <w:r>
              <w:rPr>
                <w:rFonts w:ascii="Arial" w:cs="Arial" w:eastAsia="Arial" w:hAnsi="Arial"/>
                <w:sz w:val="14"/>
                <w:szCs w:val="14"/>
                <w:color w:val="262626"/>
              </w:rPr>
              <w:t>•  If absolute TSR is negative: 4 minus Prior Achievement Sum</w:t>
            </w:r>
          </w:p>
        </w:tc>
      </w:tr>
      <w:tr>
        <w:trPr>
          <w:trHeight w:val="336"/>
        </w:trPr>
        <w:tc>
          <w:tcPr>
            <w:tcW w:w="3240" w:type="dxa"/>
            <w:vAlign w:val="bottom"/>
            <w:tcBorders>
              <w:right w:val="single" w:sz="8" w:color="CF0A2C"/>
            </w:tcBorders>
          </w:tcPr>
          <w:p>
            <w:pPr>
              <w:spacing w:after="0"/>
              <w:rPr>
                <w:sz w:val="24"/>
                <w:szCs w:val="24"/>
                <w:color w:val="auto"/>
              </w:rPr>
            </w:pPr>
          </w:p>
        </w:tc>
        <w:tc>
          <w:tcPr>
            <w:tcW w:w="5460" w:type="dxa"/>
            <w:vAlign w:val="bottom"/>
            <w:gridSpan w:val="2"/>
          </w:tcPr>
          <w:p>
            <w:pPr>
              <w:ind w:left="160"/>
              <w:spacing w:after="0"/>
              <w:rPr>
                <w:sz w:val="20"/>
                <w:szCs w:val="20"/>
                <w:color w:val="auto"/>
              </w:rPr>
            </w:pPr>
            <w:r>
              <w:rPr>
                <w:rFonts w:ascii="Arial" w:cs="Arial" w:eastAsia="Arial" w:hAnsi="Arial"/>
                <w:sz w:val="14"/>
                <w:szCs w:val="14"/>
                <w:color w:val="262626"/>
              </w:rPr>
              <w:t>•  If absolute TSR is neutral or positive: 8 minus Prior Achievement Sum</w:t>
            </w:r>
          </w:p>
        </w:tc>
      </w:tr>
      <w:tr>
        <w:trPr>
          <w:trHeight w:val="242"/>
        </w:trPr>
        <w:tc>
          <w:tcPr>
            <w:tcW w:w="3240" w:type="dxa"/>
            <w:vAlign w:val="bottom"/>
            <w:tcBorders>
              <w:right w:val="single" w:sz="8" w:color="CF0A2C"/>
            </w:tcBorders>
          </w:tcPr>
          <w:p>
            <w:pPr>
              <w:spacing w:after="0"/>
              <w:rPr>
                <w:sz w:val="21"/>
                <w:szCs w:val="21"/>
                <w:color w:val="auto"/>
              </w:rPr>
            </w:pPr>
          </w:p>
        </w:tc>
        <w:tc>
          <w:tcPr>
            <w:tcW w:w="280" w:type="dxa"/>
            <w:vAlign w:val="bottom"/>
          </w:tcPr>
          <w:p>
            <w:pPr>
              <w:spacing w:after="0"/>
              <w:rPr>
                <w:sz w:val="21"/>
                <w:szCs w:val="21"/>
                <w:color w:val="auto"/>
              </w:rPr>
            </w:pPr>
          </w:p>
        </w:tc>
        <w:tc>
          <w:tcPr>
            <w:tcW w:w="5180" w:type="dxa"/>
            <w:vAlign w:val="bottom"/>
          </w:tcPr>
          <w:p>
            <w:pPr>
              <w:ind w:left="80"/>
              <w:spacing w:after="0"/>
              <w:rPr>
                <w:sz w:val="20"/>
                <w:szCs w:val="20"/>
                <w:color w:val="auto"/>
              </w:rPr>
            </w:pPr>
            <w:r>
              <w:rPr>
                <w:rFonts w:ascii="Arial" w:cs="Arial" w:eastAsia="Arial" w:hAnsi="Arial"/>
                <w:sz w:val="14"/>
                <w:szCs w:val="14"/>
                <w:color w:val="262626"/>
              </w:rPr>
              <w:t>(not to exceed, in aggregate, 200% of target number of shares)</w:t>
            </w:r>
          </w:p>
        </w:tc>
      </w:tr>
      <w:tr>
        <w:trPr>
          <w:trHeight w:val="362"/>
        </w:trPr>
        <w:tc>
          <w:tcPr>
            <w:tcW w:w="3240" w:type="dxa"/>
            <w:vAlign w:val="bottom"/>
            <w:tcBorders>
              <w:right w:val="single" w:sz="8" w:color="CF0A2C"/>
            </w:tcBorders>
          </w:tcPr>
          <w:p>
            <w:pPr>
              <w:spacing w:after="0"/>
              <w:rPr>
                <w:sz w:val="20"/>
                <w:szCs w:val="20"/>
                <w:color w:val="auto"/>
              </w:rPr>
            </w:pPr>
            <w:r>
              <w:rPr>
                <w:rFonts w:ascii="Arial" w:cs="Arial" w:eastAsia="Arial" w:hAnsi="Arial"/>
                <w:sz w:val="14"/>
                <w:szCs w:val="14"/>
                <w:color w:val="262626"/>
              </w:rPr>
              <w:t>  At 50th Percentile of S&amp;P 500</w:t>
            </w:r>
          </w:p>
        </w:tc>
        <w:tc>
          <w:tcPr>
            <w:tcW w:w="5460" w:type="dxa"/>
            <w:vAlign w:val="bottom"/>
            <w:gridSpan w:val="2"/>
          </w:tcPr>
          <w:p>
            <w:pPr>
              <w:ind w:left="160"/>
              <w:spacing w:after="0"/>
              <w:rPr>
                <w:sz w:val="20"/>
                <w:szCs w:val="20"/>
                <w:color w:val="auto"/>
              </w:rPr>
            </w:pPr>
            <w:r>
              <w:rPr>
                <w:rFonts w:ascii="Arial" w:cs="Arial" w:eastAsia="Arial" w:hAnsi="Arial"/>
                <w:sz w:val="14"/>
                <w:szCs w:val="14"/>
                <w:color w:val="262626"/>
              </w:rPr>
              <w:t>•  4 minus Prior Achievement Sum</w:t>
            </w:r>
          </w:p>
        </w:tc>
      </w:tr>
      <w:tr>
        <w:trPr>
          <w:trHeight w:val="362"/>
        </w:trPr>
        <w:tc>
          <w:tcPr>
            <w:tcW w:w="3240" w:type="dxa"/>
            <w:vAlign w:val="bottom"/>
            <w:tcBorders>
              <w:right w:val="single" w:sz="8" w:color="CF0A2C"/>
            </w:tcBorders>
          </w:tcPr>
          <w:p>
            <w:pPr>
              <w:spacing w:after="0"/>
              <w:rPr>
                <w:sz w:val="20"/>
                <w:szCs w:val="20"/>
                <w:color w:val="auto"/>
              </w:rPr>
            </w:pPr>
            <w:r>
              <w:rPr>
                <w:rFonts w:ascii="Arial" w:cs="Arial" w:eastAsia="Arial" w:hAnsi="Arial"/>
                <w:sz w:val="14"/>
                <w:szCs w:val="14"/>
                <w:color w:val="262626"/>
              </w:rPr>
              <w:t>  At 25th Percentile of S&amp;P 500</w:t>
            </w:r>
          </w:p>
        </w:tc>
        <w:tc>
          <w:tcPr>
            <w:tcW w:w="5460" w:type="dxa"/>
            <w:vAlign w:val="bottom"/>
            <w:gridSpan w:val="2"/>
          </w:tcPr>
          <w:p>
            <w:pPr>
              <w:ind w:left="160"/>
              <w:spacing w:after="0"/>
              <w:rPr>
                <w:sz w:val="20"/>
                <w:szCs w:val="20"/>
                <w:color w:val="auto"/>
              </w:rPr>
            </w:pPr>
            <w:r>
              <w:rPr>
                <w:rFonts w:ascii="Arial" w:cs="Arial" w:eastAsia="Arial" w:hAnsi="Arial"/>
                <w:sz w:val="14"/>
                <w:szCs w:val="14"/>
                <w:color w:val="262626"/>
              </w:rPr>
              <w:t>•  If Prior Achievement Sum is greater than or equal to 1.5: 0.5</w:t>
            </w:r>
          </w:p>
        </w:tc>
      </w:tr>
      <w:tr>
        <w:trPr>
          <w:trHeight w:val="336"/>
        </w:trPr>
        <w:tc>
          <w:tcPr>
            <w:tcW w:w="3240" w:type="dxa"/>
            <w:vAlign w:val="bottom"/>
            <w:tcBorders>
              <w:right w:val="single" w:sz="8" w:color="CF0A2C"/>
            </w:tcBorders>
          </w:tcPr>
          <w:p>
            <w:pPr>
              <w:spacing w:after="0"/>
              <w:rPr>
                <w:sz w:val="24"/>
                <w:szCs w:val="24"/>
                <w:color w:val="auto"/>
              </w:rPr>
            </w:pPr>
          </w:p>
        </w:tc>
        <w:tc>
          <w:tcPr>
            <w:tcW w:w="5460" w:type="dxa"/>
            <w:vAlign w:val="bottom"/>
            <w:gridSpan w:val="2"/>
          </w:tcPr>
          <w:p>
            <w:pPr>
              <w:ind w:left="160"/>
              <w:spacing w:after="0"/>
              <w:rPr>
                <w:sz w:val="20"/>
                <w:szCs w:val="20"/>
                <w:color w:val="auto"/>
              </w:rPr>
            </w:pPr>
            <w:r>
              <w:rPr>
                <w:rFonts w:ascii="Arial" w:cs="Arial" w:eastAsia="Arial" w:hAnsi="Arial"/>
                <w:sz w:val="14"/>
                <w:szCs w:val="14"/>
                <w:color w:val="262626"/>
              </w:rPr>
              <w:t>•  If Prior Achievement Sum is less than 1.5: 2 minus Prior Achievement Sum</w:t>
            </w:r>
          </w:p>
        </w:tc>
      </w:tr>
      <w:tr>
        <w:trPr>
          <w:trHeight w:val="362"/>
        </w:trPr>
        <w:tc>
          <w:tcPr>
            <w:tcW w:w="3240" w:type="dxa"/>
            <w:vAlign w:val="bottom"/>
            <w:tcBorders>
              <w:right w:val="single" w:sz="8" w:color="CF0A2C"/>
            </w:tcBorders>
          </w:tcPr>
          <w:p>
            <w:pPr>
              <w:spacing w:after="0"/>
              <w:rPr>
                <w:sz w:val="20"/>
                <w:szCs w:val="20"/>
                <w:color w:val="auto"/>
              </w:rPr>
            </w:pPr>
            <w:r>
              <w:rPr>
                <w:rFonts w:ascii="Arial" w:cs="Arial" w:eastAsia="Arial" w:hAnsi="Arial"/>
                <w:sz w:val="14"/>
                <w:szCs w:val="14"/>
                <w:color w:val="262626"/>
              </w:rPr>
              <w:t>   Below 25th Percentile of S&amp;P 500</w:t>
            </w:r>
          </w:p>
        </w:tc>
        <w:tc>
          <w:tcPr>
            <w:tcW w:w="280" w:type="dxa"/>
            <w:vAlign w:val="bottom"/>
          </w:tcPr>
          <w:p>
            <w:pPr>
              <w:ind w:left="160"/>
              <w:spacing w:after="0"/>
              <w:rPr>
                <w:sz w:val="20"/>
                <w:szCs w:val="20"/>
                <w:color w:val="auto"/>
              </w:rPr>
            </w:pPr>
            <w:r>
              <w:rPr>
                <w:rFonts w:ascii="Arial" w:cs="Arial" w:eastAsia="Arial" w:hAnsi="Arial"/>
                <w:sz w:val="14"/>
                <w:szCs w:val="14"/>
                <w:color w:val="262626"/>
              </w:rPr>
              <w:t>•</w:t>
            </w:r>
          </w:p>
        </w:tc>
        <w:tc>
          <w:tcPr>
            <w:tcW w:w="5180" w:type="dxa"/>
            <w:vAlign w:val="bottom"/>
          </w:tcPr>
          <w:p>
            <w:pPr>
              <w:ind w:left="80"/>
              <w:spacing w:after="0"/>
              <w:rPr>
                <w:sz w:val="20"/>
                <w:szCs w:val="20"/>
                <w:color w:val="auto"/>
              </w:rPr>
            </w:pPr>
            <w:r>
              <w:rPr>
                <w:rFonts w:ascii="Arial" w:cs="Arial" w:eastAsia="Arial" w:hAnsi="Arial"/>
                <w:sz w:val="14"/>
                <w:szCs w:val="14"/>
                <w:color w:val="262626"/>
              </w:rPr>
              <w:t>0</w:t>
            </w:r>
          </w:p>
        </w:tc>
      </w:tr>
      <w:tr>
        <w:trPr>
          <w:trHeight w:val="88"/>
        </w:trPr>
        <w:tc>
          <w:tcPr>
            <w:tcW w:w="3240" w:type="dxa"/>
            <w:vAlign w:val="bottom"/>
            <w:tcBorders>
              <w:right w:val="single" w:sz="8" w:color="CF0A2C"/>
            </w:tcBorders>
          </w:tcPr>
          <w:p>
            <w:pPr>
              <w:spacing w:after="0"/>
              <w:rPr>
                <w:sz w:val="7"/>
                <w:szCs w:val="7"/>
                <w:color w:val="auto"/>
              </w:rPr>
            </w:pPr>
          </w:p>
        </w:tc>
        <w:tc>
          <w:tcPr>
            <w:tcW w:w="280" w:type="dxa"/>
            <w:vAlign w:val="bottom"/>
          </w:tcPr>
          <w:p>
            <w:pPr>
              <w:spacing w:after="0"/>
              <w:rPr>
                <w:sz w:val="7"/>
                <w:szCs w:val="7"/>
                <w:color w:val="auto"/>
              </w:rPr>
            </w:pPr>
          </w:p>
        </w:tc>
        <w:tc>
          <w:tcPr>
            <w:tcW w:w="5180" w:type="dxa"/>
            <w:vAlign w:val="bottom"/>
          </w:tcPr>
          <w:p>
            <w:pPr>
              <w:spacing w:after="0"/>
              <w:rPr>
                <w:sz w:val="7"/>
                <w:szCs w:val="7"/>
                <w:color w:val="auto"/>
              </w:rPr>
            </w:pPr>
          </w:p>
        </w:tc>
      </w:tr>
    </w:tbl>
    <w:p>
      <w:pPr>
        <w:spacing w:after="0" w:line="21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PSU Awards Earned in 2024 – 2025 Performance Period</w:t>
      </w:r>
    </w:p>
    <w:p>
      <w:pPr>
        <w:spacing w:after="0" w:line="202"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Each of the PSU awards granted to our NEOs or that commenced vesting in fiscal 2019, 2021, 2022, 2023 and 2024 are subject to four overlapping performance periods. Following completion of each performance period the Compensation Committee confirms the Relative TSR attained and the number of shares earned under the applicable PSU award.</w:t>
      </w:r>
    </w:p>
    <w:p>
      <w:pPr>
        <w:spacing w:after="0" w:line="260"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2019 PSU Awards</w:t>
      </w:r>
    </w:p>
    <w:p>
      <w:pPr>
        <w:spacing w:after="0" w:line="136"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The multi-year equity awards granted in January 2019 (the “2019 Multi-Year Awards”) that commenced vesting in fiscal 2021 were subject to four overlapping performance periods ending on each March 1st of 2022, 2023, 2024 and 2025. The table below sets forth the Relative TSR attainment and the percentage and number of target shares subject to the PSU award earned for the completed performance period. As the Relative TSR was greater than the 75th percentile and our absolute TSR was positive for the fourth performance period, each NEO, in aggregate, earned 200% of target shares subject to their respective PSU award.</w:t>
      </w:r>
    </w:p>
    <w:p>
      <w:pPr>
        <w:spacing w:after="0" w:line="180" w:lineRule="exact"/>
        <w:rPr>
          <w:sz w:val="20"/>
          <w:szCs w:val="20"/>
          <w:color w:val="auto"/>
        </w:rPr>
      </w:pPr>
    </w:p>
    <w:tbl>
      <w:tblPr>
        <w:tblLayout w:type="fixed"/>
        <w:tblInd w:w="1280" w:type="dxa"/>
        <w:tblCellMar>
          <w:top w:w="0" w:type="dxa"/>
          <w:left w:w="0" w:type="dxa"/>
          <w:bottom w:w="0" w:type="dxa"/>
          <w:right w:w="0" w:type="dxa"/>
        </w:tblCellMar>
      </w:tblPr>
      <w:tr>
        <w:trPr>
          <w:trHeight w:val="143"/>
        </w:trPr>
        <w:tc>
          <w:tcPr>
            <w:tcW w:w="900" w:type="dxa"/>
            <w:vAlign w:val="bottom"/>
            <w:tcBorders>
              <w:top w:val="single" w:sz="8" w:color="CF0A2C"/>
            </w:tcBorders>
          </w:tcPr>
          <w:p>
            <w:pPr>
              <w:spacing w:after="0"/>
              <w:rPr>
                <w:sz w:val="12"/>
                <w:szCs w:val="12"/>
                <w:color w:val="auto"/>
              </w:rPr>
            </w:pPr>
          </w:p>
        </w:tc>
        <w:tc>
          <w:tcPr>
            <w:tcW w:w="860" w:type="dxa"/>
            <w:vAlign w:val="bottom"/>
            <w:tcBorders>
              <w:top w:val="single" w:sz="8" w:color="CF0A2C"/>
            </w:tcBorders>
            <w:gridSpan w:val="2"/>
          </w:tcPr>
          <w:p>
            <w:pPr>
              <w:jc w:val="center"/>
              <w:spacing w:after="0" w:line="143" w:lineRule="exact"/>
              <w:rPr>
                <w:sz w:val="20"/>
                <w:szCs w:val="20"/>
                <w:color w:val="auto"/>
              </w:rPr>
            </w:pPr>
            <w:r>
              <w:rPr>
                <w:rFonts w:ascii="Arial" w:cs="Arial" w:eastAsia="Arial" w:hAnsi="Arial"/>
                <w:sz w:val="13"/>
                <w:szCs w:val="13"/>
                <w:b w:val="1"/>
                <w:bCs w:val="1"/>
                <w:color w:val="262626"/>
                <w:w w:val="99"/>
              </w:rPr>
              <w:t>   </w:t>
            </w:r>
          </w:p>
        </w:tc>
        <w:tc>
          <w:tcPr>
            <w:tcW w:w="980" w:type="dxa"/>
            <w:vAlign w:val="bottom"/>
            <w:tcBorders>
              <w:top w:val="single" w:sz="8" w:color="CF0A2C"/>
            </w:tcBorders>
          </w:tcPr>
          <w:p>
            <w:pPr>
              <w:spacing w:after="0"/>
              <w:rPr>
                <w:sz w:val="12"/>
                <w:szCs w:val="12"/>
                <w:color w:val="auto"/>
              </w:rPr>
            </w:pPr>
          </w:p>
        </w:tc>
        <w:tc>
          <w:tcPr>
            <w:tcW w:w="2620" w:type="dxa"/>
            <w:vAlign w:val="bottom"/>
            <w:tcBorders>
              <w:top w:val="single" w:sz="8" w:color="CF0A2C"/>
              <w:right w:val="single" w:sz="8" w:color="CF0A2C"/>
            </w:tcBorders>
            <w:gridSpan w:val="2"/>
            <w:vMerge w:val="restart"/>
          </w:tcPr>
          <w:p>
            <w:pPr>
              <w:ind w:left="40"/>
              <w:spacing w:after="0"/>
              <w:rPr>
                <w:sz w:val="20"/>
                <w:szCs w:val="20"/>
                <w:color w:val="auto"/>
              </w:rPr>
            </w:pPr>
            <w:r>
              <w:rPr>
                <w:rFonts w:ascii="Arial" w:cs="Arial" w:eastAsia="Arial" w:hAnsi="Arial"/>
                <w:sz w:val="13"/>
                <w:szCs w:val="13"/>
                <w:b w:val="1"/>
                <w:bCs w:val="1"/>
                <w:color w:val="262626"/>
              </w:rPr>
              <w:t>Number of Shares Earned</w:t>
            </w:r>
          </w:p>
        </w:tc>
        <w:tc>
          <w:tcPr>
            <w:tcW w:w="3340" w:type="dxa"/>
            <w:vAlign w:val="bottom"/>
            <w:tcBorders>
              <w:top w:val="single" w:sz="8" w:color="CF0A2C"/>
            </w:tcBorders>
            <w:vMerge w:val="restart"/>
          </w:tcPr>
          <w:p>
            <w:pPr>
              <w:jc w:val="center"/>
              <w:ind w:left="17"/>
              <w:spacing w:after="0"/>
              <w:rPr>
                <w:sz w:val="20"/>
                <w:szCs w:val="20"/>
                <w:color w:val="auto"/>
              </w:rPr>
            </w:pPr>
            <w:r>
              <w:rPr>
                <w:rFonts w:ascii="Arial" w:cs="Arial" w:eastAsia="Arial" w:hAnsi="Arial"/>
                <w:sz w:val="13"/>
                <w:szCs w:val="13"/>
                <w:b w:val="1"/>
                <w:bCs w:val="1"/>
                <w:color w:val="262626"/>
                <w:w w:val="95"/>
              </w:rPr>
              <w:t>Relative TSR Performance Over Period</w:t>
            </w: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860" w:type="dxa"/>
            <w:vAlign w:val="bottom"/>
            <w:gridSpan w:val="2"/>
          </w:tcPr>
          <w:p>
            <w:pPr>
              <w:jc w:val="center"/>
              <w:ind w:left="17"/>
              <w:spacing w:after="0" w:line="134" w:lineRule="exact"/>
              <w:rPr>
                <w:sz w:val="20"/>
                <w:szCs w:val="20"/>
                <w:color w:val="auto"/>
              </w:rPr>
            </w:pPr>
            <w:r>
              <w:rPr>
                <w:rFonts w:ascii="Arial" w:cs="Arial" w:eastAsia="Arial" w:hAnsi="Arial"/>
                <w:sz w:val="13"/>
                <w:szCs w:val="13"/>
                <w:b w:val="1"/>
                <w:bCs w:val="1"/>
                <w:color w:val="262626"/>
                <w:w w:val="98"/>
              </w:rPr>
              <w:t>% of Target   </w:t>
            </w:r>
          </w:p>
        </w:tc>
        <w:tc>
          <w:tcPr>
            <w:tcW w:w="980" w:type="dxa"/>
            <w:vAlign w:val="bottom"/>
          </w:tcPr>
          <w:p>
            <w:pPr>
              <w:spacing w:after="0"/>
              <w:rPr>
                <w:sz w:val="11"/>
                <w:szCs w:val="11"/>
                <w:color w:val="auto"/>
              </w:rPr>
            </w:pPr>
          </w:p>
        </w:tc>
        <w:tc>
          <w:tcPr>
            <w:tcW w:w="2620" w:type="dxa"/>
            <w:vAlign w:val="bottom"/>
            <w:tcBorders>
              <w:right w:val="single" w:sz="8" w:color="CF0A2C"/>
            </w:tcBorders>
            <w:gridSpan w:val="2"/>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900" w:type="dxa"/>
            <w:vAlign w:val="bottom"/>
            <w:vMerge w:val="restart"/>
          </w:tcPr>
          <w:p>
            <w:pPr>
              <w:spacing w:after="0" w:line="134" w:lineRule="exact"/>
              <w:rPr>
                <w:sz w:val="20"/>
                <w:szCs w:val="20"/>
                <w:color w:val="auto"/>
              </w:rPr>
            </w:pPr>
            <w:r>
              <w:rPr>
                <w:rFonts w:ascii="Arial" w:cs="Arial" w:eastAsia="Arial" w:hAnsi="Arial"/>
                <w:sz w:val="13"/>
                <w:szCs w:val="13"/>
                <w:b w:val="1"/>
                <w:bCs w:val="1"/>
                <w:color w:val="262626"/>
                <w:w w:val="98"/>
              </w:rPr>
              <w:t>  Performance</w:t>
            </w:r>
          </w:p>
        </w:tc>
        <w:tc>
          <w:tcPr>
            <w:tcW w:w="840" w:type="dxa"/>
            <w:vAlign w:val="bottom"/>
            <w:vMerge w:val="restart"/>
          </w:tcPr>
          <w:p>
            <w:pPr>
              <w:jc w:val="center"/>
              <w:ind w:left="37"/>
              <w:spacing w:after="0" w:line="134" w:lineRule="exact"/>
              <w:rPr>
                <w:sz w:val="20"/>
                <w:szCs w:val="20"/>
                <w:color w:val="auto"/>
              </w:rPr>
            </w:pPr>
            <w:r>
              <w:rPr>
                <w:rFonts w:ascii="Arial" w:cs="Arial" w:eastAsia="Arial" w:hAnsi="Arial"/>
                <w:sz w:val="13"/>
                <w:szCs w:val="13"/>
                <w:b w:val="1"/>
                <w:bCs w:val="1"/>
                <w:color w:val="262626"/>
                <w:w w:val="99"/>
              </w:rPr>
              <w:t>  Shares  </w:t>
            </w:r>
          </w:p>
        </w:tc>
        <w:tc>
          <w:tcPr>
            <w:tcW w:w="20" w:type="dxa"/>
            <w:vAlign w:val="bottom"/>
            <w:tcBorders>
              <w:bottom w:val="single" w:sz="8" w:color="7F7F7F"/>
            </w:tcBorders>
          </w:tcPr>
          <w:p>
            <w:pPr>
              <w:spacing w:after="0"/>
              <w:rPr>
                <w:sz w:val="3"/>
                <w:szCs w:val="3"/>
                <w:color w:val="auto"/>
              </w:rPr>
            </w:pPr>
          </w:p>
        </w:tc>
        <w:tc>
          <w:tcPr>
            <w:tcW w:w="98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580" w:type="dxa"/>
            <w:vAlign w:val="bottom"/>
            <w:tcBorders>
              <w:bottom w:val="single" w:sz="8" w:color="7F7F7F"/>
              <w:right w:val="single" w:sz="8" w:color="CF0A2C"/>
            </w:tcBorders>
          </w:tcPr>
          <w:p>
            <w:pPr>
              <w:spacing w:after="0"/>
              <w:rPr>
                <w:sz w:val="3"/>
                <w:szCs w:val="3"/>
                <w:color w:val="auto"/>
              </w:rPr>
            </w:pPr>
          </w:p>
        </w:tc>
        <w:tc>
          <w:tcPr>
            <w:tcW w:w="33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69"/>
        </w:trPr>
        <w:tc>
          <w:tcPr>
            <w:tcW w:w="9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80" w:type="dxa"/>
            <w:vAlign w:val="bottom"/>
            <w:tcBorders>
              <w:right w:val="single" w:sz="8" w:color="CF0A2C"/>
            </w:tcBorders>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900" w:type="dxa"/>
            <w:vAlign w:val="bottom"/>
          </w:tcPr>
          <w:p>
            <w:pPr>
              <w:jc w:val="center"/>
              <w:spacing w:after="0"/>
              <w:rPr>
                <w:sz w:val="20"/>
                <w:szCs w:val="20"/>
                <w:color w:val="auto"/>
              </w:rPr>
            </w:pPr>
            <w:r>
              <w:rPr>
                <w:rFonts w:ascii="Arial" w:cs="Arial" w:eastAsia="Arial" w:hAnsi="Arial"/>
                <w:sz w:val="13"/>
                <w:szCs w:val="13"/>
                <w:b w:val="1"/>
                <w:bCs w:val="1"/>
                <w:color w:val="262626"/>
                <w:w w:val="93"/>
              </w:rPr>
              <w:t>Period</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262626"/>
              </w:rPr>
              <w:t>  Earned  </w:t>
            </w:r>
          </w:p>
        </w:tc>
        <w:tc>
          <w:tcPr>
            <w:tcW w:w="2020" w:type="dxa"/>
            <w:vAlign w:val="bottom"/>
            <w:gridSpan w:val="2"/>
          </w:tcPr>
          <w:p>
            <w:pPr>
              <w:spacing w:after="0"/>
              <w:rPr>
                <w:sz w:val="20"/>
                <w:szCs w:val="20"/>
                <w:color w:val="auto"/>
              </w:rPr>
            </w:pPr>
            <w:r>
              <w:rPr>
                <w:rFonts w:ascii="Arial" w:cs="Arial" w:eastAsia="Arial" w:hAnsi="Arial"/>
                <w:sz w:val="13"/>
                <w:szCs w:val="13"/>
                <w:color w:val="262626"/>
                <w:w w:val="99"/>
              </w:rPr>
              <w:t>Kirsten M. Spears Mark D. Brazeal</w:t>
            </w:r>
          </w:p>
        </w:tc>
        <w:tc>
          <w:tcPr>
            <w:tcW w:w="1580" w:type="dxa"/>
            <w:vAlign w:val="bottom"/>
            <w:tcBorders>
              <w:right w:val="single" w:sz="8" w:color="CF0A2C"/>
            </w:tcBorders>
          </w:tcPr>
          <w:p>
            <w:pPr>
              <w:jc w:val="center"/>
              <w:spacing w:after="0"/>
              <w:rPr>
                <w:sz w:val="20"/>
                <w:szCs w:val="20"/>
                <w:color w:val="auto"/>
              </w:rPr>
            </w:pPr>
            <w:r>
              <w:rPr>
                <w:rFonts w:ascii="Arial" w:cs="Arial" w:eastAsia="Arial" w:hAnsi="Arial"/>
                <w:sz w:val="13"/>
                <w:szCs w:val="13"/>
                <w:color w:val="262626"/>
                <w:w w:val="93"/>
              </w:rPr>
              <w:t>Charlie B. Kawwas, Ph.D. </w:t>
            </w:r>
          </w:p>
        </w:tc>
        <w:tc>
          <w:tcPr>
            <w:tcW w:w="3340" w:type="dxa"/>
            <w:vAlign w:val="bottom"/>
          </w:tcPr>
          <w:p>
            <w:pPr>
              <w:jc w:val="center"/>
              <w:spacing w:after="0"/>
              <w:rPr>
                <w:sz w:val="20"/>
                <w:szCs w:val="20"/>
                <w:color w:val="auto"/>
              </w:rPr>
            </w:pPr>
            <w:r>
              <w:rPr>
                <w:rFonts w:ascii="Arial" w:cs="Arial" w:eastAsia="Arial" w:hAnsi="Arial"/>
                <w:sz w:val="13"/>
                <w:szCs w:val="13"/>
                <w:b w:val="1"/>
                <w:bCs w:val="1"/>
                <w:color w:val="262626"/>
                <w:w w:val="91"/>
              </w:rPr>
              <w:t xml:space="preserve">      2021          2022         2023         2024         2025         </w:t>
            </w:r>
          </w:p>
        </w:tc>
        <w:tc>
          <w:tcPr>
            <w:tcW w:w="0" w:type="dxa"/>
            <w:vAlign w:val="bottom"/>
          </w:tcPr>
          <w:p>
            <w:pPr>
              <w:spacing w:after="0"/>
              <w:rPr>
                <w:sz w:val="1"/>
                <w:szCs w:val="1"/>
                <w:color w:val="auto"/>
              </w:rPr>
            </w:pPr>
          </w:p>
        </w:tc>
      </w:tr>
      <w:tr>
        <w:trPr>
          <w:trHeight w:val="48"/>
        </w:trPr>
        <w:tc>
          <w:tcPr>
            <w:tcW w:w="900" w:type="dxa"/>
            <w:vAlign w:val="bottom"/>
            <w:tcBorders>
              <w:bottom w:val="single" w:sz="8" w:color="CF0A2C"/>
            </w:tcBorders>
          </w:tcPr>
          <w:p>
            <w:pPr>
              <w:spacing w:after="0"/>
              <w:rPr>
                <w:sz w:val="4"/>
                <w:szCs w:val="4"/>
                <w:color w:val="auto"/>
              </w:rPr>
            </w:pPr>
          </w:p>
        </w:tc>
        <w:tc>
          <w:tcPr>
            <w:tcW w:w="840" w:type="dxa"/>
            <w:vAlign w:val="bottom"/>
            <w:tcBorders>
              <w:bottom w:val="single" w:sz="8" w:color="CF0A2C"/>
            </w:tcBorders>
          </w:tcPr>
          <w:p>
            <w:pPr>
              <w:spacing w:after="0"/>
              <w:rPr>
                <w:sz w:val="4"/>
                <w:szCs w:val="4"/>
                <w:color w:val="auto"/>
              </w:rPr>
            </w:pPr>
          </w:p>
        </w:tc>
        <w:tc>
          <w:tcPr>
            <w:tcW w:w="20" w:type="dxa"/>
            <w:vAlign w:val="bottom"/>
            <w:tcBorders>
              <w:bottom w:val="single" w:sz="8" w:color="CF0A2C"/>
            </w:tcBorders>
          </w:tcPr>
          <w:p>
            <w:pPr>
              <w:spacing w:after="0"/>
              <w:rPr>
                <w:sz w:val="4"/>
                <w:szCs w:val="4"/>
                <w:color w:val="auto"/>
              </w:rPr>
            </w:pPr>
          </w:p>
        </w:tc>
        <w:tc>
          <w:tcPr>
            <w:tcW w:w="980" w:type="dxa"/>
            <w:vAlign w:val="bottom"/>
            <w:tcBorders>
              <w:bottom w:val="single" w:sz="8" w:color="CF0A2C"/>
            </w:tcBorders>
          </w:tcPr>
          <w:p>
            <w:pPr>
              <w:spacing w:after="0"/>
              <w:rPr>
                <w:sz w:val="4"/>
                <w:szCs w:val="4"/>
                <w:color w:val="auto"/>
              </w:rPr>
            </w:pPr>
          </w:p>
        </w:tc>
        <w:tc>
          <w:tcPr>
            <w:tcW w:w="1040" w:type="dxa"/>
            <w:vAlign w:val="bottom"/>
            <w:tcBorders>
              <w:bottom w:val="single" w:sz="8" w:color="CF0A2C"/>
            </w:tcBorders>
          </w:tcPr>
          <w:p>
            <w:pPr>
              <w:spacing w:after="0"/>
              <w:rPr>
                <w:sz w:val="4"/>
                <w:szCs w:val="4"/>
                <w:color w:val="auto"/>
              </w:rPr>
            </w:pPr>
          </w:p>
        </w:tc>
        <w:tc>
          <w:tcPr>
            <w:tcW w:w="1580" w:type="dxa"/>
            <w:vAlign w:val="bottom"/>
            <w:tcBorders>
              <w:bottom w:val="single" w:sz="8" w:color="CF0A2C"/>
              <w:right w:val="single" w:sz="8" w:color="CF0A2C"/>
            </w:tcBorders>
          </w:tcPr>
          <w:p>
            <w:pPr>
              <w:spacing w:after="0"/>
              <w:rPr>
                <w:sz w:val="4"/>
                <w:szCs w:val="4"/>
                <w:color w:val="auto"/>
              </w:rPr>
            </w:pPr>
          </w:p>
        </w:tc>
        <w:tc>
          <w:tcPr>
            <w:tcW w:w="3340" w:type="dxa"/>
            <w:vAlign w:val="bottom"/>
            <w:tcBorders>
              <w:bottom w:val="single" w:sz="8" w:color="CF0A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900" w:type="dxa"/>
            <w:vAlign w:val="bottom"/>
          </w:tcPr>
          <w:p>
            <w:pPr>
              <w:jc w:val="center"/>
              <w:spacing w:after="0"/>
              <w:rPr>
                <w:sz w:val="20"/>
                <w:szCs w:val="20"/>
                <w:color w:val="auto"/>
              </w:rPr>
            </w:pPr>
            <w:r>
              <w:rPr>
                <w:rFonts w:ascii="Arial" w:cs="Arial" w:eastAsia="Arial" w:hAnsi="Arial"/>
                <w:sz w:val="13"/>
                <w:szCs w:val="13"/>
                <w:color w:val="262626"/>
                <w:w w:val="82"/>
              </w:rPr>
              <w:t>1</w:t>
            </w:r>
          </w:p>
        </w:tc>
        <w:tc>
          <w:tcPr>
            <w:tcW w:w="840" w:type="dxa"/>
            <w:vAlign w:val="bottom"/>
          </w:tcPr>
          <w:p>
            <w:pPr>
              <w:jc w:val="center"/>
              <w:spacing w:after="0"/>
              <w:rPr>
                <w:sz w:val="20"/>
                <w:szCs w:val="20"/>
                <w:color w:val="auto"/>
              </w:rPr>
            </w:pPr>
            <w:r>
              <w:rPr>
                <w:rFonts w:ascii="Arial" w:cs="Arial" w:eastAsia="Arial" w:hAnsi="Arial"/>
                <w:sz w:val="13"/>
                <w:szCs w:val="13"/>
                <w:color w:val="262626"/>
                <w:w w:val="99"/>
              </w:rPr>
              <w:t>25%</w:t>
            </w:r>
          </w:p>
        </w:tc>
        <w:tc>
          <w:tcPr>
            <w:tcW w:w="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262626"/>
                <w:w w:val="94"/>
              </w:rPr>
              <w:t>15,620 shares</w:t>
            </w:r>
          </w:p>
        </w:tc>
        <w:tc>
          <w:tcPr>
            <w:tcW w:w="1040" w:type="dxa"/>
            <w:vAlign w:val="bottom"/>
          </w:tcPr>
          <w:p>
            <w:pPr>
              <w:jc w:val="center"/>
              <w:spacing w:after="0"/>
              <w:rPr>
                <w:sz w:val="20"/>
                <w:szCs w:val="20"/>
                <w:color w:val="auto"/>
              </w:rPr>
            </w:pPr>
            <w:r>
              <w:rPr>
                <w:rFonts w:ascii="Arial" w:cs="Arial" w:eastAsia="Arial" w:hAnsi="Arial"/>
                <w:sz w:val="13"/>
                <w:szCs w:val="13"/>
                <w:color w:val="262626"/>
                <w:w w:val="97"/>
              </w:rPr>
              <w:t>18,750 shares</w:t>
            </w:r>
          </w:p>
        </w:tc>
        <w:tc>
          <w:tcPr>
            <w:tcW w:w="1580" w:type="dxa"/>
            <w:vAlign w:val="bottom"/>
            <w:tcBorders>
              <w:right w:val="single" w:sz="8" w:color="CF0A2C"/>
            </w:tcBorders>
          </w:tcPr>
          <w:p>
            <w:pPr>
              <w:jc w:val="center"/>
              <w:spacing w:after="0"/>
              <w:rPr>
                <w:sz w:val="20"/>
                <w:szCs w:val="20"/>
                <w:color w:val="auto"/>
              </w:rPr>
            </w:pPr>
            <w:r>
              <w:rPr>
                <w:rFonts w:ascii="Arial" w:cs="Arial" w:eastAsia="Arial" w:hAnsi="Arial"/>
                <w:sz w:val="13"/>
                <w:szCs w:val="13"/>
                <w:color w:val="262626"/>
                <w:w w:val="97"/>
              </w:rPr>
              <w:t>25,000 shares</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900" w:type="dxa"/>
            <w:vAlign w:val="bottom"/>
            <w:tcBorders>
              <w:bottom w:val="single" w:sz="8" w:color="CF0A2C"/>
            </w:tcBorders>
          </w:tcPr>
          <w:p>
            <w:pPr>
              <w:spacing w:after="0"/>
              <w:rPr>
                <w:sz w:val="11"/>
                <w:szCs w:val="11"/>
                <w:color w:val="auto"/>
              </w:rPr>
            </w:pPr>
          </w:p>
        </w:tc>
        <w:tc>
          <w:tcPr>
            <w:tcW w:w="840" w:type="dxa"/>
            <w:vAlign w:val="bottom"/>
            <w:tcBorders>
              <w:bottom w:val="single" w:sz="8" w:color="CF0A2C"/>
            </w:tcBorders>
          </w:tcPr>
          <w:p>
            <w:pPr>
              <w:spacing w:after="0"/>
              <w:rPr>
                <w:sz w:val="11"/>
                <w:szCs w:val="11"/>
                <w:color w:val="auto"/>
              </w:rPr>
            </w:pPr>
          </w:p>
        </w:tc>
        <w:tc>
          <w:tcPr>
            <w:tcW w:w="20" w:type="dxa"/>
            <w:vAlign w:val="bottom"/>
            <w:tcBorders>
              <w:bottom w:val="single" w:sz="8" w:color="CF0A2C"/>
            </w:tcBorders>
          </w:tcPr>
          <w:p>
            <w:pPr>
              <w:spacing w:after="0"/>
              <w:rPr>
                <w:sz w:val="11"/>
                <w:szCs w:val="11"/>
                <w:color w:val="auto"/>
              </w:rPr>
            </w:pPr>
          </w:p>
        </w:tc>
        <w:tc>
          <w:tcPr>
            <w:tcW w:w="980" w:type="dxa"/>
            <w:vAlign w:val="bottom"/>
            <w:tcBorders>
              <w:bottom w:val="single" w:sz="8" w:color="CF0A2C"/>
            </w:tcBorders>
          </w:tcPr>
          <w:p>
            <w:pPr>
              <w:spacing w:after="0"/>
              <w:rPr>
                <w:sz w:val="11"/>
                <w:szCs w:val="11"/>
                <w:color w:val="auto"/>
              </w:rPr>
            </w:pPr>
          </w:p>
        </w:tc>
        <w:tc>
          <w:tcPr>
            <w:tcW w:w="1040" w:type="dxa"/>
            <w:vAlign w:val="bottom"/>
            <w:tcBorders>
              <w:bottom w:val="single" w:sz="8" w:color="CF0A2C"/>
            </w:tcBorders>
          </w:tcPr>
          <w:p>
            <w:pPr>
              <w:spacing w:after="0"/>
              <w:rPr>
                <w:sz w:val="11"/>
                <w:szCs w:val="11"/>
                <w:color w:val="auto"/>
              </w:rPr>
            </w:pPr>
          </w:p>
        </w:tc>
        <w:tc>
          <w:tcPr>
            <w:tcW w:w="1580" w:type="dxa"/>
            <w:vAlign w:val="bottom"/>
            <w:tcBorders>
              <w:bottom w:val="single" w:sz="8" w:color="CF0A2C"/>
              <w:right w:val="single" w:sz="8" w:color="CF0A2C"/>
            </w:tcBorders>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900" w:type="dxa"/>
            <w:vAlign w:val="bottom"/>
          </w:tcPr>
          <w:p>
            <w:pPr>
              <w:jc w:val="center"/>
              <w:spacing w:after="0"/>
              <w:rPr>
                <w:sz w:val="20"/>
                <w:szCs w:val="20"/>
                <w:color w:val="auto"/>
              </w:rPr>
            </w:pPr>
            <w:r>
              <w:rPr>
                <w:rFonts w:ascii="Arial" w:cs="Arial" w:eastAsia="Arial" w:hAnsi="Arial"/>
                <w:sz w:val="13"/>
                <w:szCs w:val="13"/>
                <w:color w:val="262626"/>
                <w:w w:val="82"/>
              </w:rPr>
              <w:t>2</w:t>
            </w:r>
          </w:p>
        </w:tc>
        <w:tc>
          <w:tcPr>
            <w:tcW w:w="840" w:type="dxa"/>
            <w:vAlign w:val="bottom"/>
          </w:tcPr>
          <w:p>
            <w:pPr>
              <w:jc w:val="center"/>
              <w:spacing w:after="0"/>
              <w:rPr>
                <w:sz w:val="20"/>
                <w:szCs w:val="20"/>
                <w:color w:val="auto"/>
              </w:rPr>
            </w:pPr>
            <w:r>
              <w:rPr>
                <w:rFonts w:ascii="Arial" w:cs="Arial" w:eastAsia="Arial" w:hAnsi="Arial"/>
                <w:sz w:val="13"/>
                <w:szCs w:val="13"/>
                <w:color w:val="262626"/>
                <w:w w:val="99"/>
              </w:rPr>
              <w:t>25%</w:t>
            </w:r>
          </w:p>
        </w:tc>
        <w:tc>
          <w:tcPr>
            <w:tcW w:w="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262626"/>
                <w:w w:val="94"/>
              </w:rPr>
              <w:t>15,620 shares</w:t>
            </w:r>
          </w:p>
        </w:tc>
        <w:tc>
          <w:tcPr>
            <w:tcW w:w="1040" w:type="dxa"/>
            <w:vAlign w:val="bottom"/>
          </w:tcPr>
          <w:p>
            <w:pPr>
              <w:jc w:val="center"/>
              <w:spacing w:after="0"/>
              <w:rPr>
                <w:sz w:val="20"/>
                <w:szCs w:val="20"/>
                <w:color w:val="auto"/>
              </w:rPr>
            </w:pPr>
            <w:r>
              <w:rPr>
                <w:rFonts w:ascii="Arial" w:cs="Arial" w:eastAsia="Arial" w:hAnsi="Arial"/>
                <w:sz w:val="13"/>
                <w:szCs w:val="13"/>
                <w:color w:val="262626"/>
                <w:w w:val="97"/>
              </w:rPr>
              <w:t>18,750 shares</w:t>
            </w:r>
          </w:p>
        </w:tc>
        <w:tc>
          <w:tcPr>
            <w:tcW w:w="1580" w:type="dxa"/>
            <w:vAlign w:val="bottom"/>
            <w:tcBorders>
              <w:right w:val="single" w:sz="8" w:color="CF0A2C"/>
            </w:tcBorders>
          </w:tcPr>
          <w:p>
            <w:pPr>
              <w:jc w:val="center"/>
              <w:spacing w:after="0"/>
              <w:rPr>
                <w:sz w:val="20"/>
                <w:szCs w:val="20"/>
                <w:color w:val="auto"/>
              </w:rPr>
            </w:pPr>
            <w:r>
              <w:rPr>
                <w:rFonts w:ascii="Arial" w:cs="Arial" w:eastAsia="Arial" w:hAnsi="Arial"/>
                <w:sz w:val="13"/>
                <w:szCs w:val="13"/>
                <w:color w:val="262626"/>
                <w:w w:val="97"/>
              </w:rPr>
              <w:t>25,000 shares</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900" w:type="dxa"/>
            <w:vAlign w:val="bottom"/>
            <w:tcBorders>
              <w:bottom w:val="single" w:sz="8" w:color="CF0A2C"/>
            </w:tcBorders>
          </w:tcPr>
          <w:p>
            <w:pPr>
              <w:spacing w:after="0"/>
              <w:rPr>
                <w:sz w:val="10"/>
                <w:szCs w:val="10"/>
                <w:color w:val="auto"/>
              </w:rPr>
            </w:pPr>
          </w:p>
        </w:tc>
        <w:tc>
          <w:tcPr>
            <w:tcW w:w="840" w:type="dxa"/>
            <w:vAlign w:val="bottom"/>
            <w:tcBorders>
              <w:bottom w:val="single" w:sz="8" w:color="CF0A2C"/>
            </w:tcBorders>
          </w:tcPr>
          <w:p>
            <w:pPr>
              <w:spacing w:after="0"/>
              <w:rPr>
                <w:sz w:val="10"/>
                <w:szCs w:val="10"/>
                <w:color w:val="auto"/>
              </w:rPr>
            </w:pPr>
          </w:p>
        </w:tc>
        <w:tc>
          <w:tcPr>
            <w:tcW w:w="20" w:type="dxa"/>
            <w:vAlign w:val="bottom"/>
            <w:tcBorders>
              <w:bottom w:val="single" w:sz="8" w:color="CF0A2C"/>
            </w:tcBorders>
          </w:tcPr>
          <w:p>
            <w:pPr>
              <w:spacing w:after="0"/>
              <w:rPr>
                <w:sz w:val="10"/>
                <w:szCs w:val="10"/>
                <w:color w:val="auto"/>
              </w:rPr>
            </w:pPr>
          </w:p>
        </w:tc>
        <w:tc>
          <w:tcPr>
            <w:tcW w:w="980" w:type="dxa"/>
            <w:vAlign w:val="bottom"/>
            <w:tcBorders>
              <w:bottom w:val="single" w:sz="8" w:color="CF0A2C"/>
            </w:tcBorders>
          </w:tcPr>
          <w:p>
            <w:pPr>
              <w:spacing w:after="0"/>
              <w:rPr>
                <w:sz w:val="10"/>
                <w:szCs w:val="10"/>
                <w:color w:val="auto"/>
              </w:rPr>
            </w:pPr>
          </w:p>
        </w:tc>
        <w:tc>
          <w:tcPr>
            <w:tcW w:w="1040" w:type="dxa"/>
            <w:vAlign w:val="bottom"/>
            <w:tcBorders>
              <w:bottom w:val="single" w:sz="8" w:color="CF0A2C"/>
            </w:tcBorders>
          </w:tcPr>
          <w:p>
            <w:pPr>
              <w:spacing w:after="0"/>
              <w:rPr>
                <w:sz w:val="10"/>
                <w:szCs w:val="10"/>
                <w:color w:val="auto"/>
              </w:rPr>
            </w:pPr>
          </w:p>
        </w:tc>
        <w:tc>
          <w:tcPr>
            <w:tcW w:w="1580" w:type="dxa"/>
            <w:vAlign w:val="bottom"/>
            <w:tcBorders>
              <w:bottom w:val="single" w:sz="8" w:color="CF0A2C"/>
              <w:right w:val="single" w:sz="8" w:color="CF0A2C"/>
            </w:tcBorders>
          </w:tcPr>
          <w:p>
            <w:pPr>
              <w:spacing w:after="0"/>
              <w:rPr>
                <w:sz w:val="10"/>
                <w:szCs w:val="10"/>
                <w:color w:val="auto"/>
              </w:rPr>
            </w:pPr>
          </w:p>
        </w:tc>
        <w:tc>
          <w:tcPr>
            <w:tcW w:w="3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900" w:type="dxa"/>
            <w:vAlign w:val="bottom"/>
          </w:tcPr>
          <w:p>
            <w:pPr>
              <w:jc w:val="center"/>
              <w:spacing w:after="0"/>
              <w:rPr>
                <w:sz w:val="20"/>
                <w:szCs w:val="20"/>
                <w:color w:val="auto"/>
              </w:rPr>
            </w:pPr>
            <w:r>
              <w:rPr>
                <w:rFonts w:ascii="Arial" w:cs="Arial" w:eastAsia="Arial" w:hAnsi="Arial"/>
                <w:sz w:val="13"/>
                <w:szCs w:val="13"/>
                <w:color w:val="262626"/>
                <w:w w:val="82"/>
              </w:rPr>
              <w:t>3</w:t>
            </w:r>
          </w:p>
        </w:tc>
        <w:tc>
          <w:tcPr>
            <w:tcW w:w="840" w:type="dxa"/>
            <w:vAlign w:val="bottom"/>
          </w:tcPr>
          <w:p>
            <w:pPr>
              <w:jc w:val="center"/>
              <w:spacing w:after="0"/>
              <w:rPr>
                <w:sz w:val="20"/>
                <w:szCs w:val="20"/>
                <w:color w:val="auto"/>
              </w:rPr>
            </w:pPr>
            <w:r>
              <w:rPr>
                <w:rFonts w:ascii="Arial" w:cs="Arial" w:eastAsia="Arial" w:hAnsi="Arial"/>
                <w:sz w:val="13"/>
                <w:szCs w:val="13"/>
                <w:color w:val="262626"/>
                <w:w w:val="99"/>
              </w:rPr>
              <w:t>25%</w:t>
            </w:r>
          </w:p>
        </w:tc>
        <w:tc>
          <w:tcPr>
            <w:tcW w:w="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262626"/>
                <w:w w:val="94"/>
              </w:rPr>
              <w:t>15,620 shares</w:t>
            </w:r>
          </w:p>
        </w:tc>
        <w:tc>
          <w:tcPr>
            <w:tcW w:w="1040" w:type="dxa"/>
            <w:vAlign w:val="bottom"/>
          </w:tcPr>
          <w:p>
            <w:pPr>
              <w:jc w:val="center"/>
              <w:spacing w:after="0"/>
              <w:rPr>
                <w:sz w:val="20"/>
                <w:szCs w:val="20"/>
                <w:color w:val="auto"/>
              </w:rPr>
            </w:pPr>
            <w:r>
              <w:rPr>
                <w:rFonts w:ascii="Arial" w:cs="Arial" w:eastAsia="Arial" w:hAnsi="Arial"/>
                <w:sz w:val="13"/>
                <w:szCs w:val="13"/>
                <w:color w:val="262626"/>
                <w:w w:val="97"/>
              </w:rPr>
              <w:t>18,750 shares</w:t>
            </w:r>
          </w:p>
        </w:tc>
        <w:tc>
          <w:tcPr>
            <w:tcW w:w="1580" w:type="dxa"/>
            <w:vAlign w:val="bottom"/>
            <w:tcBorders>
              <w:right w:val="single" w:sz="8" w:color="CF0A2C"/>
            </w:tcBorders>
          </w:tcPr>
          <w:p>
            <w:pPr>
              <w:jc w:val="center"/>
              <w:spacing w:after="0"/>
              <w:rPr>
                <w:sz w:val="20"/>
                <w:szCs w:val="20"/>
                <w:color w:val="auto"/>
              </w:rPr>
            </w:pPr>
            <w:r>
              <w:rPr>
                <w:rFonts w:ascii="Arial" w:cs="Arial" w:eastAsia="Arial" w:hAnsi="Arial"/>
                <w:sz w:val="13"/>
                <w:szCs w:val="13"/>
                <w:color w:val="262626"/>
                <w:w w:val="97"/>
              </w:rPr>
              <w:t>25,000 shares</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900" w:type="dxa"/>
            <w:vAlign w:val="bottom"/>
            <w:tcBorders>
              <w:bottom w:val="single" w:sz="8" w:color="CF0A2C"/>
            </w:tcBorders>
          </w:tcPr>
          <w:p>
            <w:pPr>
              <w:spacing w:after="0"/>
              <w:rPr>
                <w:sz w:val="10"/>
                <w:szCs w:val="10"/>
                <w:color w:val="auto"/>
              </w:rPr>
            </w:pPr>
          </w:p>
        </w:tc>
        <w:tc>
          <w:tcPr>
            <w:tcW w:w="840" w:type="dxa"/>
            <w:vAlign w:val="bottom"/>
            <w:tcBorders>
              <w:bottom w:val="single" w:sz="8" w:color="CF0A2C"/>
            </w:tcBorders>
          </w:tcPr>
          <w:p>
            <w:pPr>
              <w:spacing w:after="0"/>
              <w:rPr>
                <w:sz w:val="10"/>
                <w:szCs w:val="10"/>
                <w:color w:val="auto"/>
              </w:rPr>
            </w:pPr>
          </w:p>
        </w:tc>
        <w:tc>
          <w:tcPr>
            <w:tcW w:w="20" w:type="dxa"/>
            <w:vAlign w:val="bottom"/>
            <w:tcBorders>
              <w:bottom w:val="single" w:sz="8" w:color="CF0A2C"/>
            </w:tcBorders>
          </w:tcPr>
          <w:p>
            <w:pPr>
              <w:spacing w:after="0"/>
              <w:rPr>
                <w:sz w:val="10"/>
                <w:szCs w:val="10"/>
                <w:color w:val="auto"/>
              </w:rPr>
            </w:pPr>
          </w:p>
        </w:tc>
        <w:tc>
          <w:tcPr>
            <w:tcW w:w="980" w:type="dxa"/>
            <w:vAlign w:val="bottom"/>
            <w:tcBorders>
              <w:bottom w:val="single" w:sz="8" w:color="CF0A2C"/>
            </w:tcBorders>
          </w:tcPr>
          <w:p>
            <w:pPr>
              <w:spacing w:after="0"/>
              <w:rPr>
                <w:sz w:val="10"/>
                <w:szCs w:val="10"/>
                <w:color w:val="auto"/>
              </w:rPr>
            </w:pPr>
          </w:p>
        </w:tc>
        <w:tc>
          <w:tcPr>
            <w:tcW w:w="1040" w:type="dxa"/>
            <w:vAlign w:val="bottom"/>
            <w:tcBorders>
              <w:bottom w:val="single" w:sz="8" w:color="CF0A2C"/>
            </w:tcBorders>
          </w:tcPr>
          <w:p>
            <w:pPr>
              <w:spacing w:after="0"/>
              <w:rPr>
                <w:sz w:val="10"/>
                <w:szCs w:val="10"/>
                <w:color w:val="auto"/>
              </w:rPr>
            </w:pPr>
          </w:p>
        </w:tc>
        <w:tc>
          <w:tcPr>
            <w:tcW w:w="1580" w:type="dxa"/>
            <w:vAlign w:val="bottom"/>
            <w:tcBorders>
              <w:bottom w:val="single" w:sz="8" w:color="CF0A2C"/>
              <w:right w:val="single" w:sz="8" w:color="CF0A2C"/>
            </w:tcBorders>
          </w:tcPr>
          <w:p>
            <w:pPr>
              <w:spacing w:after="0"/>
              <w:rPr>
                <w:sz w:val="10"/>
                <w:szCs w:val="10"/>
                <w:color w:val="auto"/>
              </w:rPr>
            </w:pPr>
          </w:p>
        </w:tc>
        <w:tc>
          <w:tcPr>
            <w:tcW w:w="3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900" w:type="dxa"/>
            <w:vAlign w:val="bottom"/>
          </w:tcPr>
          <w:p>
            <w:pPr>
              <w:jc w:val="center"/>
              <w:spacing w:after="0"/>
              <w:rPr>
                <w:sz w:val="20"/>
                <w:szCs w:val="20"/>
                <w:color w:val="auto"/>
              </w:rPr>
            </w:pPr>
            <w:r>
              <w:rPr>
                <w:rFonts w:ascii="Arial" w:cs="Arial" w:eastAsia="Arial" w:hAnsi="Arial"/>
                <w:sz w:val="13"/>
                <w:szCs w:val="13"/>
                <w:color w:val="262626"/>
                <w:w w:val="82"/>
              </w:rPr>
              <w:t>4</w:t>
            </w:r>
          </w:p>
        </w:tc>
        <w:tc>
          <w:tcPr>
            <w:tcW w:w="840" w:type="dxa"/>
            <w:vAlign w:val="bottom"/>
          </w:tcPr>
          <w:p>
            <w:pPr>
              <w:jc w:val="center"/>
              <w:ind w:left="17"/>
              <w:spacing w:after="0"/>
              <w:rPr>
                <w:sz w:val="20"/>
                <w:szCs w:val="20"/>
                <w:color w:val="auto"/>
              </w:rPr>
            </w:pPr>
            <w:r>
              <w:rPr>
                <w:rFonts w:ascii="Arial" w:cs="Arial" w:eastAsia="Arial" w:hAnsi="Arial"/>
                <w:sz w:val="13"/>
                <w:szCs w:val="13"/>
                <w:color w:val="262626"/>
                <w:w w:val="96"/>
              </w:rPr>
              <w:t>125%</w:t>
            </w:r>
          </w:p>
        </w:tc>
        <w:tc>
          <w:tcPr>
            <w:tcW w:w="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262626"/>
                <w:w w:val="94"/>
              </w:rPr>
              <w:t>78,140 shares</w:t>
            </w:r>
          </w:p>
        </w:tc>
        <w:tc>
          <w:tcPr>
            <w:tcW w:w="1040" w:type="dxa"/>
            <w:vAlign w:val="bottom"/>
          </w:tcPr>
          <w:p>
            <w:pPr>
              <w:jc w:val="center"/>
              <w:spacing w:after="0"/>
              <w:rPr>
                <w:sz w:val="20"/>
                <w:szCs w:val="20"/>
                <w:color w:val="auto"/>
              </w:rPr>
            </w:pPr>
            <w:r>
              <w:rPr>
                <w:rFonts w:ascii="Arial" w:cs="Arial" w:eastAsia="Arial" w:hAnsi="Arial"/>
                <w:sz w:val="13"/>
                <w:szCs w:val="13"/>
                <w:color w:val="262626"/>
                <w:w w:val="97"/>
              </w:rPr>
              <w:t>93,750 shares</w:t>
            </w:r>
          </w:p>
        </w:tc>
        <w:tc>
          <w:tcPr>
            <w:tcW w:w="1580" w:type="dxa"/>
            <w:vAlign w:val="bottom"/>
            <w:tcBorders>
              <w:right w:val="single" w:sz="8" w:color="CF0A2C"/>
            </w:tcBorders>
          </w:tcPr>
          <w:p>
            <w:pPr>
              <w:jc w:val="center"/>
              <w:spacing w:after="0"/>
              <w:rPr>
                <w:sz w:val="20"/>
                <w:szCs w:val="20"/>
                <w:color w:val="auto"/>
              </w:rPr>
            </w:pPr>
            <w:r>
              <w:rPr>
                <w:rFonts w:ascii="Arial" w:cs="Arial" w:eastAsia="Arial" w:hAnsi="Arial"/>
                <w:sz w:val="13"/>
                <w:szCs w:val="13"/>
                <w:color w:val="262626"/>
                <w:w w:val="95"/>
              </w:rPr>
              <w:t>125,000 shares</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900" w:type="dxa"/>
            <w:vAlign w:val="bottom"/>
            <w:tcBorders>
              <w:bottom w:val="single" w:sz="8" w:color="CF0A2C"/>
            </w:tcBorders>
          </w:tcPr>
          <w:p>
            <w:pPr>
              <w:spacing w:after="0"/>
              <w:rPr>
                <w:sz w:val="10"/>
                <w:szCs w:val="10"/>
                <w:color w:val="auto"/>
              </w:rPr>
            </w:pPr>
          </w:p>
        </w:tc>
        <w:tc>
          <w:tcPr>
            <w:tcW w:w="840" w:type="dxa"/>
            <w:vAlign w:val="bottom"/>
            <w:tcBorders>
              <w:bottom w:val="single" w:sz="8" w:color="CF0A2C"/>
            </w:tcBorders>
          </w:tcPr>
          <w:p>
            <w:pPr>
              <w:spacing w:after="0"/>
              <w:rPr>
                <w:sz w:val="10"/>
                <w:szCs w:val="10"/>
                <w:color w:val="auto"/>
              </w:rPr>
            </w:pPr>
          </w:p>
        </w:tc>
        <w:tc>
          <w:tcPr>
            <w:tcW w:w="20" w:type="dxa"/>
            <w:vAlign w:val="bottom"/>
            <w:tcBorders>
              <w:bottom w:val="single" w:sz="8" w:color="CF0A2C"/>
            </w:tcBorders>
          </w:tcPr>
          <w:p>
            <w:pPr>
              <w:spacing w:after="0"/>
              <w:rPr>
                <w:sz w:val="10"/>
                <w:szCs w:val="10"/>
                <w:color w:val="auto"/>
              </w:rPr>
            </w:pPr>
          </w:p>
        </w:tc>
        <w:tc>
          <w:tcPr>
            <w:tcW w:w="980" w:type="dxa"/>
            <w:vAlign w:val="bottom"/>
            <w:tcBorders>
              <w:bottom w:val="single" w:sz="8" w:color="CF0A2C"/>
            </w:tcBorders>
          </w:tcPr>
          <w:p>
            <w:pPr>
              <w:spacing w:after="0"/>
              <w:rPr>
                <w:sz w:val="10"/>
                <w:szCs w:val="10"/>
                <w:color w:val="auto"/>
              </w:rPr>
            </w:pPr>
          </w:p>
        </w:tc>
        <w:tc>
          <w:tcPr>
            <w:tcW w:w="1040" w:type="dxa"/>
            <w:vAlign w:val="bottom"/>
            <w:tcBorders>
              <w:bottom w:val="single" w:sz="8" w:color="CF0A2C"/>
            </w:tcBorders>
          </w:tcPr>
          <w:p>
            <w:pPr>
              <w:spacing w:after="0"/>
              <w:rPr>
                <w:sz w:val="10"/>
                <w:szCs w:val="10"/>
                <w:color w:val="auto"/>
              </w:rPr>
            </w:pPr>
          </w:p>
        </w:tc>
        <w:tc>
          <w:tcPr>
            <w:tcW w:w="1580" w:type="dxa"/>
            <w:vAlign w:val="bottom"/>
            <w:tcBorders>
              <w:bottom w:val="single" w:sz="8" w:color="CF0A2C"/>
              <w:right w:val="single" w:sz="8" w:color="CF0A2C"/>
            </w:tcBorders>
          </w:tcPr>
          <w:p>
            <w:pPr>
              <w:spacing w:after="0"/>
              <w:rPr>
                <w:sz w:val="10"/>
                <w:szCs w:val="10"/>
                <w:color w:val="auto"/>
              </w:rPr>
            </w:pPr>
          </w:p>
        </w:tc>
        <w:tc>
          <w:tcPr>
            <w:tcW w:w="3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900" w:type="dxa"/>
            <w:vAlign w:val="bottom"/>
          </w:tcPr>
          <w:p>
            <w:pPr>
              <w:jc w:val="center"/>
              <w:spacing w:after="0"/>
              <w:rPr>
                <w:sz w:val="20"/>
                <w:szCs w:val="20"/>
                <w:color w:val="auto"/>
              </w:rPr>
            </w:pPr>
            <w:r>
              <w:rPr>
                <w:rFonts w:ascii="Arial" w:cs="Arial" w:eastAsia="Arial" w:hAnsi="Arial"/>
                <w:sz w:val="13"/>
                <w:szCs w:val="13"/>
                <w:b w:val="1"/>
                <w:bCs w:val="1"/>
                <w:color w:val="262626"/>
                <w:w w:val="96"/>
              </w:rPr>
              <w:t>Total</w:t>
            </w:r>
          </w:p>
        </w:tc>
        <w:tc>
          <w:tcPr>
            <w:tcW w:w="840" w:type="dxa"/>
            <w:vAlign w:val="bottom"/>
          </w:tcPr>
          <w:p>
            <w:pPr>
              <w:jc w:val="center"/>
              <w:ind w:left="17"/>
              <w:spacing w:after="0"/>
              <w:rPr>
                <w:sz w:val="20"/>
                <w:szCs w:val="20"/>
                <w:color w:val="auto"/>
              </w:rPr>
            </w:pPr>
            <w:r>
              <w:rPr>
                <w:rFonts w:ascii="Arial" w:cs="Arial" w:eastAsia="Arial" w:hAnsi="Arial"/>
                <w:sz w:val="13"/>
                <w:szCs w:val="13"/>
                <w:b w:val="1"/>
                <w:bCs w:val="1"/>
                <w:color w:val="262626"/>
                <w:w w:val="96"/>
              </w:rPr>
              <w:t>200%</w:t>
            </w:r>
          </w:p>
        </w:tc>
        <w:tc>
          <w:tcPr>
            <w:tcW w:w="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262626"/>
                <w:w w:val="97"/>
              </w:rPr>
              <w:t>125,000 shares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262626"/>
                <w:w w:val="95"/>
              </w:rPr>
              <w:t>150,000 shares</w:t>
            </w:r>
          </w:p>
        </w:tc>
        <w:tc>
          <w:tcPr>
            <w:tcW w:w="1580" w:type="dxa"/>
            <w:vAlign w:val="bottom"/>
            <w:tcBorders>
              <w:right w:val="single" w:sz="8" w:color="CF0A2C"/>
            </w:tcBorders>
          </w:tcPr>
          <w:p>
            <w:pPr>
              <w:jc w:val="center"/>
              <w:spacing w:after="0"/>
              <w:rPr>
                <w:sz w:val="20"/>
                <w:szCs w:val="20"/>
                <w:color w:val="auto"/>
              </w:rPr>
            </w:pPr>
            <w:r>
              <w:rPr>
                <w:rFonts w:ascii="Arial" w:cs="Arial" w:eastAsia="Arial" w:hAnsi="Arial"/>
                <w:sz w:val="13"/>
                <w:szCs w:val="13"/>
                <w:b w:val="1"/>
                <w:bCs w:val="1"/>
                <w:color w:val="262626"/>
                <w:w w:val="97"/>
              </w:rPr>
              <w:t>200,000 shares</w:t>
            </w: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80" w:type="dxa"/>
            <w:vAlign w:val="bottom"/>
            <w:tcBorders>
              <w:right w:val="single" w:sz="8" w:color="CF0A2C"/>
            </w:tcBorders>
          </w:tcPr>
          <w:p>
            <w:pPr>
              <w:spacing w:after="0"/>
              <w:rPr>
                <w:sz w:val="10"/>
                <w:szCs w:val="10"/>
                <w:color w:val="auto"/>
              </w:rPr>
            </w:pPr>
          </w:p>
        </w:tc>
        <w:tc>
          <w:tcPr>
            <w:tcW w:w="3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-1235075</wp:posOffset>
            </wp:positionV>
            <wp:extent cx="1022985" cy="1962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2985" cy="1962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-979170</wp:posOffset>
            </wp:positionV>
            <wp:extent cx="1337945" cy="1962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37945" cy="1962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-723900</wp:posOffset>
            </wp:positionV>
            <wp:extent cx="1661795" cy="1962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61795" cy="1962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-485140</wp:posOffset>
            </wp:positionV>
            <wp:extent cx="1993900" cy="1962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93900" cy="196215"/>
                    </a:xfrm>
                    <a:prstGeom prst="rect">
                      <a:avLst/>
                    </a:prstGeom>
                    <a:noFill/>
                  </pic:spPr>
                </pic:pic>
              </a:graphicData>
            </a:graphic>
          </wp:anchor>
        </w:drawing>
      </w:r>
    </w:p>
    <w:p>
      <w:pPr>
        <w:spacing w:after="0" w:line="127" w:lineRule="exact"/>
        <w:rPr>
          <w:sz w:val="20"/>
          <w:szCs w:val="20"/>
          <w:color w:val="auto"/>
        </w:rPr>
      </w:pPr>
    </w:p>
    <w:p>
      <w:pPr>
        <w:jc w:val="both"/>
        <w:ind w:left="1280" w:right="179"/>
        <w:spacing w:after="0" w:line="352" w:lineRule="auto"/>
        <w:rPr>
          <w:sz w:val="20"/>
          <w:szCs w:val="20"/>
          <w:color w:val="auto"/>
        </w:rPr>
      </w:pPr>
      <w:r>
        <w:rPr>
          <w:rFonts w:ascii="Arial" w:cs="Arial" w:eastAsia="Arial" w:hAnsi="Arial"/>
          <w:sz w:val="16"/>
          <w:szCs w:val="16"/>
          <w:color w:val="262626"/>
        </w:rPr>
        <w:t>The 2019 Multi-Year Awards that commenced vesting in fiscal 2022 are subject to four overlapping performance periods ending on each March 1st of 2023, 2024, 2025 and 2026. The table below sets forth the Relative TSR attainment and the percentage and number of target shares subject to the PSU award earned for the completed performance period.</w:t>
      </w:r>
    </w:p>
    <w:p>
      <w:pPr>
        <w:spacing w:after="0" w:line="151" w:lineRule="exact"/>
        <w:rPr>
          <w:sz w:val="20"/>
          <w:szCs w:val="20"/>
          <w:color w:val="auto"/>
        </w:rPr>
      </w:pPr>
    </w:p>
    <w:tbl>
      <w:tblPr>
        <w:tblLayout w:type="fixed"/>
        <w:tblInd w:w="1280" w:type="dxa"/>
        <w:tblCellMar>
          <w:top w:w="0" w:type="dxa"/>
          <w:left w:w="0" w:type="dxa"/>
          <w:bottom w:w="0" w:type="dxa"/>
          <w:right w:w="0" w:type="dxa"/>
        </w:tblCellMar>
      </w:tblPr>
      <w:tr>
        <w:trPr>
          <w:trHeight w:val="143"/>
        </w:trPr>
        <w:tc>
          <w:tcPr>
            <w:tcW w:w="940" w:type="dxa"/>
            <w:vAlign w:val="bottom"/>
            <w:tcBorders>
              <w:top w:val="single" w:sz="8" w:color="CF0A2C"/>
            </w:tcBorders>
          </w:tcPr>
          <w:p>
            <w:pPr>
              <w:spacing w:after="0"/>
              <w:rPr>
                <w:sz w:val="12"/>
                <w:szCs w:val="12"/>
                <w:color w:val="auto"/>
              </w:rPr>
            </w:pPr>
          </w:p>
        </w:tc>
        <w:tc>
          <w:tcPr>
            <w:tcW w:w="880" w:type="dxa"/>
            <w:vAlign w:val="bottom"/>
            <w:tcBorders>
              <w:top w:val="single" w:sz="8" w:color="CF0A2C"/>
            </w:tcBorders>
            <w:gridSpan w:val="2"/>
          </w:tcPr>
          <w:p>
            <w:pPr>
              <w:jc w:val="center"/>
              <w:spacing w:after="0" w:line="143" w:lineRule="exact"/>
              <w:rPr>
                <w:sz w:val="20"/>
                <w:szCs w:val="20"/>
                <w:color w:val="auto"/>
              </w:rPr>
            </w:pPr>
            <w:r>
              <w:rPr>
                <w:rFonts w:ascii="Arial" w:cs="Arial" w:eastAsia="Arial" w:hAnsi="Arial"/>
                <w:sz w:val="13"/>
                <w:szCs w:val="13"/>
                <w:b w:val="1"/>
                <w:bCs w:val="1"/>
                <w:color w:val="262626"/>
              </w:rPr>
              <w:t>   </w:t>
            </w:r>
          </w:p>
        </w:tc>
        <w:tc>
          <w:tcPr>
            <w:tcW w:w="1040" w:type="dxa"/>
            <w:vAlign w:val="bottom"/>
            <w:tcBorders>
              <w:top w:val="single" w:sz="8" w:color="CF0A2C"/>
            </w:tcBorders>
          </w:tcPr>
          <w:p>
            <w:pPr>
              <w:spacing w:after="0"/>
              <w:rPr>
                <w:sz w:val="12"/>
                <w:szCs w:val="12"/>
                <w:color w:val="auto"/>
              </w:rPr>
            </w:pPr>
          </w:p>
        </w:tc>
        <w:tc>
          <w:tcPr>
            <w:tcW w:w="2680" w:type="dxa"/>
            <w:vAlign w:val="bottom"/>
            <w:tcBorders>
              <w:top w:val="single" w:sz="8" w:color="CF0A2C"/>
              <w:right w:val="single" w:sz="8" w:color="CF0A2C"/>
            </w:tcBorders>
            <w:gridSpan w:val="2"/>
            <w:vMerge w:val="restart"/>
          </w:tcPr>
          <w:p>
            <w:pPr>
              <w:ind w:left="40"/>
              <w:spacing w:after="0"/>
              <w:rPr>
                <w:sz w:val="20"/>
                <w:szCs w:val="20"/>
                <w:color w:val="auto"/>
              </w:rPr>
            </w:pPr>
            <w:r>
              <w:rPr>
                <w:rFonts w:ascii="Arial" w:cs="Arial" w:eastAsia="Arial" w:hAnsi="Arial"/>
                <w:sz w:val="13"/>
                <w:szCs w:val="13"/>
                <w:b w:val="1"/>
                <w:bCs w:val="1"/>
                <w:color w:val="262626"/>
              </w:rPr>
              <w:t>Number of Shares Earned</w:t>
            </w:r>
          </w:p>
        </w:tc>
        <w:tc>
          <w:tcPr>
            <w:tcW w:w="3160" w:type="dxa"/>
            <w:vAlign w:val="bottom"/>
            <w:tcBorders>
              <w:top w:val="single" w:sz="8" w:color="CF0A2C"/>
            </w:tcBorders>
            <w:vMerge w:val="restart"/>
          </w:tcPr>
          <w:p>
            <w:pPr>
              <w:ind w:left="480"/>
              <w:spacing w:after="0"/>
              <w:rPr>
                <w:sz w:val="20"/>
                <w:szCs w:val="20"/>
                <w:color w:val="auto"/>
              </w:rPr>
            </w:pPr>
            <w:r>
              <w:rPr>
                <w:rFonts w:ascii="Arial" w:cs="Arial" w:eastAsia="Arial" w:hAnsi="Arial"/>
                <w:sz w:val="13"/>
                <w:szCs w:val="13"/>
                <w:b w:val="1"/>
                <w:bCs w:val="1"/>
                <w:color w:val="262626"/>
              </w:rPr>
              <w:t>Relative TSR Performance Over Period</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880" w:type="dxa"/>
            <w:vAlign w:val="bottom"/>
            <w:gridSpan w:val="2"/>
          </w:tcPr>
          <w:p>
            <w:pPr>
              <w:jc w:val="center"/>
              <w:ind w:left="17"/>
              <w:spacing w:after="0" w:line="134" w:lineRule="exact"/>
              <w:rPr>
                <w:sz w:val="20"/>
                <w:szCs w:val="20"/>
                <w:color w:val="auto"/>
              </w:rPr>
            </w:pPr>
            <w:r>
              <w:rPr>
                <w:rFonts w:ascii="Arial" w:cs="Arial" w:eastAsia="Arial" w:hAnsi="Arial"/>
                <w:sz w:val="13"/>
                <w:szCs w:val="13"/>
                <w:b w:val="1"/>
                <w:bCs w:val="1"/>
                <w:color w:val="262626"/>
                <w:w w:val="96"/>
              </w:rPr>
              <w:t>% of Target   </w:t>
            </w:r>
          </w:p>
        </w:tc>
        <w:tc>
          <w:tcPr>
            <w:tcW w:w="1040" w:type="dxa"/>
            <w:vAlign w:val="bottom"/>
          </w:tcPr>
          <w:p>
            <w:pPr>
              <w:spacing w:after="0"/>
              <w:rPr>
                <w:sz w:val="11"/>
                <w:szCs w:val="11"/>
                <w:color w:val="auto"/>
              </w:rPr>
            </w:pPr>
          </w:p>
        </w:tc>
        <w:tc>
          <w:tcPr>
            <w:tcW w:w="2680" w:type="dxa"/>
            <w:vAlign w:val="bottom"/>
            <w:tcBorders>
              <w:right w:val="single" w:sz="8" w:color="CF0A2C"/>
            </w:tcBorders>
            <w:gridSpan w:val="2"/>
            <w:vMerge w:val="continue"/>
          </w:tcPr>
          <w:p>
            <w:pPr>
              <w:spacing w:after="0"/>
              <w:rPr>
                <w:sz w:val="11"/>
                <w:szCs w:val="11"/>
                <w:color w:val="auto"/>
              </w:rPr>
            </w:pPr>
          </w:p>
        </w:tc>
        <w:tc>
          <w:tcPr>
            <w:tcW w:w="3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940" w:type="dxa"/>
            <w:vAlign w:val="bottom"/>
            <w:vMerge w:val="restart"/>
          </w:tcPr>
          <w:p>
            <w:pPr>
              <w:jc w:val="center"/>
              <w:ind w:right="17"/>
              <w:spacing w:after="0" w:line="139" w:lineRule="exact"/>
              <w:rPr>
                <w:sz w:val="20"/>
                <w:szCs w:val="20"/>
                <w:color w:val="auto"/>
              </w:rPr>
            </w:pPr>
            <w:r>
              <w:rPr>
                <w:rFonts w:ascii="Arial" w:cs="Arial" w:eastAsia="Arial" w:hAnsi="Arial"/>
                <w:sz w:val="13"/>
                <w:szCs w:val="13"/>
                <w:b w:val="1"/>
                <w:bCs w:val="1"/>
                <w:color w:val="262626"/>
                <w:w w:val="89"/>
              </w:rPr>
              <w:t>  Performance </w:t>
            </w:r>
          </w:p>
        </w:tc>
        <w:tc>
          <w:tcPr>
            <w:tcW w:w="840" w:type="dxa"/>
            <w:vAlign w:val="bottom"/>
            <w:vMerge w:val="restart"/>
          </w:tcPr>
          <w:p>
            <w:pPr>
              <w:jc w:val="center"/>
              <w:ind w:left="37"/>
              <w:spacing w:after="0" w:line="139" w:lineRule="exact"/>
              <w:rPr>
                <w:sz w:val="20"/>
                <w:szCs w:val="20"/>
                <w:color w:val="auto"/>
              </w:rPr>
            </w:pPr>
            <w:r>
              <w:rPr>
                <w:rFonts w:ascii="Arial" w:cs="Arial" w:eastAsia="Arial" w:hAnsi="Arial"/>
                <w:sz w:val="13"/>
                <w:szCs w:val="13"/>
                <w:b w:val="1"/>
                <w:bCs w:val="1"/>
                <w:color w:val="262626"/>
                <w:w w:val="97"/>
              </w:rPr>
              <w:t>   Shares   </w:t>
            </w:r>
          </w:p>
        </w:tc>
        <w:tc>
          <w:tcPr>
            <w:tcW w:w="4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1640" w:type="dxa"/>
            <w:vAlign w:val="bottom"/>
            <w:tcBorders>
              <w:bottom w:val="single" w:sz="8" w:color="7F7F7F"/>
              <w:right w:val="single" w:sz="8" w:color="CF0A2C"/>
            </w:tcBorders>
          </w:tcPr>
          <w:p>
            <w:pPr>
              <w:spacing w:after="0"/>
              <w:rPr>
                <w:sz w:val="3"/>
                <w:szCs w:val="3"/>
                <w:color w:val="auto"/>
              </w:rPr>
            </w:pPr>
          </w:p>
        </w:tc>
        <w:tc>
          <w:tcPr>
            <w:tcW w:w="31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9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40" w:type="dxa"/>
            <w:vAlign w:val="bottom"/>
            <w:tcBorders>
              <w:right w:val="single" w:sz="8" w:color="CF0A2C"/>
            </w:tcBorders>
          </w:tcPr>
          <w:p>
            <w:pPr>
              <w:spacing w:after="0"/>
              <w:rPr>
                <w:sz w:val="6"/>
                <w:szCs w:val="6"/>
                <w:color w:val="auto"/>
              </w:rPr>
            </w:pPr>
          </w:p>
        </w:tc>
        <w:tc>
          <w:tcPr>
            <w:tcW w:w="3160" w:type="dxa"/>
            <w:vAlign w:val="bottom"/>
            <w:vMerge w:val="restart"/>
          </w:tcPr>
          <w:p>
            <w:pPr>
              <w:ind w:left="140"/>
              <w:spacing w:after="0"/>
              <w:rPr>
                <w:sz w:val="20"/>
                <w:szCs w:val="20"/>
                <w:color w:val="auto"/>
              </w:rPr>
            </w:pPr>
            <w:r>
              <w:rPr>
                <w:rFonts w:ascii="Arial" w:cs="Arial" w:eastAsia="Arial" w:hAnsi="Arial"/>
                <w:sz w:val="13"/>
                <w:szCs w:val="13"/>
                <w:b w:val="1"/>
                <w:bCs w:val="1"/>
                <w:color w:val="262626"/>
              </w:rPr>
              <w:t xml:space="preserve">         2022         2023         2024         2025             </w:t>
            </w:r>
          </w:p>
        </w:tc>
        <w:tc>
          <w:tcPr>
            <w:tcW w:w="0" w:type="dxa"/>
            <w:vAlign w:val="bottom"/>
          </w:tcPr>
          <w:p>
            <w:pPr>
              <w:spacing w:after="0"/>
              <w:rPr>
                <w:sz w:val="1"/>
                <w:szCs w:val="1"/>
                <w:color w:val="auto"/>
              </w:rPr>
            </w:pPr>
          </w:p>
        </w:tc>
      </w:tr>
      <w:tr>
        <w:trPr>
          <w:trHeight w:val="180"/>
        </w:trPr>
        <w:tc>
          <w:tcPr>
            <w:tcW w:w="940" w:type="dxa"/>
            <w:vAlign w:val="bottom"/>
          </w:tcPr>
          <w:p>
            <w:pPr>
              <w:jc w:val="center"/>
              <w:spacing w:after="0"/>
              <w:rPr>
                <w:sz w:val="20"/>
                <w:szCs w:val="20"/>
                <w:color w:val="auto"/>
              </w:rPr>
            </w:pPr>
            <w:r>
              <w:rPr>
                <w:rFonts w:ascii="Arial" w:cs="Arial" w:eastAsia="Arial" w:hAnsi="Arial"/>
                <w:sz w:val="13"/>
                <w:szCs w:val="13"/>
                <w:b w:val="1"/>
                <w:bCs w:val="1"/>
                <w:color w:val="262626"/>
                <w:w w:val="93"/>
              </w:rPr>
              <w:t>Period</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262626"/>
                <w:w w:val="96"/>
              </w:rPr>
              <w:t>   Earned   </w:t>
            </w:r>
          </w:p>
        </w:tc>
        <w:tc>
          <w:tcPr>
            <w:tcW w:w="1040" w:type="dxa"/>
            <w:vAlign w:val="bottom"/>
          </w:tcPr>
          <w:p>
            <w:pPr>
              <w:jc w:val="center"/>
              <w:spacing w:after="0"/>
              <w:rPr>
                <w:sz w:val="20"/>
                <w:szCs w:val="20"/>
                <w:color w:val="auto"/>
              </w:rPr>
            </w:pPr>
            <w:r>
              <w:rPr>
                <w:rFonts w:ascii="Arial" w:cs="Arial" w:eastAsia="Arial" w:hAnsi="Arial"/>
                <w:sz w:val="13"/>
                <w:szCs w:val="13"/>
                <w:color w:val="262626"/>
                <w:w w:val="96"/>
              </w:rPr>
              <w:t>Kirsten M. Spears</w:t>
            </w:r>
          </w:p>
        </w:tc>
        <w:tc>
          <w:tcPr>
            <w:tcW w:w="1040" w:type="dxa"/>
            <w:vAlign w:val="bottom"/>
          </w:tcPr>
          <w:p>
            <w:pPr>
              <w:jc w:val="center"/>
              <w:spacing w:after="0"/>
              <w:rPr>
                <w:sz w:val="20"/>
                <w:szCs w:val="20"/>
                <w:color w:val="auto"/>
              </w:rPr>
            </w:pPr>
            <w:r>
              <w:rPr>
                <w:rFonts w:ascii="Arial" w:cs="Arial" w:eastAsia="Arial" w:hAnsi="Arial"/>
                <w:sz w:val="13"/>
                <w:szCs w:val="13"/>
                <w:color w:val="262626"/>
                <w:w w:val="96"/>
              </w:rPr>
              <w:t>Mark D. Brazeal</w:t>
            </w:r>
          </w:p>
        </w:tc>
        <w:tc>
          <w:tcPr>
            <w:tcW w:w="1640" w:type="dxa"/>
            <w:vAlign w:val="bottom"/>
            <w:tcBorders>
              <w:right w:val="single" w:sz="8" w:color="CF0A2C"/>
            </w:tcBorders>
          </w:tcPr>
          <w:p>
            <w:pPr>
              <w:jc w:val="center"/>
              <w:spacing w:after="0"/>
              <w:rPr>
                <w:sz w:val="20"/>
                <w:szCs w:val="20"/>
                <w:color w:val="auto"/>
              </w:rPr>
            </w:pPr>
            <w:r>
              <w:rPr>
                <w:rFonts w:ascii="Arial" w:cs="Arial" w:eastAsia="Arial" w:hAnsi="Arial"/>
                <w:sz w:val="13"/>
                <w:szCs w:val="13"/>
                <w:color w:val="262626"/>
                <w:w w:val="94"/>
              </w:rPr>
              <w:t> Charlie B. Kawwas, Ph.D. </w:t>
            </w:r>
          </w:p>
        </w:tc>
        <w:tc>
          <w:tcPr>
            <w:tcW w:w="3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40" w:type="dxa"/>
            <w:vAlign w:val="bottom"/>
            <w:tcBorders>
              <w:bottom w:val="single" w:sz="8" w:color="CF0A2C"/>
            </w:tcBorders>
          </w:tcPr>
          <w:p>
            <w:pPr>
              <w:spacing w:after="0"/>
              <w:rPr>
                <w:sz w:val="4"/>
                <w:szCs w:val="4"/>
                <w:color w:val="auto"/>
              </w:rPr>
            </w:pPr>
          </w:p>
        </w:tc>
        <w:tc>
          <w:tcPr>
            <w:tcW w:w="840" w:type="dxa"/>
            <w:vAlign w:val="bottom"/>
            <w:tcBorders>
              <w:bottom w:val="single" w:sz="8" w:color="CF0A2C"/>
            </w:tcBorders>
          </w:tcPr>
          <w:p>
            <w:pPr>
              <w:spacing w:after="0"/>
              <w:rPr>
                <w:sz w:val="4"/>
                <w:szCs w:val="4"/>
                <w:color w:val="auto"/>
              </w:rPr>
            </w:pPr>
          </w:p>
        </w:tc>
        <w:tc>
          <w:tcPr>
            <w:tcW w:w="40" w:type="dxa"/>
            <w:vAlign w:val="bottom"/>
            <w:tcBorders>
              <w:bottom w:val="single" w:sz="8" w:color="CF0A2C"/>
            </w:tcBorders>
          </w:tcPr>
          <w:p>
            <w:pPr>
              <w:spacing w:after="0"/>
              <w:rPr>
                <w:sz w:val="4"/>
                <w:szCs w:val="4"/>
                <w:color w:val="auto"/>
              </w:rPr>
            </w:pPr>
          </w:p>
        </w:tc>
        <w:tc>
          <w:tcPr>
            <w:tcW w:w="1040" w:type="dxa"/>
            <w:vAlign w:val="bottom"/>
            <w:tcBorders>
              <w:bottom w:val="single" w:sz="8" w:color="CF0A2C"/>
            </w:tcBorders>
          </w:tcPr>
          <w:p>
            <w:pPr>
              <w:spacing w:after="0"/>
              <w:rPr>
                <w:sz w:val="4"/>
                <w:szCs w:val="4"/>
                <w:color w:val="auto"/>
              </w:rPr>
            </w:pPr>
          </w:p>
        </w:tc>
        <w:tc>
          <w:tcPr>
            <w:tcW w:w="1040" w:type="dxa"/>
            <w:vAlign w:val="bottom"/>
            <w:tcBorders>
              <w:bottom w:val="single" w:sz="8" w:color="CF0A2C"/>
            </w:tcBorders>
          </w:tcPr>
          <w:p>
            <w:pPr>
              <w:spacing w:after="0"/>
              <w:rPr>
                <w:sz w:val="4"/>
                <w:szCs w:val="4"/>
                <w:color w:val="auto"/>
              </w:rPr>
            </w:pPr>
          </w:p>
        </w:tc>
        <w:tc>
          <w:tcPr>
            <w:tcW w:w="1640" w:type="dxa"/>
            <w:vAlign w:val="bottom"/>
            <w:tcBorders>
              <w:bottom w:val="single" w:sz="8" w:color="CF0A2C"/>
              <w:right w:val="single" w:sz="8" w:color="CF0A2C"/>
            </w:tcBorders>
          </w:tcPr>
          <w:p>
            <w:pPr>
              <w:spacing w:after="0"/>
              <w:rPr>
                <w:sz w:val="4"/>
                <w:szCs w:val="4"/>
                <w:color w:val="auto"/>
              </w:rPr>
            </w:pPr>
          </w:p>
        </w:tc>
        <w:tc>
          <w:tcPr>
            <w:tcW w:w="3160" w:type="dxa"/>
            <w:vAlign w:val="bottom"/>
            <w:tcBorders>
              <w:bottom w:val="single" w:sz="8" w:color="CF0A2C"/>
            </w:tcBorders>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940" w:type="dxa"/>
            <w:vAlign w:val="bottom"/>
          </w:tcPr>
          <w:p>
            <w:pPr>
              <w:jc w:val="center"/>
              <w:spacing w:after="0"/>
              <w:rPr>
                <w:sz w:val="20"/>
                <w:szCs w:val="20"/>
                <w:color w:val="auto"/>
              </w:rPr>
            </w:pPr>
            <w:r>
              <w:rPr>
                <w:rFonts w:ascii="Arial" w:cs="Arial" w:eastAsia="Arial" w:hAnsi="Arial"/>
                <w:sz w:val="13"/>
                <w:szCs w:val="13"/>
                <w:color w:val="262626"/>
                <w:w w:val="82"/>
              </w:rPr>
              <w:t>1</w:t>
            </w:r>
          </w:p>
        </w:tc>
        <w:tc>
          <w:tcPr>
            <w:tcW w:w="840" w:type="dxa"/>
            <w:vAlign w:val="bottom"/>
          </w:tcPr>
          <w:p>
            <w:pPr>
              <w:jc w:val="center"/>
              <w:ind w:left="37"/>
              <w:spacing w:after="0"/>
              <w:rPr>
                <w:sz w:val="20"/>
                <w:szCs w:val="20"/>
                <w:color w:val="auto"/>
              </w:rPr>
            </w:pPr>
            <w:r>
              <w:rPr>
                <w:rFonts w:ascii="Arial" w:cs="Arial" w:eastAsia="Arial" w:hAnsi="Arial"/>
                <w:sz w:val="13"/>
                <w:szCs w:val="13"/>
                <w:color w:val="262626"/>
                <w:w w:val="99"/>
              </w:rPr>
              <w:t>25%</w:t>
            </w: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262626"/>
                <w:w w:val="97"/>
              </w:rPr>
              <w:t>15,620 shares</w:t>
            </w:r>
          </w:p>
        </w:tc>
        <w:tc>
          <w:tcPr>
            <w:tcW w:w="1040" w:type="dxa"/>
            <w:vAlign w:val="bottom"/>
          </w:tcPr>
          <w:p>
            <w:pPr>
              <w:jc w:val="center"/>
              <w:spacing w:after="0"/>
              <w:rPr>
                <w:sz w:val="20"/>
                <w:szCs w:val="20"/>
                <w:color w:val="auto"/>
              </w:rPr>
            </w:pPr>
            <w:r>
              <w:rPr>
                <w:rFonts w:ascii="Arial" w:cs="Arial" w:eastAsia="Arial" w:hAnsi="Arial"/>
                <w:sz w:val="13"/>
                <w:szCs w:val="13"/>
                <w:color w:val="262626"/>
                <w:w w:val="94"/>
              </w:rPr>
              <w:t>18,750 shares</w:t>
            </w:r>
          </w:p>
        </w:tc>
        <w:tc>
          <w:tcPr>
            <w:tcW w:w="1640" w:type="dxa"/>
            <w:vAlign w:val="bottom"/>
            <w:tcBorders>
              <w:right w:val="single" w:sz="8" w:color="CF0A2C"/>
            </w:tcBorders>
          </w:tcPr>
          <w:p>
            <w:pPr>
              <w:jc w:val="center"/>
              <w:spacing w:after="0"/>
              <w:rPr>
                <w:sz w:val="20"/>
                <w:szCs w:val="20"/>
                <w:color w:val="auto"/>
              </w:rPr>
            </w:pPr>
            <w:r>
              <w:rPr>
                <w:rFonts w:ascii="Arial" w:cs="Arial" w:eastAsia="Arial" w:hAnsi="Arial"/>
                <w:sz w:val="13"/>
                <w:szCs w:val="13"/>
                <w:color w:val="262626"/>
                <w:w w:val="97"/>
              </w:rPr>
              <w:t>25,000 shares</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40" w:type="dxa"/>
            <w:vAlign w:val="bottom"/>
            <w:tcBorders>
              <w:bottom w:val="single" w:sz="8" w:color="CF0A2C"/>
            </w:tcBorders>
          </w:tcPr>
          <w:p>
            <w:pPr>
              <w:spacing w:after="0"/>
              <w:rPr>
                <w:sz w:val="12"/>
                <w:szCs w:val="12"/>
                <w:color w:val="auto"/>
              </w:rPr>
            </w:pPr>
          </w:p>
        </w:tc>
        <w:tc>
          <w:tcPr>
            <w:tcW w:w="840" w:type="dxa"/>
            <w:vAlign w:val="bottom"/>
            <w:tcBorders>
              <w:bottom w:val="single" w:sz="8" w:color="CF0A2C"/>
            </w:tcBorders>
          </w:tcPr>
          <w:p>
            <w:pPr>
              <w:spacing w:after="0"/>
              <w:rPr>
                <w:sz w:val="12"/>
                <w:szCs w:val="12"/>
                <w:color w:val="auto"/>
              </w:rPr>
            </w:pPr>
          </w:p>
        </w:tc>
        <w:tc>
          <w:tcPr>
            <w:tcW w:w="40" w:type="dxa"/>
            <w:vAlign w:val="bottom"/>
            <w:tcBorders>
              <w:bottom w:val="single" w:sz="8" w:color="CF0A2C"/>
            </w:tcBorders>
          </w:tcPr>
          <w:p>
            <w:pPr>
              <w:spacing w:after="0"/>
              <w:rPr>
                <w:sz w:val="12"/>
                <w:szCs w:val="12"/>
                <w:color w:val="auto"/>
              </w:rPr>
            </w:pPr>
          </w:p>
        </w:tc>
        <w:tc>
          <w:tcPr>
            <w:tcW w:w="1040" w:type="dxa"/>
            <w:vAlign w:val="bottom"/>
            <w:tcBorders>
              <w:bottom w:val="single" w:sz="8" w:color="CF0A2C"/>
            </w:tcBorders>
          </w:tcPr>
          <w:p>
            <w:pPr>
              <w:spacing w:after="0"/>
              <w:rPr>
                <w:sz w:val="12"/>
                <w:szCs w:val="12"/>
                <w:color w:val="auto"/>
              </w:rPr>
            </w:pPr>
          </w:p>
        </w:tc>
        <w:tc>
          <w:tcPr>
            <w:tcW w:w="1040" w:type="dxa"/>
            <w:vAlign w:val="bottom"/>
            <w:tcBorders>
              <w:bottom w:val="single" w:sz="8" w:color="CF0A2C"/>
            </w:tcBorders>
          </w:tcPr>
          <w:p>
            <w:pPr>
              <w:spacing w:after="0"/>
              <w:rPr>
                <w:sz w:val="12"/>
                <w:szCs w:val="12"/>
                <w:color w:val="auto"/>
              </w:rPr>
            </w:pPr>
          </w:p>
        </w:tc>
        <w:tc>
          <w:tcPr>
            <w:tcW w:w="1640" w:type="dxa"/>
            <w:vAlign w:val="bottom"/>
            <w:tcBorders>
              <w:bottom w:val="single" w:sz="8" w:color="CF0A2C"/>
              <w:right w:val="single" w:sz="8" w:color="CF0A2C"/>
            </w:tcBorders>
          </w:tcPr>
          <w:p>
            <w:pPr>
              <w:spacing w:after="0"/>
              <w:rPr>
                <w:sz w:val="12"/>
                <w:szCs w:val="12"/>
                <w:color w:val="auto"/>
              </w:rPr>
            </w:pP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940" w:type="dxa"/>
            <w:vAlign w:val="bottom"/>
          </w:tcPr>
          <w:p>
            <w:pPr>
              <w:jc w:val="center"/>
              <w:spacing w:after="0"/>
              <w:rPr>
                <w:sz w:val="20"/>
                <w:szCs w:val="20"/>
                <w:color w:val="auto"/>
              </w:rPr>
            </w:pPr>
            <w:r>
              <w:rPr>
                <w:rFonts w:ascii="Arial" w:cs="Arial" w:eastAsia="Arial" w:hAnsi="Arial"/>
                <w:sz w:val="13"/>
                <w:szCs w:val="13"/>
                <w:color w:val="262626"/>
                <w:w w:val="82"/>
              </w:rPr>
              <w:t>2</w:t>
            </w:r>
          </w:p>
        </w:tc>
        <w:tc>
          <w:tcPr>
            <w:tcW w:w="840" w:type="dxa"/>
            <w:vAlign w:val="bottom"/>
          </w:tcPr>
          <w:p>
            <w:pPr>
              <w:jc w:val="center"/>
              <w:ind w:left="37"/>
              <w:spacing w:after="0"/>
              <w:rPr>
                <w:sz w:val="20"/>
                <w:szCs w:val="20"/>
                <w:color w:val="auto"/>
              </w:rPr>
            </w:pPr>
            <w:r>
              <w:rPr>
                <w:rFonts w:ascii="Arial" w:cs="Arial" w:eastAsia="Arial" w:hAnsi="Arial"/>
                <w:sz w:val="13"/>
                <w:szCs w:val="13"/>
                <w:color w:val="262626"/>
                <w:w w:val="99"/>
              </w:rPr>
              <w:t>25%</w:t>
            </w:r>
          </w:p>
        </w:tc>
        <w:tc>
          <w:tcPr>
            <w:tcW w:w="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262626"/>
                <w:w w:val="97"/>
              </w:rPr>
              <w:t>15,620 shares</w:t>
            </w:r>
          </w:p>
        </w:tc>
        <w:tc>
          <w:tcPr>
            <w:tcW w:w="1040" w:type="dxa"/>
            <w:vAlign w:val="bottom"/>
          </w:tcPr>
          <w:p>
            <w:pPr>
              <w:jc w:val="center"/>
              <w:spacing w:after="0"/>
              <w:rPr>
                <w:sz w:val="20"/>
                <w:szCs w:val="20"/>
                <w:color w:val="auto"/>
              </w:rPr>
            </w:pPr>
            <w:r>
              <w:rPr>
                <w:rFonts w:ascii="Arial" w:cs="Arial" w:eastAsia="Arial" w:hAnsi="Arial"/>
                <w:sz w:val="13"/>
                <w:szCs w:val="13"/>
                <w:color w:val="262626"/>
                <w:w w:val="94"/>
              </w:rPr>
              <w:t>18,750 shares</w:t>
            </w:r>
          </w:p>
        </w:tc>
        <w:tc>
          <w:tcPr>
            <w:tcW w:w="1640" w:type="dxa"/>
            <w:vAlign w:val="bottom"/>
            <w:tcBorders>
              <w:right w:val="single" w:sz="8" w:color="CF0A2C"/>
            </w:tcBorders>
          </w:tcPr>
          <w:p>
            <w:pPr>
              <w:jc w:val="center"/>
              <w:spacing w:after="0"/>
              <w:rPr>
                <w:sz w:val="20"/>
                <w:szCs w:val="20"/>
                <w:color w:val="auto"/>
              </w:rPr>
            </w:pPr>
            <w:r>
              <w:rPr>
                <w:rFonts w:ascii="Arial" w:cs="Arial" w:eastAsia="Arial" w:hAnsi="Arial"/>
                <w:sz w:val="13"/>
                <w:szCs w:val="13"/>
                <w:color w:val="262626"/>
                <w:w w:val="97"/>
              </w:rPr>
              <w:t>25,000 shares</w:t>
            </w:r>
          </w:p>
        </w:tc>
        <w:tc>
          <w:tcPr>
            <w:tcW w:w="3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940" w:type="dxa"/>
            <w:vAlign w:val="bottom"/>
            <w:tcBorders>
              <w:bottom w:val="single" w:sz="8" w:color="CF0A2C"/>
            </w:tcBorders>
          </w:tcPr>
          <w:p>
            <w:pPr>
              <w:spacing w:after="0"/>
              <w:rPr>
                <w:sz w:val="12"/>
                <w:szCs w:val="12"/>
                <w:color w:val="auto"/>
              </w:rPr>
            </w:pPr>
          </w:p>
        </w:tc>
        <w:tc>
          <w:tcPr>
            <w:tcW w:w="840" w:type="dxa"/>
            <w:vAlign w:val="bottom"/>
            <w:tcBorders>
              <w:bottom w:val="single" w:sz="8" w:color="CF0A2C"/>
            </w:tcBorders>
          </w:tcPr>
          <w:p>
            <w:pPr>
              <w:spacing w:after="0"/>
              <w:rPr>
                <w:sz w:val="12"/>
                <w:szCs w:val="12"/>
                <w:color w:val="auto"/>
              </w:rPr>
            </w:pPr>
          </w:p>
        </w:tc>
        <w:tc>
          <w:tcPr>
            <w:tcW w:w="40" w:type="dxa"/>
            <w:vAlign w:val="bottom"/>
            <w:tcBorders>
              <w:bottom w:val="single" w:sz="8" w:color="CF0A2C"/>
            </w:tcBorders>
          </w:tcPr>
          <w:p>
            <w:pPr>
              <w:spacing w:after="0"/>
              <w:rPr>
                <w:sz w:val="12"/>
                <w:szCs w:val="12"/>
                <w:color w:val="auto"/>
              </w:rPr>
            </w:pPr>
          </w:p>
        </w:tc>
        <w:tc>
          <w:tcPr>
            <w:tcW w:w="1040" w:type="dxa"/>
            <w:vAlign w:val="bottom"/>
            <w:tcBorders>
              <w:bottom w:val="single" w:sz="8" w:color="CF0A2C"/>
            </w:tcBorders>
          </w:tcPr>
          <w:p>
            <w:pPr>
              <w:spacing w:after="0"/>
              <w:rPr>
                <w:sz w:val="12"/>
                <w:szCs w:val="12"/>
                <w:color w:val="auto"/>
              </w:rPr>
            </w:pPr>
          </w:p>
        </w:tc>
        <w:tc>
          <w:tcPr>
            <w:tcW w:w="1040" w:type="dxa"/>
            <w:vAlign w:val="bottom"/>
            <w:tcBorders>
              <w:bottom w:val="single" w:sz="8" w:color="CF0A2C"/>
            </w:tcBorders>
          </w:tcPr>
          <w:p>
            <w:pPr>
              <w:spacing w:after="0"/>
              <w:rPr>
                <w:sz w:val="12"/>
                <w:szCs w:val="12"/>
                <w:color w:val="auto"/>
              </w:rPr>
            </w:pPr>
          </w:p>
        </w:tc>
        <w:tc>
          <w:tcPr>
            <w:tcW w:w="1640" w:type="dxa"/>
            <w:vAlign w:val="bottom"/>
            <w:tcBorders>
              <w:bottom w:val="single" w:sz="8" w:color="CF0A2C"/>
              <w:right w:val="single" w:sz="8" w:color="CF0A2C"/>
            </w:tcBorders>
          </w:tcPr>
          <w:p>
            <w:pPr>
              <w:spacing w:after="0"/>
              <w:rPr>
                <w:sz w:val="12"/>
                <w:szCs w:val="12"/>
                <w:color w:val="auto"/>
              </w:rPr>
            </w:pP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940" w:type="dxa"/>
            <w:vAlign w:val="bottom"/>
          </w:tcPr>
          <w:p>
            <w:pPr>
              <w:jc w:val="center"/>
              <w:spacing w:after="0"/>
              <w:rPr>
                <w:sz w:val="20"/>
                <w:szCs w:val="20"/>
                <w:color w:val="auto"/>
              </w:rPr>
            </w:pPr>
            <w:r>
              <w:rPr>
                <w:rFonts w:ascii="Arial" w:cs="Arial" w:eastAsia="Arial" w:hAnsi="Arial"/>
                <w:sz w:val="13"/>
                <w:szCs w:val="13"/>
                <w:color w:val="262626"/>
                <w:w w:val="82"/>
              </w:rPr>
              <w:t>3</w:t>
            </w:r>
          </w:p>
        </w:tc>
        <w:tc>
          <w:tcPr>
            <w:tcW w:w="840" w:type="dxa"/>
            <w:vAlign w:val="bottom"/>
          </w:tcPr>
          <w:p>
            <w:pPr>
              <w:jc w:val="center"/>
              <w:ind w:left="37"/>
              <w:spacing w:after="0"/>
              <w:rPr>
                <w:sz w:val="20"/>
                <w:szCs w:val="20"/>
                <w:color w:val="auto"/>
              </w:rPr>
            </w:pPr>
            <w:r>
              <w:rPr>
                <w:rFonts w:ascii="Arial" w:cs="Arial" w:eastAsia="Arial" w:hAnsi="Arial"/>
                <w:sz w:val="13"/>
                <w:szCs w:val="13"/>
                <w:color w:val="262626"/>
                <w:w w:val="99"/>
              </w:rPr>
              <w:t>25%</w:t>
            </w:r>
          </w:p>
        </w:tc>
        <w:tc>
          <w:tcPr>
            <w:tcW w:w="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262626"/>
                <w:w w:val="97"/>
              </w:rPr>
              <w:t>15,620 shares</w:t>
            </w:r>
          </w:p>
        </w:tc>
        <w:tc>
          <w:tcPr>
            <w:tcW w:w="1040" w:type="dxa"/>
            <w:vAlign w:val="bottom"/>
          </w:tcPr>
          <w:p>
            <w:pPr>
              <w:jc w:val="center"/>
              <w:spacing w:after="0"/>
              <w:rPr>
                <w:sz w:val="20"/>
                <w:szCs w:val="20"/>
                <w:color w:val="auto"/>
              </w:rPr>
            </w:pPr>
            <w:r>
              <w:rPr>
                <w:rFonts w:ascii="Arial" w:cs="Arial" w:eastAsia="Arial" w:hAnsi="Arial"/>
                <w:sz w:val="13"/>
                <w:szCs w:val="13"/>
                <w:color w:val="262626"/>
                <w:w w:val="94"/>
              </w:rPr>
              <w:t>18,750 shares</w:t>
            </w:r>
          </w:p>
        </w:tc>
        <w:tc>
          <w:tcPr>
            <w:tcW w:w="1640" w:type="dxa"/>
            <w:vAlign w:val="bottom"/>
            <w:tcBorders>
              <w:right w:val="single" w:sz="8" w:color="CF0A2C"/>
            </w:tcBorders>
          </w:tcPr>
          <w:p>
            <w:pPr>
              <w:jc w:val="center"/>
              <w:spacing w:after="0"/>
              <w:rPr>
                <w:sz w:val="20"/>
                <w:szCs w:val="20"/>
                <w:color w:val="auto"/>
              </w:rPr>
            </w:pPr>
            <w:r>
              <w:rPr>
                <w:rFonts w:ascii="Arial" w:cs="Arial" w:eastAsia="Arial" w:hAnsi="Arial"/>
                <w:sz w:val="13"/>
                <w:szCs w:val="13"/>
                <w:color w:val="262626"/>
                <w:w w:val="97"/>
              </w:rPr>
              <w:t>25,000 shares</w:t>
            </w:r>
          </w:p>
        </w:tc>
        <w:tc>
          <w:tcPr>
            <w:tcW w:w="3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40" w:type="dxa"/>
            <w:vAlign w:val="bottom"/>
            <w:tcBorders>
              <w:right w:val="single" w:sz="8" w:color="CF0A2C"/>
            </w:tcBorders>
          </w:tcPr>
          <w:p>
            <w:pPr>
              <w:spacing w:after="0"/>
              <w:rPr>
                <w:sz w:val="12"/>
                <w:szCs w:val="12"/>
                <w:color w:val="auto"/>
              </w:rPr>
            </w:pP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-774700</wp:posOffset>
            </wp:positionV>
            <wp:extent cx="996950" cy="2044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96950" cy="204470"/>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-493395</wp:posOffset>
            </wp:positionV>
            <wp:extent cx="1337945" cy="2044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37945" cy="204470"/>
                    </a:xfrm>
                    <a:prstGeom prst="rect">
                      <a:avLst/>
                    </a:prstGeom>
                    <a:noFill/>
                  </pic:spPr>
                </pic:pic>
              </a:graphicData>
            </a:graphic>
          </wp:anchor>
        </w:drawing>
        <w:drawing>
          <wp:anchor simplePos="0" relativeHeight="251657728" behindDoc="1" locked="0" layoutInCell="0" allowOverlap="1">
            <wp:simplePos x="0" y="0"/>
            <wp:positionH relativeFrom="column">
              <wp:posOffset>4418965</wp:posOffset>
            </wp:positionH>
            <wp:positionV relativeFrom="paragraph">
              <wp:posOffset>-212725</wp:posOffset>
            </wp:positionV>
            <wp:extent cx="1661795" cy="2044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61795" cy="204470"/>
                    </a:xfrm>
                    <a:prstGeom prst="rect">
                      <a:avLst/>
                    </a:prstGeom>
                    <a:noFill/>
                  </pic:spPr>
                </pic:pic>
              </a:graphicData>
            </a:graphic>
          </wp:anchor>
        </w:drawing>
      </w:r>
    </w:p>
    <w:p>
      <w:pPr>
        <w:sectPr>
          <w:pgSz w:w="11900" w:h="16838" w:orient="portrait"/>
          <w:cols w:equalWidth="0" w:num="1">
            <w:col w:w="10139"/>
          </w:cols>
          <w:pgMar w:left="320" w:top="480" w:right="1440" w:bottom="1039" w:gutter="0" w:footer="0" w:header="0"/>
        </w:sectPr>
      </w:pPr>
    </w:p>
    <w:p>
      <w:pPr>
        <w:spacing w:after="0" w:line="130"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850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039"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2021 Brazeal Promotion PSU Award</w:t>
      </w:r>
    </w:p>
    <w:p>
      <w:pPr>
        <w:spacing w:after="0" w:line="163"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The promotion PSU award granted to Mr. Brazeal in December 2021 was subject to four overlapping performance periods ending on each March 1st of 2022, 2023, 2024 and 2025 and vested, to the extent earned, on the anniversary of the grant date, subject to Mr. Brazeal’s continued employment on the vesting date. The table below sets forth the Relative TSR attainment and the percentage and number of target shares subject to the PSU award earned for the completed performance period. As the Relative TSR was greater than the 75th percentile and our absolute TSR was positive for the fourth performance period, Mr. Brazeal in aggregate earned 200% of the target shares subject to the PSU award. The shares earned for the fourth performance period ending March 1, 2025 vested on December 15, 2025.</w:t>
      </w:r>
    </w:p>
    <w:p>
      <w:pPr>
        <w:spacing w:after="0" w:line="180" w:lineRule="exact"/>
        <w:rPr>
          <w:sz w:val="20"/>
          <w:szCs w:val="20"/>
          <w:color w:val="auto"/>
        </w:rPr>
      </w:pPr>
    </w:p>
    <w:tbl>
      <w:tblPr>
        <w:tblLayout w:type="fixed"/>
        <w:tblInd w:w="1280" w:type="dxa"/>
        <w:tblCellMar>
          <w:top w:w="0" w:type="dxa"/>
          <w:left w:w="0" w:type="dxa"/>
          <w:bottom w:w="0" w:type="dxa"/>
          <w:right w:w="0" w:type="dxa"/>
        </w:tblCellMar>
      </w:tblPr>
      <w:tr>
        <w:trPr>
          <w:trHeight w:val="143"/>
        </w:trPr>
        <w:tc>
          <w:tcPr>
            <w:tcW w:w="900" w:type="dxa"/>
            <w:vAlign w:val="bottom"/>
            <w:tcBorders>
              <w:top w:val="single" w:sz="8" w:color="CF0A2C"/>
            </w:tcBorders>
          </w:tcPr>
          <w:p>
            <w:pPr>
              <w:spacing w:after="0"/>
              <w:rPr>
                <w:sz w:val="12"/>
                <w:szCs w:val="12"/>
                <w:color w:val="auto"/>
              </w:rPr>
            </w:pPr>
          </w:p>
        </w:tc>
        <w:tc>
          <w:tcPr>
            <w:tcW w:w="860" w:type="dxa"/>
            <w:vAlign w:val="bottom"/>
            <w:tcBorders>
              <w:top w:val="single" w:sz="8" w:color="CF0A2C"/>
            </w:tcBorders>
          </w:tcPr>
          <w:p>
            <w:pPr>
              <w:jc w:val="center"/>
              <w:spacing w:after="0"/>
              <w:rPr>
                <w:sz w:val="20"/>
                <w:szCs w:val="20"/>
                <w:color w:val="auto"/>
              </w:rPr>
            </w:pPr>
            <w:r>
              <w:rPr>
                <w:rFonts w:ascii="Arial" w:cs="Arial" w:eastAsia="Arial" w:hAnsi="Arial"/>
                <w:sz w:val="11"/>
                <w:szCs w:val="11"/>
                <w:b w:val="1"/>
                <w:bCs w:val="1"/>
                <w:color w:val="262626"/>
                <w:w w:val="71"/>
              </w:rPr>
              <w:t> </w:t>
            </w:r>
          </w:p>
        </w:tc>
        <w:tc>
          <w:tcPr>
            <w:tcW w:w="3600" w:type="dxa"/>
            <w:vAlign w:val="bottom"/>
            <w:tcBorders>
              <w:top w:val="single" w:sz="8" w:color="CF0A2C"/>
              <w:right w:val="single" w:sz="8" w:color="CF0A2C"/>
            </w:tcBorders>
            <w:vMerge w:val="restart"/>
          </w:tcPr>
          <w:p>
            <w:pPr>
              <w:ind w:left="340"/>
              <w:spacing w:after="0"/>
              <w:rPr>
                <w:sz w:val="20"/>
                <w:szCs w:val="20"/>
                <w:color w:val="auto"/>
              </w:rPr>
            </w:pPr>
            <w:r>
              <w:rPr>
                <w:rFonts w:ascii="Arial" w:cs="Arial" w:eastAsia="Arial" w:hAnsi="Arial"/>
                <w:sz w:val="13"/>
                <w:szCs w:val="13"/>
                <w:b w:val="1"/>
                <w:bCs w:val="1"/>
                <w:color w:val="262626"/>
              </w:rPr>
              <w:t xml:space="preserve">                  Number of Shares Earned                </w:t>
            </w:r>
          </w:p>
        </w:tc>
        <w:tc>
          <w:tcPr>
            <w:tcW w:w="3340" w:type="dxa"/>
            <w:vAlign w:val="bottom"/>
            <w:tcBorders>
              <w:top w:val="single" w:sz="8" w:color="CF0A2C"/>
            </w:tcBorders>
            <w:vMerge w:val="restart"/>
          </w:tcPr>
          <w:p>
            <w:pPr>
              <w:ind w:left="540"/>
              <w:spacing w:after="0"/>
              <w:rPr>
                <w:sz w:val="20"/>
                <w:szCs w:val="20"/>
                <w:color w:val="auto"/>
              </w:rPr>
            </w:pPr>
            <w:r>
              <w:rPr>
                <w:rFonts w:ascii="Arial" w:cs="Arial" w:eastAsia="Arial" w:hAnsi="Arial"/>
                <w:sz w:val="13"/>
                <w:szCs w:val="13"/>
                <w:b w:val="1"/>
                <w:bCs w:val="1"/>
                <w:color w:val="262626"/>
              </w:rPr>
              <w:t>Relative TSR Performance Over Period</w:t>
            </w:r>
          </w:p>
        </w:tc>
        <w:tc>
          <w:tcPr>
            <w:tcW w:w="0" w:type="dxa"/>
            <w:vAlign w:val="bottom"/>
          </w:tcPr>
          <w:p>
            <w:pPr>
              <w:spacing w:after="0"/>
              <w:rPr>
                <w:sz w:val="1"/>
                <w:szCs w:val="1"/>
                <w:color w:val="auto"/>
              </w:rPr>
            </w:pPr>
          </w:p>
        </w:tc>
      </w:tr>
      <w:tr>
        <w:trPr>
          <w:trHeight w:val="139"/>
        </w:trPr>
        <w:tc>
          <w:tcPr>
            <w:tcW w:w="900" w:type="dxa"/>
            <w:vAlign w:val="bottom"/>
          </w:tcPr>
          <w:p>
            <w:pPr>
              <w:ind w:left="400"/>
              <w:spacing w:after="0" w:line="139" w:lineRule="exact"/>
              <w:rPr>
                <w:sz w:val="20"/>
                <w:szCs w:val="20"/>
                <w:color w:val="auto"/>
              </w:rPr>
            </w:pPr>
            <w:r>
              <w:rPr>
                <w:rFonts w:ascii="Arial" w:cs="Arial" w:eastAsia="Arial" w:hAnsi="Arial"/>
                <w:sz w:val="13"/>
                <w:szCs w:val="13"/>
                <w:b w:val="1"/>
                <w:bCs w:val="1"/>
                <w:color w:val="262626"/>
              </w:rPr>
              <w:t> </w:t>
            </w:r>
          </w:p>
        </w:tc>
        <w:tc>
          <w:tcPr>
            <w:tcW w:w="860" w:type="dxa"/>
            <w:vAlign w:val="bottom"/>
          </w:tcPr>
          <w:p>
            <w:pPr>
              <w:ind w:left="100"/>
              <w:spacing w:after="0" w:line="139" w:lineRule="exact"/>
              <w:rPr>
                <w:sz w:val="20"/>
                <w:szCs w:val="20"/>
                <w:color w:val="auto"/>
              </w:rPr>
            </w:pPr>
            <w:r>
              <w:rPr>
                <w:rFonts w:ascii="Arial" w:cs="Arial" w:eastAsia="Arial" w:hAnsi="Arial"/>
                <w:sz w:val="13"/>
                <w:szCs w:val="13"/>
                <w:b w:val="1"/>
                <w:bCs w:val="1"/>
                <w:color w:val="262626"/>
              </w:rPr>
              <w:t>% of Target</w:t>
            </w:r>
          </w:p>
        </w:tc>
        <w:tc>
          <w:tcPr>
            <w:tcW w:w="3600" w:type="dxa"/>
            <w:vAlign w:val="bottom"/>
            <w:tcBorders>
              <w:right w:val="single" w:sz="8" w:color="CF0A2C"/>
            </w:tcBorders>
            <w:vMerge w:val="continue"/>
          </w:tcPr>
          <w:p>
            <w:pPr>
              <w:spacing w:after="0"/>
              <w:rPr>
                <w:sz w:val="12"/>
                <w:szCs w:val="12"/>
                <w:color w:val="auto"/>
              </w:rPr>
            </w:pP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90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262626"/>
                <w:w w:val="92"/>
              </w:rPr>
              <w:t>Performance </w:t>
            </w:r>
          </w:p>
        </w:tc>
        <w:tc>
          <w:tcPr>
            <w:tcW w:w="86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262626"/>
                <w:w w:val="96"/>
              </w:rPr>
              <w:t>Shares</w:t>
            </w:r>
          </w:p>
        </w:tc>
        <w:tc>
          <w:tcPr>
            <w:tcW w:w="3600" w:type="dxa"/>
            <w:vAlign w:val="bottom"/>
            <w:tcBorders>
              <w:bottom w:val="single" w:sz="8" w:color="7F7F7F"/>
              <w:right w:val="single" w:sz="8" w:color="CF0A2C"/>
            </w:tcBorders>
          </w:tcPr>
          <w:p>
            <w:pPr>
              <w:spacing w:after="0"/>
              <w:rPr>
                <w:sz w:val="3"/>
                <w:szCs w:val="3"/>
                <w:color w:val="auto"/>
              </w:rPr>
            </w:pPr>
          </w:p>
        </w:tc>
        <w:tc>
          <w:tcPr>
            <w:tcW w:w="33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9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600" w:type="dxa"/>
            <w:vAlign w:val="bottom"/>
            <w:tcBorders>
              <w:right w:val="single" w:sz="8" w:color="CF0A2C"/>
            </w:tcBorders>
          </w:tcPr>
          <w:p>
            <w:pPr>
              <w:spacing w:after="0"/>
              <w:rPr>
                <w:sz w:val="6"/>
                <w:szCs w:val="6"/>
                <w:color w:val="auto"/>
              </w:rPr>
            </w:pPr>
          </w:p>
        </w:tc>
        <w:tc>
          <w:tcPr>
            <w:tcW w:w="3340" w:type="dxa"/>
            <w:vAlign w:val="bottom"/>
            <w:vMerge w:val="restart"/>
          </w:tcPr>
          <w:p>
            <w:pPr>
              <w:ind w:left="60"/>
              <w:spacing w:after="0"/>
              <w:rPr>
                <w:sz w:val="20"/>
                <w:szCs w:val="20"/>
                <w:color w:val="auto"/>
              </w:rPr>
            </w:pPr>
            <w:r>
              <w:rPr>
                <w:rFonts w:ascii="Arial" w:cs="Arial" w:eastAsia="Arial" w:hAnsi="Arial"/>
                <w:sz w:val="13"/>
                <w:szCs w:val="13"/>
                <w:b w:val="1"/>
                <w:bCs w:val="1"/>
                <w:color w:val="262626"/>
                <w:w w:val="88"/>
              </w:rPr>
              <w:t>      2021          2022         2023         2024         2025     </w:t>
            </w:r>
          </w:p>
        </w:tc>
        <w:tc>
          <w:tcPr>
            <w:tcW w:w="0" w:type="dxa"/>
            <w:vAlign w:val="bottom"/>
          </w:tcPr>
          <w:p>
            <w:pPr>
              <w:spacing w:after="0"/>
              <w:rPr>
                <w:sz w:val="1"/>
                <w:szCs w:val="1"/>
                <w:color w:val="auto"/>
              </w:rPr>
            </w:pPr>
          </w:p>
        </w:tc>
      </w:tr>
      <w:tr>
        <w:trPr>
          <w:trHeight w:val="180"/>
        </w:trPr>
        <w:tc>
          <w:tcPr>
            <w:tcW w:w="900" w:type="dxa"/>
            <w:vAlign w:val="bottom"/>
          </w:tcPr>
          <w:p>
            <w:pPr>
              <w:jc w:val="center"/>
              <w:spacing w:after="0"/>
              <w:rPr>
                <w:sz w:val="20"/>
                <w:szCs w:val="20"/>
                <w:color w:val="auto"/>
              </w:rPr>
            </w:pPr>
            <w:r>
              <w:rPr>
                <w:rFonts w:ascii="Arial" w:cs="Arial" w:eastAsia="Arial" w:hAnsi="Arial"/>
                <w:sz w:val="13"/>
                <w:szCs w:val="13"/>
                <w:b w:val="1"/>
                <w:bCs w:val="1"/>
                <w:color w:val="262626"/>
                <w:w w:val="98"/>
              </w:rPr>
              <w:t>Period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262626"/>
                <w:w w:val="99"/>
              </w:rPr>
              <w:t>Earned</w:t>
            </w:r>
          </w:p>
        </w:tc>
        <w:tc>
          <w:tcPr>
            <w:tcW w:w="3600" w:type="dxa"/>
            <w:vAlign w:val="bottom"/>
            <w:tcBorders>
              <w:right w:val="single" w:sz="8" w:color="CF0A2C"/>
            </w:tcBorders>
          </w:tcPr>
          <w:p>
            <w:pPr>
              <w:jc w:val="center"/>
              <w:ind w:left="77"/>
              <w:spacing w:after="0"/>
              <w:rPr>
                <w:sz w:val="20"/>
                <w:szCs w:val="20"/>
                <w:color w:val="auto"/>
              </w:rPr>
            </w:pPr>
            <w:r>
              <w:rPr>
                <w:rFonts w:ascii="Arial" w:cs="Arial" w:eastAsia="Arial" w:hAnsi="Arial"/>
                <w:sz w:val="13"/>
                <w:szCs w:val="13"/>
                <w:color w:val="262626"/>
                <w:w w:val="96"/>
              </w:rPr>
              <w:t>Mark D. Brazeal</w:t>
            </w:r>
          </w:p>
        </w:tc>
        <w:tc>
          <w:tcPr>
            <w:tcW w:w="3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tcBorders>
              <w:bottom w:val="single" w:sz="8" w:color="CF0A2C"/>
            </w:tcBorders>
          </w:tcPr>
          <w:p>
            <w:pPr>
              <w:spacing w:after="0"/>
              <w:rPr>
                <w:sz w:val="4"/>
                <w:szCs w:val="4"/>
                <w:color w:val="auto"/>
              </w:rPr>
            </w:pPr>
          </w:p>
        </w:tc>
        <w:tc>
          <w:tcPr>
            <w:tcW w:w="860" w:type="dxa"/>
            <w:vAlign w:val="bottom"/>
            <w:tcBorders>
              <w:bottom w:val="single" w:sz="8" w:color="CF0A2C"/>
            </w:tcBorders>
          </w:tcPr>
          <w:p>
            <w:pPr>
              <w:spacing w:after="0"/>
              <w:rPr>
                <w:sz w:val="4"/>
                <w:szCs w:val="4"/>
                <w:color w:val="auto"/>
              </w:rPr>
            </w:pPr>
          </w:p>
        </w:tc>
        <w:tc>
          <w:tcPr>
            <w:tcW w:w="3600" w:type="dxa"/>
            <w:vAlign w:val="bottom"/>
            <w:tcBorders>
              <w:bottom w:val="single" w:sz="8" w:color="CF0A2C"/>
              <w:right w:val="single" w:sz="8" w:color="CF0A2C"/>
            </w:tcBorders>
          </w:tcPr>
          <w:p>
            <w:pPr>
              <w:spacing w:after="0"/>
              <w:rPr>
                <w:sz w:val="4"/>
                <w:szCs w:val="4"/>
                <w:color w:val="auto"/>
              </w:rPr>
            </w:pPr>
          </w:p>
        </w:tc>
        <w:tc>
          <w:tcPr>
            <w:tcW w:w="3340" w:type="dxa"/>
            <w:vAlign w:val="bottom"/>
            <w:tcBorders>
              <w:bottom w:val="single" w:sz="8" w:color="CF0A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900" w:type="dxa"/>
            <w:vAlign w:val="bottom"/>
          </w:tcPr>
          <w:p>
            <w:pPr>
              <w:ind w:left="400"/>
              <w:spacing w:after="0"/>
              <w:rPr>
                <w:sz w:val="20"/>
                <w:szCs w:val="20"/>
                <w:color w:val="auto"/>
              </w:rPr>
            </w:pPr>
            <w:r>
              <w:rPr>
                <w:rFonts w:ascii="Arial" w:cs="Arial" w:eastAsia="Arial" w:hAnsi="Arial"/>
                <w:sz w:val="13"/>
                <w:szCs w:val="13"/>
                <w:color w:val="262626"/>
              </w:rPr>
              <w:t>1</w:t>
            </w:r>
          </w:p>
        </w:tc>
        <w:tc>
          <w:tcPr>
            <w:tcW w:w="860" w:type="dxa"/>
            <w:vAlign w:val="bottom"/>
          </w:tcPr>
          <w:p>
            <w:pPr>
              <w:jc w:val="center"/>
              <w:spacing w:after="0"/>
              <w:rPr>
                <w:sz w:val="20"/>
                <w:szCs w:val="20"/>
                <w:color w:val="auto"/>
              </w:rPr>
            </w:pPr>
            <w:r>
              <w:rPr>
                <w:rFonts w:ascii="Arial" w:cs="Arial" w:eastAsia="Arial" w:hAnsi="Arial"/>
                <w:sz w:val="13"/>
                <w:szCs w:val="13"/>
                <w:color w:val="262626"/>
                <w:w w:val="92"/>
              </w:rPr>
              <w:t>25%</w:t>
            </w:r>
          </w:p>
        </w:tc>
        <w:tc>
          <w:tcPr>
            <w:tcW w:w="3600" w:type="dxa"/>
            <w:vAlign w:val="bottom"/>
            <w:tcBorders>
              <w:right w:val="single" w:sz="8" w:color="CF0A2C"/>
            </w:tcBorders>
          </w:tcPr>
          <w:p>
            <w:pPr>
              <w:jc w:val="center"/>
              <w:ind w:left="57"/>
              <w:spacing w:after="0"/>
              <w:rPr>
                <w:sz w:val="20"/>
                <w:szCs w:val="20"/>
                <w:color w:val="auto"/>
              </w:rPr>
            </w:pPr>
            <w:r>
              <w:rPr>
                <w:rFonts w:ascii="Arial" w:cs="Arial" w:eastAsia="Arial" w:hAnsi="Arial"/>
                <w:sz w:val="13"/>
                <w:szCs w:val="13"/>
                <w:color w:val="262626"/>
                <w:w w:val="97"/>
              </w:rPr>
              <w:t>20,000 shares</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900" w:type="dxa"/>
            <w:vAlign w:val="bottom"/>
            <w:tcBorders>
              <w:bottom w:val="single" w:sz="8" w:color="CF0A2C"/>
            </w:tcBorders>
          </w:tcPr>
          <w:p>
            <w:pPr>
              <w:spacing w:after="0"/>
              <w:rPr>
                <w:sz w:val="11"/>
                <w:szCs w:val="11"/>
                <w:color w:val="auto"/>
              </w:rPr>
            </w:pPr>
          </w:p>
        </w:tc>
        <w:tc>
          <w:tcPr>
            <w:tcW w:w="860" w:type="dxa"/>
            <w:vAlign w:val="bottom"/>
            <w:tcBorders>
              <w:bottom w:val="single" w:sz="8" w:color="CF0A2C"/>
            </w:tcBorders>
          </w:tcPr>
          <w:p>
            <w:pPr>
              <w:spacing w:after="0"/>
              <w:rPr>
                <w:sz w:val="11"/>
                <w:szCs w:val="11"/>
                <w:color w:val="auto"/>
              </w:rPr>
            </w:pPr>
          </w:p>
        </w:tc>
        <w:tc>
          <w:tcPr>
            <w:tcW w:w="3600" w:type="dxa"/>
            <w:vAlign w:val="bottom"/>
            <w:tcBorders>
              <w:bottom w:val="single" w:sz="8" w:color="CF0A2C"/>
              <w:right w:val="single" w:sz="8" w:color="CF0A2C"/>
            </w:tcBorders>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900" w:type="dxa"/>
            <w:vAlign w:val="bottom"/>
          </w:tcPr>
          <w:p>
            <w:pPr>
              <w:ind w:left="400"/>
              <w:spacing w:after="0"/>
              <w:rPr>
                <w:sz w:val="20"/>
                <w:szCs w:val="20"/>
                <w:color w:val="auto"/>
              </w:rPr>
            </w:pPr>
            <w:r>
              <w:rPr>
                <w:rFonts w:ascii="Arial" w:cs="Arial" w:eastAsia="Arial" w:hAnsi="Arial"/>
                <w:sz w:val="13"/>
                <w:szCs w:val="13"/>
                <w:color w:val="262626"/>
              </w:rPr>
              <w:t>2</w:t>
            </w:r>
          </w:p>
        </w:tc>
        <w:tc>
          <w:tcPr>
            <w:tcW w:w="860" w:type="dxa"/>
            <w:vAlign w:val="bottom"/>
          </w:tcPr>
          <w:p>
            <w:pPr>
              <w:jc w:val="center"/>
              <w:spacing w:after="0"/>
              <w:rPr>
                <w:sz w:val="20"/>
                <w:szCs w:val="20"/>
                <w:color w:val="auto"/>
              </w:rPr>
            </w:pPr>
            <w:r>
              <w:rPr>
                <w:rFonts w:ascii="Arial" w:cs="Arial" w:eastAsia="Arial" w:hAnsi="Arial"/>
                <w:sz w:val="13"/>
                <w:szCs w:val="13"/>
                <w:color w:val="262626"/>
                <w:w w:val="92"/>
              </w:rPr>
              <w:t>25%</w:t>
            </w:r>
          </w:p>
        </w:tc>
        <w:tc>
          <w:tcPr>
            <w:tcW w:w="3600" w:type="dxa"/>
            <w:vAlign w:val="bottom"/>
            <w:tcBorders>
              <w:right w:val="single" w:sz="8" w:color="CF0A2C"/>
            </w:tcBorders>
          </w:tcPr>
          <w:p>
            <w:pPr>
              <w:jc w:val="center"/>
              <w:ind w:left="57"/>
              <w:spacing w:after="0"/>
              <w:rPr>
                <w:sz w:val="20"/>
                <w:szCs w:val="20"/>
                <w:color w:val="auto"/>
              </w:rPr>
            </w:pPr>
            <w:r>
              <w:rPr>
                <w:rFonts w:ascii="Arial" w:cs="Arial" w:eastAsia="Arial" w:hAnsi="Arial"/>
                <w:sz w:val="13"/>
                <w:szCs w:val="13"/>
                <w:color w:val="262626"/>
                <w:w w:val="97"/>
              </w:rPr>
              <w:t>20,000 shares</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900" w:type="dxa"/>
            <w:vAlign w:val="bottom"/>
            <w:tcBorders>
              <w:bottom w:val="single" w:sz="8" w:color="CF0A2C"/>
            </w:tcBorders>
          </w:tcPr>
          <w:p>
            <w:pPr>
              <w:spacing w:after="0"/>
              <w:rPr>
                <w:sz w:val="10"/>
                <w:szCs w:val="10"/>
                <w:color w:val="auto"/>
              </w:rPr>
            </w:pPr>
          </w:p>
        </w:tc>
        <w:tc>
          <w:tcPr>
            <w:tcW w:w="860" w:type="dxa"/>
            <w:vAlign w:val="bottom"/>
            <w:tcBorders>
              <w:bottom w:val="single" w:sz="8" w:color="CF0A2C"/>
            </w:tcBorders>
          </w:tcPr>
          <w:p>
            <w:pPr>
              <w:spacing w:after="0"/>
              <w:rPr>
                <w:sz w:val="10"/>
                <w:szCs w:val="10"/>
                <w:color w:val="auto"/>
              </w:rPr>
            </w:pPr>
          </w:p>
        </w:tc>
        <w:tc>
          <w:tcPr>
            <w:tcW w:w="3600" w:type="dxa"/>
            <w:vAlign w:val="bottom"/>
            <w:tcBorders>
              <w:bottom w:val="single" w:sz="8" w:color="CF0A2C"/>
              <w:right w:val="single" w:sz="8" w:color="CF0A2C"/>
            </w:tcBorders>
          </w:tcPr>
          <w:p>
            <w:pPr>
              <w:spacing w:after="0"/>
              <w:rPr>
                <w:sz w:val="10"/>
                <w:szCs w:val="10"/>
                <w:color w:val="auto"/>
              </w:rPr>
            </w:pPr>
          </w:p>
        </w:tc>
        <w:tc>
          <w:tcPr>
            <w:tcW w:w="3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900" w:type="dxa"/>
            <w:vAlign w:val="bottom"/>
          </w:tcPr>
          <w:p>
            <w:pPr>
              <w:ind w:left="400"/>
              <w:spacing w:after="0"/>
              <w:rPr>
                <w:sz w:val="20"/>
                <w:szCs w:val="20"/>
                <w:color w:val="auto"/>
              </w:rPr>
            </w:pPr>
            <w:r>
              <w:rPr>
                <w:rFonts w:ascii="Arial" w:cs="Arial" w:eastAsia="Arial" w:hAnsi="Arial"/>
                <w:sz w:val="13"/>
                <w:szCs w:val="13"/>
                <w:color w:val="262626"/>
              </w:rPr>
              <w:t>3</w:t>
            </w:r>
          </w:p>
        </w:tc>
        <w:tc>
          <w:tcPr>
            <w:tcW w:w="860" w:type="dxa"/>
            <w:vAlign w:val="bottom"/>
          </w:tcPr>
          <w:p>
            <w:pPr>
              <w:jc w:val="center"/>
              <w:spacing w:after="0"/>
              <w:rPr>
                <w:sz w:val="20"/>
                <w:szCs w:val="20"/>
                <w:color w:val="auto"/>
              </w:rPr>
            </w:pPr>
            <w:r>
              <w:rPr>
                <w:rFonts w:ascii="Arial" w:cs="Arial" w:eastAsia="Arial" w:hAnsi="Arial"/>
                <w:sz w:val="13"/>
                <w:szCs w:val="13"/>
                <w:color w:val="262626"/>
                <w:w w:val="92"/>
              </w:rPr>
              <w:t>25%</w:t>
            </w:r>
          </w:p>
        </w:tc>
        <w:tc>
          <w:tcPr>
            <w:tcW w:w="3600" w:type="dxa"/>
            <w:vAlign w:val="bottom"/>
            <w:tcBorders>
              <w:right w:val="single" w:sz="8" w:color="CF0A2C"/>
            </w:tcBorders>
          </w:tcPr>
          <w:p>
            <w:pPr>
              <w:jc w:val="center"/>
              <w:ind w:left="57"/>
              <w:spacing w:after="0"/>
              <w:rPr>
                <w:sz w:val="20"/>
                <w:szCs w:val="20"/>
                <w:color w:val="auto"/>
              </w:rPr>
            </w:pPr>
            <w:r>
              <w:rPr>
                <w:rFonts w:ascii="Arial" w:cs="Arial" w:eastAsia="Arial" w:hAnsi="Arial"/>
                <w:sz w:val="13"/>
                <w:szCs w:val="13"/>
                <w:color w:val="262626"/>
                <w:w w:val="97"/>
              </w:rPr>
              <w:t>20,000 shares</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900" w:type="dxa"/>
            <w:vAlign w:val="bottom"/>
            <w:tcBorders>
              <w:bottom w:val="single" w:sz="8" w:color="CF0A2C"/>
            </w:tcBorders>
          </w:tcPr>
          <w:p>
            <w:pPr>
              <w:spacing w:after="0"/>
              <w:rPr>
                <w:sz w:val="10"/>
                <w:szCs w:val="10"/>
                <w:color w:val="auto"/>
              </w:rPr>
            </w:pPr>
          </w:p>
        </w:tc>
        <w:tc>
          <w:tcPr>
            <w:tcW w:w="860" w:type="dxa"/>
            <w:vAlign w:val="bottom"/>
            <w:tcBorders>
              <w:bottom w:val="single" w:sz="8" w:color="CF0A2C"/>
            </w:tcBorders>
          </w:tcPr>
          <w:p>
            <w:pPr>
              <w:spacing w:after="0"/>
              <w:rPr>
                <w:sz w:val="10"/>
                <w:szCs w:val="10"/>
                <w:color w:val="auto"/>
              </w:rPr>
            </w:pPr>
          </w:p>
        </w:tc>
        <w:tc>
          <w:tcPr>
            <w:tcW w:w="3600" w:type="dxa"/>
            <w:vAlign w:val="bottom"/>
            <w:tcBorders>
              <w:bottom w:val="single" w:sz="8" w:color="CF0A2C"/>
              <w:right w:val="single" w:sz="8" w:color="CF0A2C"/>
            </w:tcBorders>
          </w:tcPr>
          <w:p>
            <w:pPr>
              <w:spacing w:after="0"/>
              <w:rPr>
                <w:sz w:val="10"/>
                <w:szCs w:val="10"/>
                <w:color w:val="auto"/>
              </w:rPr>
            </w:pPr>
          </w:p>
        </w:tc>
        <w:tc>
          <w:tcPr>
            <w:tcW w:w="3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900" w:type="dxa"/>
            <w:vAlign w:val="bottom"/>
          </w:tcPr>
          <w:p>
            <w:pPr>
              <w:ind w:left="400"/>
              <w:spacing w:after="0"/>
              <w:rPr>
                <w:sz w:val="20"/>
                <w:szCs w:val="20"/>
                <w:color w:val="auto"/>
              </w:rPr>
            </w:pPr>
            <w:r>
              <w:rPr>
                <w:rFonts w:ascii="Arial" w:cs="Arial" w:eastAsia="Arial" w:hAnsi="Arial"/>
                <w:sz w:val="13"/>
                <w:szCs w:val="13"/>
                <w:color w:val="262626"/>
              </w:rPr>
              <w:t>4</w:t>
            </w:r>
          </w:p>
        </w:tc>
        <w:tc>
          <w:tcPr>
            <w:tcW w:w="860" w:type="dxa"/>
            <w:vAlign w:val="bottom"/>
          </w:tcPr>
          <w:p>
            <w:pPr>
              <w:jc w:val="center"/>
              <w:spacing w:after="0"/>
              <w:rPr>
                <w:sz w:val="20"/>
                <w:szCs w:val="20"/>
                <w:color w:val="auto"/>
              </w:rPr>
            </w:pPr>
            <w:r>
              <w:rPr>
                <w:rFonts w:ascii="Arial" w:cs="Arial" w:eastAsia="Arial" w:hAnsi="Arial"/>
                <w:sz w:val="13"/>
                <w:szCs w:val="13"/>
                <w:color w:val="262626"/>
                <w:w w:val="96"/>
              </w:rPr>
              <w:t>125%</w:t>
            </w:r>
          </w:p>
        </w:tc>
        <w:tc>
          <w:tcPr>
            <w:tcW w:w="3600" w:type="dxa"/>
            <w:vAlign w:val="bottom"/>
            <w:tcBorders>
              <w:right w:val="single" w:sz="8" w:color="CF0A2C"/>
            </w:tcBorders>
          </w:tcPr>
          <w:p>
            <w:pPr>
              <w:jc w:val="center"/>
              <w:ind w:left="77"/>
              <w:spacing w:after="0"/>
              <w:rPr>
                <w:sz w:val="20"/>
                <w:szCs w:val="20"/>
                <w:color w:val="auto"/>
              </w:rPr>
            </w:pPr>
            <w:r>
              <w:rPr>
                <w:rFonts w:ascii="Arial" w:cs="Arial" w:eastAsia="Arial" w:hAnsi="Arial"/>
                <w:sz w:val="13"/>
                <w:szCs w:val="13"/>
                <w:color w:val="262626"/>
                <w:w w:val="95"/>
              </w:rPr>
              <w:t>100,000 shares</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900" w:type="dxa"/>
            <w:vAlign w:val="bottom"/>
            <w:tcBorders>
              <w:bottom w:val="single" w:sz="8" w:color="CF0A2C"/>
            </w:tcBorders>
          </w:tcPr>
          <w:p>
            <w:pPr>
              <w:spacing w:after="0"/>
              <w:rPr>
                <w:sz w:val="10"/>
                <w:szCs w:val="10"/>
                <w:color w:val="auto"/>
              </w:rPr>
            </w:pPr>
          </w:p>
        </w:tc>
        <w:tc>
          <w:tcPr>
            <w:tcW w:w="860" w:type="dxa"/>
            <w:vAlign w:val="bottom"/>
            <w:tcBorders>
              <w:bottom w:val="single" w:sz="8" w:color="CF0A2C"/>
            </w:tcBorders>
          </w:tcPr>
          <w:p>
            <w:pPr>
              <w:spacing w:after="0"/>
              <w:rPr>
                <w:sz w:val="10"/>
                <w:szCs w:val="10"/>
                <w:color w:val="auto"/>
              </w:rPr>
            </w:pPr>
          </w:p>
        </w:tc>
        <w:tc>
          <w:tcPr>
            <w:tcW w:w="3600" w:type="dxa"/>
            <w:vAlign w:val="bottom"/>
            <w:tcBorders>
              <w:bottom w:val="single" w:sz="8" w:color="CF0A2C"/>
              <w:right w:val="single" w:sz="8" w:color="CF0A2C"/>
            </w:tcBorders>
          </w:tcPr>
          <w:p>
            <w:pPr>
              <w:spacing w:after="0"/>
              <w:rPr>
                <w:sz w:val="10"/>
                <w:szCs w:val="10"/>
                <w:color w:val="auto"/>
              </w:rPr>
            </w:pPr>
          </w:p>
        </w:tc>
        <w:tc>
          <w:tcPr>
            <w:tcW w:w="3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900" w:type="dxa"/>
            <w:vAlign w:val="bottom"/>
          </w:tcPr>
          <w:p>
            <w:pPr>
              <w:jc w:val="center"/>
              <w:spacing w:after="0"/>
              <w:rPr>
                <w:sz w:val="20"/>
                <w:szCs w:val="20"/>
                <w:color w:val="auto"/>
              </w:rPr>
            </w:pPr>
            <w:r>
              <w:rPr>
                <w:rFonts w:ascii="Arial" w:cs="Arial" w:eastAsia="Arial" w:hAnsi="Arial"/>
                <w:sz w:val="13"/>
                <w:szCs w:val="13"/>
                <w:b w:val="1"/>
                <w:bCs w:val="1"/>
                <w:color w:val="262626"/>
                <w:w w:val="89"/>
              </w:rPr>
              <w:t>Total</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262626"/>
                <w:w w:val="96"/>
              </w:rPr>
              <w:t>200%</w:t>
            </w:r>
          </w:p>
        </w:tc>
        <w:tc>
          <w:tcPr>
            <w:tcW w:w="3600" w:type="dxa"/>
            <w:vAlign w:val="bottom"/>
            <w:tcBorders>
              <w:right w:val="single" w:sz="8" w:color="CF0A2C"/>
            </w:tcBorders>
          </w:tcPr>
          <w:p>
            <w:pPr>
              <w:jc w:val="center"/>
              <w:ind w:left="77"/>
              <w:spacing w:after="0"/>
              <w:rPr>
                <w:sz w:val="20"/>
                <w:szCs w:val="20"/>
                <w:color w:val="auto"/>
              </w:rPr>
            </w:pPr>
            <w:r>
              <w:rPr>
                <w:rFonts w:ascii="Arial" w:cs="Arial" w:eastAsia="Arial" w:hAnsi="Arial"/>
                <w:sz w:val="13"/>
                <w:szCs w:val="13"/>
                <w:b w:val="1"/>
                <w:bCs w:val="1"/>
                <w:color w:val="262626"/>
                <w:w w:val="97"/>
              </w:rPr>
              <w:t>160,000 shares</w:t>
            </w: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0" w:type="dxa"/>
            <w:vAlign w:val="bottom"/>
            <w:tcBorders>
              <w:right w:val="single" w:sz="8" w:color="CF0A2C"/>
            </w:tcBorders>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-1260475</wp:posOffset>
            </wp:positionV>
            <wp:extent cx="1005840" cy="1962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05840" cy="1962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-1005205</wp:posOffset>
            </wp:positionV>
            <wp:extent cx="1337945" cy="1962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37945" cy="1962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-749300</wp:posOffset>
            </wp:positionV>
            <wp:extent cx="1661795" cy="1962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61795" cy="1962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-493395</wp:posOffset>
            </wp:positionV>
            <wp:extent cx="1993900" cy="1962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93900" cy="196215"/>
                    </a:xfrm>
                    <a:prstGeom prst="rect">
                      <a:avLst/>
                    </a:prstGeom>
                    <a:noFill/>
                  </pic:spPr>
                </pic:pic>
              </a:graphicData>
            </a:graphic>
          </wp:anchor>
        </w:drawing>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2023 PSU Awards</w:t>
      </w:r>
    </w:p>
    <w:p>
      <w:pPr>
        <w:spacing w:after="0" w:line="163"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The multi-year equity awards granted to Ms. Spears and Mr. Brazeal in March 2023 (the “2023 Multi-Year Awards”) that commenced vesting in fiscal 2023 are subject to four overlapping performance periods ending on each March 1st of 2024, 2025, 2026 and 2027. The table below sets forth the Relative TSR attainment and the percentage and number of target shares subject to the PSU award earned for the completed performance periods.</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174"/>
        </w:trPr>
        <w:tc>
          <w:tcPr>
            <w:tcW w:w="920" w:type="dxa"/>
            <w:vAlign w:val="bottom"/>
            <w:tcBorders>
              <w:top w:val="single" w:sz="8" w:color="CF0A2C"/>
            </w:tcBorders>
          </w:tcPr>
          <w:p>
            <w:pPr>
              <w:spacing w:after="0"/>
              <w:rPr>
                <w:sz w:val="15"/>
                <w:szCs w:val="15"/>
                <w:color w:val="auto"/>
              </w:rPr>
            </w:pPr>
          </w:p>
        </w:tc>
        <w:tc>
          <w:tcPr>
            <w:tcW w:w="860" w:type="dxa"/>
            <w:vAlign w:val="bottom"/>
            <w:tcBorders>
              <w:top w:val="single" w:sz="8" w:color="CF0A2C"/>
            </w:tcBorders>
          </w:tcPr>
          <w:p>
            <w:pPr>
              <w:ind w:left="60"/>
              <w:spacing w:after="0"/>
              <w:rPr>
                <w:sz w:val="20"/>
                <w:szCs w:val="20"/>
                <w:color w:val="auto"/>
              </w:rPr>
            </w:pPr>
            <w:r>
              <w:rPr>
                <w:rFonts w:ascii="Arial" w:cs="Arial" w:eastAsia="Arial" w:hAnsi="Arial"/>
                <w:sz w:val="13"/>
                <w:szCs w:val="13"/>
                <w:b w:val="1"/>
                <w:bCs w:val="1"/>
                <w:color w:val="262626"/>
                <w:w w:val="96"/>
              </w:rPr>
              <w:t>  % of Target</w:t>
            </w:r>
          </w:p>
        </w:tc>
        <w:tc>
          <w:tcPr>
            <w:tcW w:w="3580" w:type="dxa"/>
            <w:vAlign w:val="bottom"/>
            <w:tcBorders>
              <w:top w:val="single" w:sz="8" w:color="CF0A2C"/>
              <w:right w:val="single" w:sz="8" w:color="CF0A2C"/>
            </w:tcBorders>
            <w:gridSpan w:val="2"/>
          </w:tcPr>
          <w:p>
            <w:pPr>
              <w:ind w:left="1040"/>
              <w:spacing w:after="0"/>
              <w:rPr>
                <w:sz w:val="20"/>
                <w:szCs w:val="20"/>
                <w:color w:val="auto"/>
              </w:rPr>
            </w:pPr>
            <w:r>
              <w:rPr>
                <w:rFonts w:ascii="Arial" w:cs="Arial" w:eastAsia="Arial" w:hAnsi="Arial"/>
                <w:sz w:val="13"/>
                <w:szCs w:val="13"/>
                <w:b w:val="1"/>
                <w:bCs w:val="1"/>
                <w:color w:val="262626"/>
              </w:rPr>
              <w:t>Number of Shares Earned</w:t>
            </w:r>
          </w:p>
        </w:tc>
        <w:tc>
          <w:tcPr>
            <w:tcW w:w="3340" w:type="dxa"/>
            <w:vAlign w:val="bottom"/>
            <w:tcBorders>
              <w:top w:val="single" w:sz="8" w:color="CF0A2C"/>
            </w:tcBorders>
          </w:tcPr>
          <w:p>
            <w:pPr>
              <w:ind w:left="540"/>
              <w:spacing w:after="0"/>
              <w:rPr>
                <w:sz w:val="20"/>
                <w:szCs w:val="20"/>
                <w:color w:val="auto"/>
              </w:rPr>
            </w:pPr>
            <w:r>
              <w:rPr>
                <w:rFonts w:ascii="Arial" w:cs="Arial" w:eastAsia="Arial" w:hAnsi="Arial"/>
                <w:sz w:val="13"/>
                <w:szCs w:val="13"/>
                <w:b w:val="1"/>
                <w:bCs w:val="1"/>
                <w:color w:val="262626"/>
              </w:rPr>
              <w:t>Relative TSR Performance Over Period</w:t>
            </w:r>
          </w:p>
        </w:tc>
        <w:tc>
          <w:tcPr>
            <w:tcW w:w="0" w:type="dxa"/>
            <w:vAlign w:val="bottom"/>
          </w:tcPr>
          <w:p>
            <w:pPr>
              <w:spacing w:after="0"/>
              <w:rPr>
                <w:sz w:val="1"/>
                <w:szCs w:val="1"/>
                <w:color w:val="auto"/>
              </w:rPr>
            </w:pPr>
          </w:p>
        </w:tc>
      </w:tr>
      <w:tr>
        <w:trPr>
          <w:trHeight w:val="94"/>
        </w:trPr>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262626"/>
                <w:w w:val="89"/>
              </w:rPr>
              <w:t>  Performance </w:t>
            </w:r>
          </w:p>
        </w:tc>
        <w:tc>
          <w:tcPr>
            <w:tcW w:w="86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262626"/>
                <w:w w:val="96"/>
              </w:rPr>
              <w:t>Shares</w:t>
            </w:r>
          </w:p>
        </w:tc>
        <w:tc>
          <w:tcPr>
            <w:tcW w:w="1820" w:type="dxa"/>
            <w:vAlign w:val="bottom"/>
            <w:tcBorders>
              <w:bottom w:val="single" w:sz="8" w:color="7F7F7F"/>
            </w:tcBorders>
          </w:tcPr>
          <w:p>
            <w:pPr>
              <w:spacing w:after="0"/>
              <w:rPr>
                <w:sz w:val="8"/>
                <w:szCs w:val="8"/>
                <w:color w:val="auto"/>
              </w:rPr>
            </w:pPr>
          </w:p>
        </w:tc>
        <w:tc>
          <w:tcPr>
            <w:tcW w:w="1760" w:type="dxa"/>
            <w:vAlign w:val="bottom"/>
            <w:tcBorders>
              <w:bottom w:val="single" w:sz="8" w:color="7F7F7F"/>
              <w:right w:val="single" w:sz="8" w:color="CF0A2C"/>
            </w:tcBorders>
          </w:tcPr>
          <w:p>
            <w:pPr>
              <w:spacing w:after="0"/>
              <w:rPr>
                <w:sz w:val="8"/>
                <w:szCs w:val="8"/>
                <w:color w:val="auto"/>
              </w:rPr>
            </w:pPr>
          </w:p>
        </w:tc>
        <w:tc>
          <w:tcPr>
            <w:tcW w:w="3340" w:type="dxa"/>
            <w:vAlign w:val="bottom"/>
            <w:tcBorders>
              <w:bottom w:val="single" w:sz="8" w:color="7F7F7F"/>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60" w:type="dxa"/>
            <w:vAlign w:val="bottom"/>
            <w:tcBorders>
              <w:right w:val="single" w:sz="8" w:color="CF0A2C"/>
            </w:tcBorders>
          </w:tcPr>
          <w:p>
            <w:pPr>
              <w:spacing w:after="0" w:line="20" w:lineRule="exact"/>
              <w:rPr>
                <w:sz w:val="1"/>
                <w:szCs w:val="1"/>
                <w:color w:val="auto"/>
              </w:rPr>
            </w:pPr>
          </w:p>
        </w:tc>
        <w:tc>
          <w:tcPr>
            <w:tcW w:w="3340" w:type="dxa"/>
            <w:vAlign w:val="bottom"/>
            <w:vMerge w:val="restart"/>
          </w:tcPr>
          <w:p>
            <w:pPr>
              <w:ind w:left="60"/>
              <w:spacing w:after="0"/>
              <w:rPr>
                <w:sz w:val="20"/>
                <w:szCs w:val="20"/>
                <w:color w:val="auto"/>
              </w:rPr>
            </w:pPr>
            <w:r>
              <w:rPr>
                <w:rFonts w:ascii="Arial" w:cs="Arial" w:eastAsia="Arial" w:hAnsi="Arial"/>
                <w:sz w:val="13"/>
                <w:szCs w:val="13"/>
                <w:b w:val="1"/>
                <w:bCs w:val="1"/>
                <w:color w:val="262626"/>
              </w:rPr>
              <w:t>      2023     2024     2025</w:t>
            </w:r>
          </w:p>
        </w:tc>
        <w:tc>
          <w:tcPr>
            <w:tcW w:w="0" w:type="dxa"/>
            <w:vAlign w:val="bottom"/>
          </w:tcPr>
          <w:p>
            <w:pPr>
              <w:spacing w:after="0" w:line="20" w:lineRule="exact"/>
              <w:rPr>
                <w:sz w:val="1"/>
                <w:szCs w:val="1"/>
                <w:color w:val="auto"/>
              </w:rPr>
            </w:pPr>
          </w:p>
        </w:tc>
      </w:tr>
      <w:tr>
        <w:trPr>
          <w:trHeight w:val="180"/>
        </w:trPr>
        <w:tc>
          <w:tcPr>
            <w:tcW w:w="920" w:type="dxa"/>
            <w:vAlign w:val="bottom"/>
          </w:tcPr>
          <w:p>
            <w:pPr>
              <w:jc w:val="center"/>
              <w:spacing w:after="0"/>
              <w:rPr>
                <w:sz w:val="20"/>
                <w:szCs w:val="20"/>
                <w:color w:val="auto"/>
              </w:rPr>
            </w:pPr>
            <w:r>
              <w:rPr>
                <w:rFonts w:ascii="Arial" w:cs="Arial" w:eastAsia="Arial" w:hAnsi="Arial"/>
                <w:sz w:val="13"/>
                <w:szCs w:val="13"/>
                <w:b w:val="1"/>
                <w:bCs w:val="1"/>
                <w:color w:val="262626"/>
                <w:w w:val="93"/>
              </w:rPr>
              <w:t>Period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262626"/>
                <w:w w:val="99"/>
              </w:rPr>
              <w:t>Earned</w:t>
            </w:r>
          </w:p>
        </w:tc>
        <w:tc>
          <w:tcPr>
            <w:tcW w:w="1820" w:type="dxa"/>
            <w:vAlign w:val="bottom"/>
          </w:tcPr>
          <w:p>
            <w:pPr>
              <w:ind w:left="80"/>
              <w:spacing w:after="0"/>
              <w:rPr>
                <w:sz w:val="20"/>
                <w:szCs w:val="20"/>
                <w:color w:val="auto"/>
              </w:rPr>
            </w:pPr>
            <w:r>
              <w:rPr>
                <w:rFonts w:ascii="Arial" w:cs="Arial" w:eastAsia="Arial" w:hAnsi="Arial"/>
                <w:sz w:val="13"/>
                <w:szCs w:val="13"/>
                <w:color w:val="262626"/>
              </w:rPr>
              <w:t xml:space="preserve">         Kirsten M. Spears       </w:t>
            </w:r>
          </w:p>
        </w:tc>
        <w:tc>
          <w:tcPr>
            <w:tcW w:w="1760" w:type="dxa"/>
            <w:vAlign w:val="bottom"/>
            <w:tcBorders>
              <w:right w:val="single" w:sz="8" w:color="CF0A2C"/>
            </w:tcBorders>
          </w:tcPr>
          <w:p>
            <w:pPr>
              <w:ind w:left="80"/>
              <w:spacing w:after="0"/>
              <w:rPr>
                <w:sz w:val="20"/>
                <w:szCs w:val="20"/>
                <w:color w:val="auto"/>
              </w:rPr>
            </w:pPr>
            <w:r>
              <w:rPr>
                <w:rFonts w:ascii="Arial" w:cs="Arial" w:eastAsia="Arial" w:hAnsi="Arial"/>
                <w:sz w:val="13"/>
                <w:szCs w:val="13"/>
                <w:color w:val="262626"/>
              </w:rPr>
              <w:t xml:space="preserve">         Mark D. Brazeal       </w:t>
            </w:r>
          </w:p>
        </w:tc>
        <w:tc>
          <w:tcPr>
            <w:tcW w:w="3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20" w:type="dxa"/>
            <w:vAlign w:val="bottom"/>
            <w:tcBorders>
              <w:bottom w:val="single" w:sz="8" w:color="CF0A2C"/>
            </w:tcBorders>
          </w:tcPr>
          <w:p>
            <w:pPr>
              <w:spacing w:after="0"/>
              <w:rPr>
                <w:sz w:val="4"/>
                <w:szCs w:val="4"/>
                <w:color w:val="auto"/>
              </w:rPr>
            </w:pPr>
          </w:p>
        </w:tc>
        <w:tc>
          <w:tcPr>
            <w:tcW w:w="860" w:type="dxa"/>
            <w:vAlign w:val="bottom"/>
            <w:tcBorders>
              <w:bottom w:val="single" w:sz="8" w:color="CF0A2C"/>
            </w:tcBorders>
          </w:tcPr>
          <w:p>
            <w:pPr>
              <w:spacing w:after="0"/>
              <w:rPr>
                <w:sz w:val="4"/>
                <w:szCs w:val="4"/>
                <w:color w:val="auto"/>
              </w:rPr>
            </w:pPr>
          </w:p>
        </w:tc>
        <w:tc>
          <w:tcPr>
            <w:tcW w:w="1820" w:type="dxa"/>
            <w:vAlign w:val="bottom"/>
            <w:tcBorders>
              <w:bottom w:val="single" w:sz="8" w:color="CF0A2C"/>
            </w:tcBorders>
          </w:tcPr>
          <w:p>
            <w:pPr>
              <w:spacing w:after="0"/>
              <w:rPr>
                <w:sz w:val="4"/>
                <w:szCs w:val="4"/>
                <w:color w:val="auto"/>
              </w:rPr>
            </w:pPr>
          </w:p>
        </w:tc>
        <w:tc>
          <w:tcPr>
            <w:tcW w:w="1760" w:type="dxa"/>
            <w:vAlign w:val="bottom"/>
            <w:tcBorders>
              <w:bottom w:val="single" w:sz="8" w:color="CF0A2C"/>
              <w:right w:val="single" w:sz="8" w:color="CF0A2C"/>
            </w:tcBorders>
          </w:tcPr>
          <w:p>
            <w:pPr>
              <w:spacing w:after="0"/>
              <w:rPr>
                <w:sz w:val="4"/>
                <w:szCs w:val="4"/>
                <w:color w:val="auto"/>
              </w:rPr>
            </w:pPr>
          </w:p>
        </w:tc>
        <w:tc>
          <w:tcPr>
            <w:tcW w:w="3340" w:type="dxa"/>
            <w:vAlign w:val="bottom"/>
            <w:tcBorders>
              <w:bottom w:val="single" w:sz="8" w:color="CF0A2C"/>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920" w:type="dxa"/>
            <w:vAlign w:val="bottom"/>
          </w:tcPr>
          <w:p>
            <w:pPr>
              <w:jc w:val="center"/>
              <w:spacing w:after="0"/>
              <w:rPr>
                <w:sz w:val="20"/>
                <w:szCs w:val="20"/>
                <w:color w:val="auto"/>
              </w:rPr>
            </w:pPr>
            <w:r>
              <w:rPr>
                <w:rFonts w:ascii="Arial" w:cs="Arial" w:eastAsia="Arial" w:hAnsi="Arial"/>
                <w:sz w:val="13"/>
                <w:szCs w:val="13"/>
                <w:color w:val="262626"/>
                <w:w w:val="82"/>
              </w:rPr>
              <w:t>1</w:t>
            </w:r>
          </w:p>
        </w:tc>
        <w:tc>
          <w:tcPr>
            <w:tcW w:w="860" w:type="dxa"/>
            <w:vAlign w:val="bottom"/>
          </w:tcPr>
          <w:p>
            <w:pPr>
              <w:jc w:val="center"/>
              <w:spacing w:after="0"/>
              <w:rPr>
                <w:sz w:val="20"/>
                <w:szCs w:val="20"/>
                <w:color w:val="auto"/>
              </w:rPr>
            </w:pPr>
            <w:r>
              <w:rPr>
                <w:rFonts w:ascii="Arial" w:cs="Arial" w:eastAsia="Arial" w:hAnsi="Arial"/>
                <w:sz w:val="13"/>
                <w:szCs w:val="13"/>
                <w:color w:val="262626"/>
                <w:w w:val="92"/>
              </w:rPr>
              <w:t>25%</w:t>
            </w:r>
          </w:p>
        </w:tc>
        <w:tc>
          <w:tcPr>
            <w:tcW w:w="1820" w:type="dxa"/>
            <w:vAlign w:val="bottom"/>
          </w:tcPr>
          <w:p>
            <w:pPr>
              <w:ind w:left="560"/>
              <w:spacing w:after="0"/>
              <w:rPr>
                <w:sz w:val="20"/>
                <w:szCs w:val="20"/>
                <w:color w:val="auto"/>
              </w:rPr>
            </w:pPr>
            <w:r>
              <w:rPr>
                <w:rFonts w:ascii="Arial" w:cs="Arial" w:eastAsia="Arial" w:hAnsi="Arial"/>
                <w:sz w:val="13"/>
                <w:szCs w:val="13"/>
                <w:color w:val="262626"/>
              </w:rPr>
              <w:t>12,500 shares</w:t>
            </w:r>
          </w:p>
        </w:tc>
        <w:tc>
          <w:tcPr>
            <w:tcW w:w="1760" w:type="dxa"/>
            <w:vAlign w:val="bottom"/>
            <w:tcBorders>
              <w:right w:val="single" w:sz="8" w:color="CF0A2C"/>
            </w:tcBorders>
          </w:tcPr>
          <w:p>
            <w:pPr>
              <w:ind w:left="520"/>
              <w:spacing w:after="0"/>
              <w:rPr>
                <w:sz w:val="20"/>
                <w:szCs w:val="20"/>
                <w:color w:val="auto"/>
              </w:rPr>
            </w:pPr>
            <w:r>
              <w:rPr>
                <w:rFonts w:ascii="Arial" w:cs="Arial" w:eastAsia="Arial" w:hAnsi="Arial"/>
                <w:sz w:val="13"/>
                <w:szCs w:val="13"/>
                <w:color w:val="262626"/>
              </w:rPr>
              <w:t>12,500 shares</w:t>
            </w: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CF0A2C"/>
            </w:tcBorders>
          </w:tcPr>
          <w:p>
            <w:pPr>
              <w:spacing w:after="0"/>
              <w:rPr>
                <w:sz w:val="11"/>
                <w:szCs w:val="11"/>
                <w:color w:val="auto"/>
              </w:rPr>
            </w:pPr>
          </w:p>
        </w:tc>
        <w:tc>
          <w:tcPr>
            <w:tcW w:w="860" w:type="dxa"/>
            <w:vAlign w:val="bottom"/>
            <w:tcBorders>
              <w:bottom w:val="single" w:sz="8" w:color="CF0A2C"/>
            </w:tcBorders>
          </w:tcPr>
          <w:p>
            <w:pPr>
              <w:spacing w:after="0"/>
              <w:rPr>
                <w:sz w:val="11"/>
                <w:szCs w:val="11"/>
                <w:color w:val="auto"/>
              </w:rPr>
            </w:pPr>
          </w:p>
        </w:tc>
        <w:tc>
          <w:tcPr>
            <w:tcW w:w="1820" w:type="dxa"/>
            <w:vAlign w:val="bottom"/>
            <w:tcBorders>
              <w:bottom w:val="single" w:sz="8" w:color="CF0A2C"/>
            </w:tcBorders>
          </w:tcPr>
          <w:p>
            <w:pPr>
              <w:spacing w:after="0"/>
              <w:rPr>
                <w:sz w:val="11"/>
                <w:szCs w:val="11"/>
                <w:color w:val="auto"/>
              </w:rPr>
            </w:pPr>
          </w:p>
        </w:tc>
        <w:tc>
          <w:tcPr>
            <w:tcW w:w="1760" w:type="dxa"/>
            <w:vAlign w:val="bottom"/>
            <w:tcBorders>
              <w:bottom w:val="single" w:sz="8" w:color="CF0A2C"/>
              <w:right w:val="single" w:sz="8" w:color="CF0A2C"/>
            </w:tcBorders>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920" w:type="dxa"/>
            <w:vAlign w:val="bottom"/>
          </w:tcPr>
          <w:p>
            <w:pPr>
              <w:jc w:val="center"/>
              <w:spacing w:after="0"/>
              <w:rPr>
                <w:sz w:val="20"/>
                <w:szCs w:val="20"/>
                <w:color w:val="auto"/>
              </w:rPr>
            </w:pPr>
            <w:r>
              <w:rPr>
                <w:rFonts w:ascii="Arial" w:cs="Arial" w:eastAsia="Arial" w:hAnsi="Arial"/>
                <w:sz w:val="13"/>
                <w:szCs w:val="13"/>
                <w:color w:val="262626"/>
                <w:w w:val="82"/>
              </w:rPr>
              <w:t>2</w:t>
            </w:r>
          </w:p>
        </w:tc>
        <w:tc>
          <w:tcPr>
            <w:tcW w:w="860" w:type="dxa"/>
            <w:vAlign w:val="bottom"/>
          </w:tcPr>
          <w:p>
            <w:pPr>
              <w:jc w:val="center"/>
              <w:spacing w:after="0"/>
              <w:rPr>
                <w:sz w:val="20"/>
                <w:szCs w:val="20"/>
                <w:color w:val="auto"/>
              </w:rPr>
            </w:pPr>
            <w:r>
              <w:rPr>
                <w:rFonts w:ascii="Arial" w:cs="Arial" w:eastAsia="Arial" w:hAnsi="Arial"/>
                <w:sz w:val="13"/>
                <w:szCs w:val="13"/>
                <w:color w:val="262626"/>
                <w:w w:val="92"/>
              </w:rPr>
              <w:t>25%</w:t>
            </w:r>
          </w:p>
        </w:tc>
        <w:tc>
          <w:tcPr>
            <w:tcW w:w="1820" w:type="dxa"/>
            <w:vAlign w:val="bottom"/>
          </w:tcPr>
          <w:p>
            <w:pPr>
              <w:ind w:left="560"/>
              <w:spacing w:after="0"/>
              <w:rPr>
                <w:sz w:val="20"/>
                <w:szCs w:val="20"/>
                <w:color w:val="auto"/>
              </w:rPr>
            </w:pPr>
            <w:r>
              <w:rPr>
                <w:rFonts w:ascii="Arial" w:cs="Arial" w:eastAsia="Arial" w:hAnsi="Arial"/>
                <w:sz w:val="13"/>
                <w:szCs w:val="13"/>
                <w:color w:val="262626"/>
              </w:rPr>
              <w:t>12,500 shares</w:t>
            </w:r>
          </w:p>
        </w:tc>
        <w:tc>
          <w:tcPr>
            <w:tcW w:w="1760" w:type="dxa"/>
            <w:vAlign w:val="bottom"/>
            <w:tcBorders>
              <w:right w:val="single" w:sz="8" w:color="CF0A2C"/>
            </w:tcBorders>
          </w:tcPr>
          <w:p>
            <w:pPr>
              <w:ind w:left="520"/>
              <w:spacing w:after="0"/>
              <w:rPr>
                <w:sz w:val="20"/>
                <w:szCs w:val="20"/>
                <w:color w:val="auto"/>
              </w:rPr>
            </w:pPr>
            <w:r>
              <w:rPr>
                <w:rFonts w:ascii="Arial" w:cs="Arial" w:eastAsia="Arial" w:hAnsi="Arial"/>
                <w:sz w:val="13"/>
                <w:szCs w:val="13"/>
                <w:color w:val="262626"/>
              </w:rPr>
              <w:t>12,500 shares</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60" w:type="dxa"/>
            <w:vAlign w:val="bottom"/>
            <w:tcBorders>
              <w:right w:val="single" w:sz="8" w:color="CF0A2C"/>
            </w:tcBorders>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-476885</wp:posOffset>
            </wp:positionV>
            <wp:extent cx="1005840" cy="1962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05840" cy="1962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-212090</wp:posOffset>
            </wp:positionV>
            <wp:extent cx="1337945" cy="1962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37945" cy="196215"/>
                    </a:xfrm>
                    <a:prstGeom prst="rect">
                      <a:avLst/>
                    </a:prstGeom>
                    <a:noFill/>
                  </pic:spPr>
                </pic:pic>
              </a:graphicData>
            </a:graphic>
          </wp:anchor>
        </w:drawing>
      </w:r>
    </w:p>
    <w:p>
      <w:pPr>
        <w:spacing w:after="0" w:line="207"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The 2023 Multi-Year Awards that commenced vesting in fiscal 2024 are subject to four overlapping performance periods ending on each March 1st of 2025, 2026, 2027 and 2028. The table below sets forth the Relative TSR attainment and the percentage and number of target shares subject to the PSU award earned for the completed performance period.</w:t>
      </w:r>
    </w:p>
    <w:p>
      <w:pPr>
        <w:spacing w:after="0" w:line="172" w:lineRule="exact"/>
        <w:rPr>
          <w:sz w:val="20"/>
          <w:szCs w:val="20"/>
          <w:color w:val="auto"/>
        </w:rPr>
      </w:pPr>
    </w:p>
    <w:tbl>
      <w:tblPr>
        <w:tblLayout w:type="fixed"/>
        <w:tblInd w:w="1280" w:type="dxa"/>
        <w:tblCellMar>
          <w:top w:w="0" w:type="dxa"/>
          <w:left w:w="0" w:type="dxa"/>
          <w:bottom w:w="0" w:type="dxa"/>
          <w:right w:w="0" w:type="dxa"/>
        </w:tblCellMar>
      </w:tblPr>
      <w:tr>
        <w:trPr>
          <w:trHeight w:val="174"/>
        </w:trPr>
        <w:tc>
          <w:tcPr>
            <w:tcW w:w="920" w:type="dxa"/>
            <w:vAlign w:val="bottom"/>
            <w:tcBorders>
              <w:top w:val="single" w:sz="8" w:color="CF0A2C"/>
            </w:tcBorders>
          </w:tcPr>
          <w:p>
            <w:pPr>
              <w:spacing w:after="0"/>
              <w:rPr>
                <w:sz w:val="15"/>
                <w:szCs w:val="15"/>
                <w:color w:val="auto"/>
              </w:rPr>
            </w:pPr>
          </w:p>
        </w:tc>
        <w:tc>
          <w:tcPr>
            <w:tcW w:w="860" w:type="dxa"/>
            <w:vAlign w:val="bottom"/>
            <w:tcBorders>
              <w:top w:val="single" w:sz="8" w:color="CF0A2C"/>
            </w:tcBorders>
          </w:tcPr>
          <w:p>
            <w:pPr>
              <w:ind w:left="60"/>
              <w:spacing w:after="0"/>
              <w:rPr>
                <w:sz w:val="20"/>
                <w:szCs w:val="20"/>
                <w:color w:val="auto"/>
              </w:rPr>
            </w:pPr>
            <w:r>
              <w:rPr>
                <w:rFonts w:ascii="Arial" w:cs="Arial" w:eastAsia="Arial" w:hAnsi="Arial"/>
                <w:sz w:val="13"/>
                <w:szCs w:val="13"/>
                <w:b w:val="1"/>
                <w:bCs w:val="1"/>
                <w:color w:val="262626"/>
                <w:w w:val="96"/>
              </w:rPr>
              <w:t>  % of Target</w:t>
            </w:r>
          </w:p>
        </w:tc>
        <w:tc>
          <w:tcPr>
            <w:tcW w:w="3580" w:type="dxa"/>
            <w:vAlign w:val="bottom"/>
            <w:tcBorders>
              <w:top w:val="single" w:sz="8" w:color="CF0A2C"/>
              <w:right w:val="single" w:sz="8" w:color="CF0A2C"/>
            </w:tcBorders>
            <w:gridSpan w:val="2"/>
          </w:tcPr>
          <w:p>
            <w:pPr>
              <w:ind w:left="1040"/>
              <w:spacing w:after="0"/>
              <w:rPr>
                <w:sz w:val="20"/>
                <w:szCs w:val="20"/>
                <w:color w:val="auto"/>
              </w:rPr>
            </w:pPr>
            <w:r>
              <w:rPr>
                <w:rFonts w:ascii="Arial" w:cs="Arial" w:eastAsia="Arial" w:hAnsi="Arial"/>
                <w:sz w:val="13"/>
                <w:szCs w:val="13"/>
                <w:b w:val="1"/>
                <w:bCs w:val="1"/>
                <w:color w:val="262626"/>
              </w:rPr>
              <w:t>Number of Shares Earned</w:t>
            </w:r>
          </w:p>
        </w:tc>
        <w:tc>
          <w:tcPr>
            <w:tcW w:w="3340" w:type="dxa"/>
            <w:vAlign w:val="bottom"/>
            <w:tcBorders>
              <w:top w:val="single" w:sz="8" w:color="CF0A2C"/>
            </w:tcBorders>
          </w:tcPr>
          <w:p>
            <w:pPr>
              <w:ind w:left="540"/>
              <w:spacing w:after="0"/>
              <w:rPr>
                <w:sz w:val="20"/>
                <w:szCs w:val="20"/>
                <w:color w:val="auto"/>
              </w:rPr>
            </w:pPr>
            <w:r>
              <w:rPr>
                <w:rFonts w:ascii="Arial" w:cs="Arial" w:eastAsia="Arial" w:hAnsi="Arial"/>
                <w:sz w:val="13"/>
                <w:szCs w:val="13"/>
                <w:b w:val="1"/>
                <w:bCs w:val="1"/>
                <w:color w:val="262626"/>
              </w:rPr>
              <w:t>Relative TSR Performance Over Period</w:t>
            </w:r>
          </w:p>
        </w:tc>
        <w:tc>
          <w:tcPr>
            <w:tcW w:w="0" w:type="dxa"/>
            <w:vAlign w:val="bottom"/>
          </w:tcPr>
          <w:p>
            <w:pPr>
              <w:spacing w:after="0"/>
              <w:rPr>
                <w:sz w:val="1"/>
                <w:szCs w:val="1"/>
                <w:color w:val="auto"/>
              </w:rPr>
            </w:pPr>
          </w:p>
        </w:tc>
      </w:tr>
      <w:tr>
        <w:trPr>
          <w:trHeight w:val="94"/>
        </w:trPr>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262626"/>
                <w:w w:val="89"/>
              </w:rPr>
              <w:t>  Performance </w:t>
            </w:r>
          </w:p>
        </w:tc>
        <w:tc>
          <w:tcPr>
            <w:tcW w:w="86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262626"/>
                <w:w w:val="96"/>
              </w:rPr>
              <w:t>Shares</w:t>
            </w:r>
          </w:p>
        </w:tc>
        <w:tc>
          <w:tcPr>
            <w:tcW w:w="1820" w:type="dxa"/>
            <w:vAlign w:val="bottom"/>
            <w:tcBorders>
              <w:bottom w:val="single" w:sz="8" w:color="7F7F7F"/>
            </w:tcBorders>
          </w:tcPr>
          <w:p>
            <w:pPr>
              <w:spacing w:after="0"/>
              <w:rPr>
                <w:sz w:val="8"/>
                <w:szCs w:val="8"/>
                <w:color w:val="auto"/>
              </w:rPr>
            </w:pPr>
          </w:p>
        </w:tc>
        <w:tc>
          <w:tcPr>
            <w:tcW w:w="1760" w:type="dxa"/>
            <w:vAlign w:val="bottom"/>
            <w:tcBorders>
              <w:bottom w:val="single" w:sz="8" w:color="7F7F7F"/>
              <w:right w:val="single" w:sz="8" w:color="CF0A2C"/>
            </w:tcBorders>
          </w:tcPr>
          <w:p>
            <w:pPr>
              <w:spacing w:after="0"/>
              <w:rPr>
                <w:sz w:val="8"/>
                <w:szCs w:val="8"/>
                <w:color w:val="auto"/>
              </w:rPr>
            </w:pPr>
          </w:p>
        </w:tc>
        <w:tc>
          <w:tcPr>
            <w:tcW w:w="3340" w:type="dxa"/>
            <w:vAlign w:val="bottom"/>
            <w:tcBorders>
              <w:bottom w:val="single" w:sz="8" w:color="7F7F7F"/>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60" w:type="dxa"/>
            <w:vAlign w:val="bottom"/>
            <w:tcBorders>
              <w:right w:val="single" w:sz="8" w:color="CF0A2C"/>
            </w:tcBorders>
          </w:tcPr>
          <w:p>
            <w:pPr>
              <w:spacing w:after="0" w:line="20" w:lineRule="exact"/>
              <w:rPr>
                <w:sz w:val="1"/>
                <w:szCs w:val="1"/>
                <w:color w:val="auto"/>
              </w:rPr>
            </w:pPr>
          </w:p>
        </w:tc>
        <w:tc>
          <w:tcPr>
            <w:tcW w:w="3340" w:type="dxa"/>
            <w:vAlign w:val="bottom"/>
            <w:vMerge w:val="restart"/>
          </w:tcPr>
          <w:p>
            <w:pPr>
              <w:ind w:left="80"/>
              <w:spacing w:after="0"/>
              <w:rPr>
                <w:sz w:val="20"/>
                <w:szCs w:val="20"/>
                <w:color w:val="auto"/>
              </w:rPr>
            </w:pPr>
            <w:r>
              <w:rPr>
                <w:rFonts w:ascii="Arial" w:cs="Arial" w:eastAsia="Arial" w:hAnsi="Arial"/>
                <w:sz w:val="13"/>
                <w:szCs w:val="13"/>
                <w:b w:val="1"/>
                <w:bCs w:val="1"/>
                <w:color w:val="262626"/>
              </w:rPr>
              <w:t>      2024      2025</w:t>
            </w:r>
          </w:p>
        </w:tc>
        <w:tc>
          <w:tcPr>
            <w:tcW w:w="0" w:type="dxa"/>
            <w:vAlign w:val="bottom"/>
          </w:tcPr>
          <w:p>
            <w:pPr>
              <w:spacing w:after="0" w:line="20" w:lineRule="exact"/>
              <w:rPr>
                <w:sz w:val="1"/>
                <w:szCs w:val="1"/>
                <w:color w:val="auto"/>
              </w:rPr>
            </w:pPr>
          </w:p>
        </w:tc>
      </w:tr>
      <w:tr>
        <w:trPr>
          <w:trHeight w:val="180"/>
        </w:trPr>
        <w:tc>
          <w:tcPr>
            <w:tcW w:w="920" w:type="dxa"/>
            <w:vAlign w:val="bottom"/>
          </w:tcPr>
          <w:p>
            <w:pPr>
              <w:jc w:val="center"/>
              <w:spacing w:after="0"/>
              <w:rPr>
                <w:sz w:val="20"/>
                <w:szCs w:val="20"/>
                <w:color w:val="auto"/>
              </w:rPr>
            </w:pPr>
            <w:r>
              <w:rPr>
                <w:rFonts w:ascii="Arial" w:cs="Arial" w:eastAsia="Arial" w:hAnsi="Arial"/>
                <w:sz w:val="13"/>
                <w:szCs w:val="13"/>
                <w:b w:val="1"/>
                <w:bCs w:val="1"/>
                <w:color w:val="262626"/>
                <w:w w:val="93"/>
              </w:rPr>
              <w:t>Period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262626"/>
                <w:w w:val="99"/>
              </w:rPr>
              <w:t>Earned</w:t>
            </w:r>
          </w:p>
        </w:tc>
        <w:tc>
          <w:tcPr>
            <w:tcW w:w="1820" w:type="dxa"/>
            <w:vAlign w:val="bottom"/>
          </w:tcPr>
          <w:p>
            <w:pPr>
              <w:ind w:left="80"/>
              <w:spacing w:after="0"/>
              <w:rPr>
                <w:sz w:val="20"/>
                <w:szCs w:val="20"/>
                <w:color w:val="auto"/>
              </w:rPr>
            </w:pPr>
            <w:r>
              <w:rPr>
                <w:rFonts w:ascii="Arial" w:cs="Arial" w:eastAsia="Arial" w:hAnsi="Arial"/>
                <w:sz w:val="13"/>
                <w:szCs w:val="13"/>
                <w:color w:val="262626"/>
              </w:rPr>
              <w:t xml:space="preserve">         Kirsten M. Spears       </w:t>
            </w:r>
          </w:p>
        </w:tc>
        <w:tc>
          <w:tcPr>
            <w:tcW w:w="1760" w:type="dxa"/>
            <w:vAlign w:val="bottom"/>
            <w:tcBorders>
              <w:right w:val="single" w:sz="8" w:color="CF0A2C"/>
            </w:tcBorders>
          </w:tcPr>
          <w:p>
            <w:pPr>
              <w:ind w:left="80"/>
              <w:spacing w:after="0"/>
              <w:rPr>
                <w:sz w:val="20"/>
                <w:szCs w:val="20"/>
                <w:color w:val="auto"/>
              </w:rPr>
            </w:pPr>
            <w:r>
              <w:rPr>
                <w:rFonts w:ascii="Arial" w:cs="Arial" w:eastAsia="Arial" w:hAnsi="Arial"/>
                <w:sz w:val="13"/>
                <w:szCs w:val="13"/>
                <w:color w:val="262626"/>
              </w:rPr>
              <w:t xml:space="preserve">         Mark D. Brazeal       </w:t>
            </w:r>
          </w:p>
        </w:tc>
        <w:tc>
          <w:tcPr>
            <w:tcW w:w="3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20" w:type="dxa"/>
            <w:vAlign w:val="bottom"/>
            <w:tcBorders>
              <w:bottom w:val="single" w:sz="8" w:color="CF0A2C"/>
            </w:tcBorders>
          </w:tcPr>
          <w:p>
            <w:pPr>
              <w:spacing w:after="0"/>
              <w:rPr>
                <w:sz w:val="4"/>
                <w:szCs w:val="4"/>
                <w:color w:val="auto"/>
              </w:rPr>
            </w:pPr>
          </w:p>
        </w:tc>
        <w:tc>
          <w:tcPr>
            <w:tcW w:w="860" w:type="dxa"/>
            <w:vAlign w:val="bottom"/>
            <w:tcBorders>
              <w:bottom w:val="single" w:sz="8" w:color="CF0A2C"/>
            </w:tcBorders>
          </w:tcPr>
          <w:p>
            <w:pPr>
              <w:spacing w:after="0"/>
              <w:rPr>
                <w:sz w:val="4"/>
                <w:szCs w:val="4"/>
                <w:color w:val="auto"/>
              </w:rPr>
            </w:pPr>
          </w:p>
        </w:tc>
        <w:tc>
          <w:tcPr>
            <w:tcW w:w="1820" w:type="dxa"/>
            <w:vAlign w:val="bottom"/>
            <w:tcBorders>
              <w:bottom w:val="single" w:sz="8" w:color="CF0A2C"/>
            </w:tcBorders>
          </w:tcPr>
          <w:p>
            <w:pPr>
              <w:spacing w:after="0"/>
              <w:rPr>
                <w:sz w:val="4"/>
                <w:szCs w:val="4"/>
                <w:color w:val="auto"/>
              </w:rPr>
            </w:pPr>
          </w:p>
        </w:tc>
        <w:tc>
          <w:tcPr>
            <w:tcW w:w="1760" w:type="dxa"/>
            <w:vAlign w:val="bottom"/>
            <w:tcBorders>
              <w:bottom w:val="single" w:sz="8" w:color="CF0A2C"/>
              <w:right w:val="single" w:sz="8" w:color="CF0A2C"/>
            </w:tcBorders>
          </w:tcPr>
          <w:p>
            <w:pPr>
              <w:spacing w:after="0"/>
              <w:rPr>
                <w:sz w:val="4"/>
                <w:szCs w:val="4"/>
                <w:color w:val="auto"/>
              </w:rPr>
            </w:pPr>
          </w:p>
        </w:tc>
        <w:tc>
          <w:tcPr>
            <w:tcW w:w="3340" w:type="dxa"/>
            <w:vAlign w:val="bottom"/>
            <w:tcBorders>
              <w:bottom w:val="single" w:sz="8" w:color="CF0A2C"/>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920" w:type="dxa"/>
            <w:vAlign w:val="bottom"/>
          </w:tcPr>
          <w:p>
            <w:pPr>
              <w:jc w:val="center"/>
              <w:spacing w:after="0"/>
              <w:rPr>
                <w:sz w:val="20"/>
                <w:szCs w:val="20"/>
                <w:color w:val="auto"/>
              </w:rPr>
            </w:pPr>
            <w:r>
              <w:rPr>
                <w:rFonts w:ascii="Arial" w:cs="Arial" w:eastAsia="Arial" w:hAnsi="Arial"/>
                <w:sz w:val="13"/>
                <w:szCs w:val="13"/>
                <w:color w:val="262626"/>
                <w:w w:val="82"/>
              </w:rPr>
              <w:t>1</w:t>
            </w:r>
          </w:p>
        </w:tc>
        <w:tc>
          <w:tcPr>
            <w:tcW w:w="860" w:type="dxa"/>
            <w:vAlign w:val="bottom"/>
          </w:tcPr>
          <w:p>
            <w:pPr>
              <w:jc w:val="center"/>
              <w:spacing w:after="0"/>
              <w:rPr>
                <w:sz w:val="20"/>
                <w:szCs w:val="20"/>
                <w:color w:val="auto"/>
              </w:rPr>
            </w:pPr>
            <w:r>
              <w:rPr>
                <w:rFonts w:ascii="Arial" w:cs="Arial" w:eastAsia="Arial" w:hAnsi="Arial"/>
                <w:sz w:val="13"/>
                <w:szCs w:val="13"/>
                <w:color w:val="262626"/>
                <w:w w:val="92"/>
              </w:rPr>
              <w:t>25%</w:t>
            </w:r>
          </w:p>
        </w:tc>
        <w:tc>
          <w:tcPr>
            <w:tcW w:w="1820" w:type="dxa"/>
            <w:vAlign w:val="bottom"/>
          </w:tcPr>
          <w:p>
            <w:pPr>
              <w:ind w:left="560"/>
              <w:spacing w:after="0"/>
              <w:rPr>
                <w:sz w:val="20"/>
                <w:szCs w:val="20"/>
                <w:color w:val="auto"/>
              </w:rPr>
            </w:pPr>
            <w:r>
              <w:rPr>
                <w:rFonts w:ascii="Arial" w:cs="Arial" w:eastAsia="Arial" w:hAnsi="Arial"/>
                <w:sz w:val="13"/>
                <w:szCs w:val="13"/>
                <w:color w:val="262626"/>
              </w:rPr>
              <w:t>12,500 shares</w:t>
            </w:r>
          </w:p>
        </w:tc>
        <w:tc>
          <w:tcPr>
            <w:tcW w:w="1760" w:type="dxa"/>
            <w:vAlign w:val="bottom"/>
            <w:tcBorders>
              <w:right w:val="single" w:sz="8" w:color="CF0A2C"/>
            </w:tcBorders>
          </w:tcPr>
          <w:p>
            <w:pPr>
              <w:ind w:left="520"/>
              <w:spacing w:after="0"/>
              <w:rPr>
                <w:sz w:val="20"/>
                <w:szCs w:val="20"/>
                <w:color w:val="auto"/>
              </w:rPr>
            </w:pPr>
            <w:r>
              <w:rPr>
                <w:rFonts w:ascii="Arial" w:cs="Arial" w:eastAsia="Arial" w:hAnsi="Arial"/>
                <w:sz w:val="13"/>
                <w:szCs w:val="13"/>
                <w:color w:val="262626"/>
              </w:rPr>
              <w:t>12,500 shares</w:t>
            </w: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60" w:type="dxa"/>
            <w:vAlign w:val="bottom"/>
            <w:tcBorders>
              <w:right w:val="single" w:sz="8" w:color="CF0A2C"/>
            </w:tcBorders>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-212090</wp:posOffset>
            </wp:positionV>
            <wp:extent cx="1022985" cy="1962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2985" cy="196215"/>
                    </a:xfrm>
                    <a:prstGeom prst="rect">
                      <a:avLst/>
                    </a:prstGeom>
                    <a:noFill/>
                  </pic:spPr>
                </pic:pic>
              </a:graphicData>
            </a:graphic>
          </wp:anchor>
        </w:drawing>
      </w:r>
    </w:p>
    <w:p>
      <w:pPr>
        <w:spacing w:after="0" w:line="290"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262626"/>
        </w:rPr>
        <w:t>2024 PSU Awards</w:t>
      </w:r>
    </w:p>
    <w:p>
      <w:pPr>
        <w:spacing w:after="0" w:line="136"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The 2024 annual equity award granted to Mr. Brazeal in March 2024 is subject to four overlapping performance periods ending on each March 1st of 2025, 2026, 2027 and 2028. The table below sets forth the Relative TSR attainment and the percentage and number of target shares subject to the PSU award earned for the completed performance period.</w:t>
      </w:r>
    </w:p>
    <w:p>
      <w:pPr>
        <w:spacing w:after="0" w:line="17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900" w:type="dxa"/>
            <w:vAlign w:val="bottom"/>
            <w:tcBorders>
              <w:top w:val="single" w:sz="8" w:color="CF0A2C"/>
            </w:tcBorders>
          </w:tcPr>
          <w:p>
            <w:pPr>
              <w:spacing w:after="0"/>
              <w:rPr>
                <w:sz w:val="14"/>
                <w:szCs w:val="14"/>
                <w:color w:val="auto"/>
              </w:rPr>
            </w:pPr>
          </w:p>
        </w:tc>
        <w:tc>
          <w:tcPr>
            <w:tcW w:w="880" w:type="dxa"/>
            <w:vAlign w:val="bottom"/>
            <w:tcBorders>
              <w:top w:val="single" w:sz="8" w:color="CF0A2C"/>
            </w:tcBorders>
          </w:tcPr>
          <w:p>
            <w:pPr>
              <w:ind w:left="80"/>
              <w:spacing w:after="0"/>
              <w:rPr>
                <w:sz w:val="20"/>
                <w:szCs w:val="20"/>
                <w:color w:val="auto"/>
              </w:rPr>
            </w:pPr>
            <w:r>
              <w:rPr>
                <w:rFonts w:ascii="Arial" w:cs="Arial" w:eastAsia="Arial" w:hAnsi="Arial"/>
                <w:sz w:val="13"/>
                <w:szCs w:val="13"/>
                <w:b w:val="1"/>
                <w:bCs w:val="1"/>
                <w:color w:val="262626"/>
                <w:w w:val="96"/>
              </w:rPr>
              <w:t>  % of Target</w:t>
            </w:r>
          </w:p>
        </w:tc>
        <w:tc>
          <w:tcPr>
            <w:tcW w:w="3580" w:type="dxa"/>
            <w:vAlign w:val="bottom"/>
            <w:tcBorders>
              <w:top w:val="single" w:sz="8" w:color="CF0A2C"/>
              <w:right w:val="single" w:sz="8" w:color="CF0A2C"/>
            </w:tcBorders>
          </w:tcPr>
          <w:p>
            <w:pPr>
              <w:jc w:val="center"/>
              <w:spacing w:after="0"/>
              <w:rPr>
                <w:sz w:val="20"/>
                <w:szCs w:val="20"/>
                <w:color w:val="auto"/>
              </w:rPr>
            </w:pPr>
            <w:r>
              <w:rPr>
                <w:rFonts w:ascii="Arial" w:cs="Arial" w:eastAsia="Arial" w:hAnsi="Arial"/>
                <w:sz w:val="13"/>
                <w:szCs w:val="13"/>
                <w:b w:val="1"/>
                <w:bCs w:val="1"/>
                <w:color w:val="262626"/>
                <w:w w:val="95"/>
              </w:rPr>
              <w:t>Number of Shares Earned</w:t>
            </w:r>
          </w:p>
        </w:tc>
        <w:tc>
          <w:tcPr>
            <w:tcW w:w="3340" w:type="dxa"/>
            <w:vAlign w:val="bottom"/>
            <w:tcBorders>
              <w:top w:val="single" w:sz="8" w:color="CF0A2C"/>
            </w:tcBorders>
          </w:tcPr>
          <w:p>
            <w:pPr>
              <w:ind w:left="540"/>
              <w:spacing w:after="0"/>
              <w:rPr>
                <w:sz w:val="20"/>
                <w:szCs w:val="20"/>
                <w:color w:val="auto"/>
              </w:rPr>
            </w:pPr>
            <w:r>
              <w:rPr>
                <w:rFonts w:ascii="Arial" w:cs="Arial" w:eastAsia="Arial" w:hAnsi="Arial"/>
                <w:sz w:val="13"/>
                <w:szCs w:val="13"/>
                <w:b w:val="1"/>
                <w:bCs w:val="1"/>
                <w:color w:val="262626"/>
              </w:rPr>
              <w:t>Relative TSR Performance Over Period</w:t>
            </w:r>
          </w:p>
        </w:tc>
      </w:tr>
      <w:tr>
        <w:trPr>
          <w:trHeight w:val="94"/>
        </w:trPr>
        <w:tc>
          <w:tcPr>
            <w:tcW w:w="900" w:type="dxa"/>
            <w:vAlign w:val="bottom"/>
          </w:tcPr>
          <w:p>
            <w:pPr>
              <w:spacing w:after="0" w:line="94" w:lineRule="exact"/>
              <w:rPr>
                <w:sz w:val="20"/>
                <w:szCs w:val="20"/>
                <w:color w:val="auto"/>
              </w:rPr>
            </w:pPr>
            <w:r>
              <w:rPr>
                <w:rFonts w:ascii="Arial" w:cs="Arial" w:eastAsia="Arial" w:hAnsi="Arial"/>
                <w:sz w:val="10"/>
                <w:szCs w:val="10"/>
                <w:b w:val="1"/>
                <w:bCs w:val="1"/>
                <w:color w:val="262626"/>
              </w:rPr>
              <w:t>  Performance</w:t>
            </w:r>
          </w:p>
        </w:tc>
        <w:tc>
          <w:tcPr>
            <w:tcW w:w="880" w:type="dxa"/>
            <w:vAlign w:val="bottom"/>
          </w:tcPr>
          <w:p>
            <w:pPr>
              <w:jc w:val="center"/>
              <w:spacing w:after="0" w:line="94" w:lineRule="exact"/>
              <w:rPr>
                <w:sz w:val="20"/>
                <w:szCs w:val="20"/>
                <w:color w:val="auto"/>
              </w:rPr>
            </w:pPr>
            <w:r>
              <w:rPr>
                <w:rFonts w:ascii="Arial" w:cs="Arial" w:eastAsia="Arial" w:hAnsi="Arial"/>
                <w:sz w:val="10"/>
                <w:szCs w:val="10"/>
                <w:b w:val="1"/>
                <w:bCs w:val="1"/>
                <w:color w:val="262626"/>
              </w:rPr>
              <w:t>Shares</w:t>
            </w:r>
          </w:p>
        </w:tc>
        <w:tc>
          <w:tcPr>
            <w:tcW w:w="3580" w:type="dxa"/>
            <w:vAlign w:val="bottom"/>
            <w:tcBorders>
              <w:bottom w:val="single" w:sz="8" w:color="7F7F7F"/>
              <w:right w:val="single" w:sz="8" w:color="CF0A2C"/>
            </w:tcBorders>
          </w:tcPr>
          <w:p>
            <w:pPr>
              <w:spacing w:after="0"/>
              <w:rPr>
                <w:sz w:val="8"/>
                <w:szCs w:val="8"/>
                <w:color w:val="auto"/>
              </w:rPr>
            </w:pPr>
          </w:p>
        </w:tc>
        <w:tc>
          <w:tcPr>
            <w:tcW w:w="3340" w:type="dxa"/>
            <w:vAlign w:val="bottom"/>
            <w:tcBorders>
              <w:bottom w:val="single" w:sz="8" w:color="7F7F7F"/>
            </w:tcBorders>
          </w:tcPr>
          <w:p>
            <w:pPr>
              <w:spacing w:after="0"/>
              <w:rPr>
                <w:sz w:val="8"/>
                <w:szCs w:val="8"/>
                <w:color w:val="auto"/>
              </w:rPr>
            </w:pPr>
          </w:p>
        </w:tc>
      </w:tr>
      <w:tr>
        <w:trPr>
          <w:trHeight w:val="187"/>
        </w:trPr>
        <w:tc>
          <w:tcPr>
            <w:tcW w:w="900" w:type="dxa"/>
            <w:vAlign w:val="bottom"/>
          </w:tcPr>
          <w:p>
            <w:pPr>
              <w:jc w:val="center"/>
              <w:spacing w:after="0"/>
              <w:rPr>
                <w:sz w:val="20"/>
                <w:szCs w:val="20"/>
                <w:color w:val="auto"/>
              </w:rPr>
            </w:pPr>
            <w:r>
              <w:rPr>
                <w:rFonts w:ascii="Arial" w:cs="Arial" w:eastAsia="Arial" w:hAnsi="Arial"/>
                <w:sz w:val="13"/>
                <w:szCs w:val="13"/>
                <w:b w:val="1"/>
                <w:bCs w:val="1"/>
                <w:color w:val="262626"/>
                <w:w w:val="93"/>
              </w:rPr>
              <w:t>Period</w:t>
            </w:r>
          </w:p>
        </w:tc>
        <w:tc>
          <w:tcPr>
            <w:tcW w:w="880" w:type="dxa"/>
            <w:vAlign w:val="bottom"/>
          </w:tcPr>
          <w:p>
            <w:pPr>
              <w:jc w:val="center"/>
              <w:ind w:left="20"/>
              <w:spacing w:after="0"/>
              <w:rPr>
                <w:sz w:val="20"/>
                <w:szCs w:val="20"/>
                <w:color w:val="auto"/>
              </w:rPr>
            </w:pPr>
            <w:r>
              <w:rPr>
                <w:rFonts w:ascii="Arial" w:cs="Arial" w:eastAsia="Arial" w:hAnsi="Arial"/>
                <w:sz w:val="13"/>
                <w:szCs w:val="13"/>
                <w:b w:val="1"/>
                <w:bCs w:val="1"/>
                <w:color w:val="262626"/>
                <w:w w:val="99"/>
              </w:rPr>
              <w:t>Earned</w:t>
            </w:r>
          </w:p>
        </w:tc>
        <w:tc>
          <w:tcPr>
            <w:tcW w:w="3580" w:type="dxa"/>
            <w:vAlign w:val="bottom"/>
            <w:tcBorders>
              <w:right w:val="single" w:sz="8" w:color="CF0A2C"/>
            </w:tcBorders>
          </w:tcPr>
          <w:p>
            <w:pPr>
              <w:ind w:left="1000"/>
              <w:spacing w:after="0"/>
              <w:rPr>
                <w:sz w:val="20"/>
                <w:szCs w:val="20"/>
                <w:color w:val="auto"/>
              </w:rPr>
            </w:pPr>
            <w:r>
              <w:rPr>
                <w:rFonts w:ascii="Arial" w:cs="Arial" w:eastAsia="Arial" w:hAnsi="Arial"/>
                <w:sz w:val="13"/>
                <w:szCs w:val="13"/>
                <w:color w:val="262626"/>
              </w:rPr>
              <w:t xml:space="preserve">         Mark D. Brazeal       </w:t>
            </w:r>
          </w:p>
        </w:tc>
        <w:tc>
          <w:tcPr>
            <w:tcW w:w="3340" w:type="dxa"/>
            <w:vAlign w:val="bottom"/>
          </w:tcPr>
          <w:p>
            <w:pPr>
              <w:ind w:left="80"/>
              <w:spacing w:after="0"/>
              <w:rPr>
                <w:sz w:val="20"/>
                <w:szCs w:val="20"/>
                <w:color w:val="auto"/>
              </w:rPr>
            </w:pPr>
            <w:r>
              <w:rPr>
                <w:rFonts w:ascii="Arial" w:cs="Arial" w:eastAsia="Arial" w:hAnsi="Arial"/>
                <w:sz w:val="13"/>
                <w:szCs w:val="13"/>
                <w:b w:val="1"/>
                <w:bCs w:val="1"/>
                <w:color w:val="262626"/>
              </w:rPr>
              <w:t>      2024      2025</w:t>
            </w:r>
          </w:p>
        </w:tc>
      </w:tr>
      <w:tr>
        <w:trPr>
          <w:trHeight w:val="48"/>
        </w:trPr>
        <w:tc>
          <w:tcPr>
            <w:tcW w:w="900" w:type="dxa"/>
            <w:vAlign w:val="bottom"/>
            <w:tcBorders>
              <w:bottom w:val="single" w:sz="8" w:color="CF0A2C"/>
            </w:tcBorders>
          </w:tcPr>
          <w:p>
            <w:pPr>
              <w:spacing w:after="0"/>
              <w:rPr>
                <w:sz w:val="4"/>
                <w:szCs w:val="4"/>
                <w:color w:val="auto"/>
              </w:rPr>
            </w:pPr>
          </w:p>
        </w:tc>
        <w:tc>
          <w:tcPr>
            <w:tcW w:w="880" w:type="dxa"/>
            <w:vAlign w:val="bottom"/>
            <w:tcBorders>
              <w:bottom w:val="single" w:sz="8" w:color="CF0A2C"/>
            </w:tcBorders>
          </w:tcPr>
          <w:p>
            <w:pPr>
              <w:spacing w:after="0"/>
              <w:rPr>
                <w:sz w:val="4"/>
                <w:szCs w:val="4"/>
                <w:color w:val="auto"/>
              </w:rPr>
            </w:pPr>
          </w:p>
        </w:tc>
        <w:tc>
          <w:tcPr>
            <w:tcW w:w="3580" w:type="dxa"/>
            <w:vAlign w:val="bottom"/>
            <w:tcBorders>
              <w:bottom w:val="single" w:sz="8" w:color="CF0A2C"/>
              <w:right w:val="single" w:sz="8" w:color="CF0A2C"/>
            </w:tcBorders>
          </w:tcPr>
          <w:p>
            <w:pPr>
              <w:spacing w:after="0"/>
              <w:rPr>
                <w:sz w:val="4"/>
                <w:szCs w:val="4"/>
                <w:color w:val="auto"/>
              </w:rPr>
            </w:pPr>
          </w:p>
        </w:tc>
        <w:tc>
          <w:tcPr>
            <w:tcW w:w="3340" w:type="dxa"/>
            <w:vAlign w:val="bottom"/>
            <w:tcBorders>
              <w:bottom w:val="single" w:sz="8" w:color="CF0A2C"/>
            </w:tcBorders>
          </w:tcPr>
          <w:p>
            <w:pPr>
              <w:spacing w:after="0"/>
              <w:rPr>
                <w:sz w:val="4"/>
                <w:szCs w:val="4"/>
                <w:color w:val="auto"/>
              </w:rPr>
            </w:pPr>
          </w:p>
        </w:tc>
      </w:tr>
      <w:tr>
        <w:trPr>
          <w:trHeight w:val="275"/>
        </w:trPr>
        <w:tc>
          <w:tcPr>
            <w:tcW w:w="900" w:type="dxa"/>
            <w:vAlign w:val="bottom"/>
          </w:tcPr>
          <w:p>
            <w:pPr>
              <w:jc w:val="right"/>
              <w:ind w:right="361"/>
              <w:spacing w:after="0"/>
              <w:rPr>
                <w:sz w:val="20"/>
                <w:szCs w:val="20"/>
                <w:color w:val="auto"/>
              </w:rPr>
            </w:pPr>
            <w:r>
              <w:rPr>
                <w:rFonts w:ascii="Arial" w:cs="Arial" w:eastAsia="Arial" w:hAnsi="Arial"/>
                <w:sz w:val="13"/>
                <w:szCs w:val="13"/>
                <w:color w:val="262626"/>
              </w:rPr>
              <w:t>1</w:t>
            </w:r>
          </w:p>
        </w:tc>
        <w:tc>
          <w:tcPr>
            <w:tcW w:w="880" w:type="dxa"/>
            <w:vAlign w:val="bottom"/>
          </w:tcPr>
          <w:p>
            <w:pPr>
              <w:jc w:val="center"/>
              <w:ind w:left="20"/>
              <w:spacing w:after="0"/>
              <w:rPr>
                <w:sz w:val="20"/>
                <w:szCs w:val="20"/>
                <w:color w:val="auto"/>
              </w:rPr>
            </w:pPr>
            <w:r>
              <w:rPr>
                <w:rFonts w:ascii="Arial" w:cs="Arial" w:eastAsia="Arial" w:hAnsi="Arial"/>
                <w:sz w:val="13"/>
                <w:szCs w:val="13"/>
                <w:color w:val="262626"/>
                <w:w w:val="92"/>
              </w:rPr>
              <w:t>25%</w:t>
            </w:r>
          </w:p>
        </w:tc>
        <w:tc>
          <w:tcPr>
            <w:tcW w:w="3580" w:type="dxa"/>
            <w:vAlign w:val="bottom"/>
            <w:tcBorders>
              <w:right w:val="single" w:sz="8" w:color="CF0A2C"/>
            </w:tcBorders>
          </w:tcPr>
          <w:p>
            <w:pPr>
              <w:jc w:val="center"/>
              <w:spacing w:after="0"/>
              <w:rPr>
                <w:sz w:val="20"/>
                <w:szCs w:val="20"/>
                <w:color w:val="auto"/>
              </w:rPr>
            </w:pPr>
            <w:r>
              <w:rPr>
                <w:rFonts w:ascii="Arial" w:cs="Arial" w:eastAsia="Arial" w:hAnsi="Arial"/>
                <w:sz w:val="13"/>
                <w:szCs w:val="13"/>
                <w:color w:val="262626"/>
                <w:w w:val="97"/>
              </w:rPr>
              <w:t>25,000 shares</w:t>
            </w:r>
          </w:p>
        </w:tc>
        <w:tc>
          <w:tcPr>
            <w:tcW w:w="3340" w:type="dxa"/>
            <w:vAlign w:val="bottom"/>
          </w:tcPr>
          <w:p>
            <w:pPr>
              <w:spacing w:after="0"/>
              <w:rPr>
                <w:sz w:val="23"/>
                <w:szCs w:val="23"/>
                <w:color w:val="auto"/>
              </w:rPr>
            </w:pPr>
          </w:p>
        </w:tc>
      </w:tr>
      <w:tr>
        <w:trPr>
          <w:trHeight w:val="134"/>
        </w:trPr>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580" w:type="dxa"/>
            <w:vAlign w:val="bottom"/>
            <w:tcBorders>
              <w:right w:val="single" w:sz="8" w:color="CF0A2C"/>
            </w:tcBorders>
          </w:tcPr>
          <w:p>
            <w:pPr>
              <w:spacing w:after="0"/>
              <w:rPr>
                <w:sz w:val="11"/>
                <w:szCs w:val="11"/>
                <w:color w:val="auto"/>
              </w:rPr>
            </w:pPr>
          </w:p>
        </w:tc>
        <w:tc>
          <w:tcPr>
            <w:tcW w:w="33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-212725</wp:posOffset>
            </wp:positionV>
            <wp:extent cx="1022985" cy="1962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2985" cy="19621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p>
      <w:pPr>
        <w:spacing w:after="0" w:line="130"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ADDITIONAL COMPENSATION PRACTICES AND POLICIES</w:t>
      </w:r>
    </w:p>
    <w:p>
      <w:pPr>
        <w:spacing w:after="0" w:line="125"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Employee Stock Purchase Plan</w:t>
      </w:r>
    </w:p>
    <w:p>
      <w:pPr>
        <w:spacing w:after="0" w:line="175"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Executive officers employed by our participating subsidiaries, including all of our NEOs, are eligible to participate in our Employee Stock Purchase Plan (the “ESPP”).</w:t>
      </w:r>
    </w:p>
    <w:p>
      <w:pPr>
        <w:spacing w:after="0" w:line="108"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Other Compensation</w:t>
      </w:r>
    </w:p>
    <w:p>
      <w:pPr>
        <w:spacing w:after="0" w:line="175"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The Compensation Committee provides reasonable perquisites and other personal benefits to our executive officers on a case-by-case basis. Typically, the Compensation Committee provides perquisites to an executive officer in limited circumstances where it believes such benefits are appropriate to assist in the performance of the executive officer’s duties, to enhance the executive officer’s efficiency and effectiveness, or for recruitment, motivation, retention or security purposes.</w:t>
      </w:r>
    </w:p>
    <w:p>
      <w:pPr>
        <w:spacing w:after="0" w:line="119" w:lineRule="exact"/>
        <w:rPr>
          <w:sz w:val="20"/>
          <w:szCs w:val="20"/>
          <w:color w:val="auto"/>
        </w:rPr>
      </w:pPr>
    </w:p>
    <w:p>
      <w:pPr>
        <w:jc w:val="both"/>
        <w:ind w:left="1280" w:right="179"/>
        <w:spacing w:after="0" w:line="330" w:lineRule="auto"/>
        <w:rPr>
          <w:sz w:val="20"/>
          <w:szCs w:val="20"/>
          <w:color w:val="auto"/>
        </w:rPr>
      </w:pPr>
      <w:r>
        <w:rPr>
          <w:rFonts w:ascii="Arial" w:cs="Arial" w:eastAsia="Arial" w:hAnsi="Arial"/>
          <w:sz w:val="16"/>
          <w:szCs w:val="16"/>
          <w:color w:val="262626"/>
        </w:rPr>
        <w:t>The Compensation Committee established a security program for the protection of our CEO based on an assessment of risk that included consideration of the executive’s position and work location. The independent directors believe these security costs are necessary and appropriate business expenses as these costs arise from the nature of our CEO’s employment at Broadcom. In fiscal 2025, the security program included residential and personal security for Mr. Tan. Based on an assessment of risk, the independent directors determined that these security measures were required for Broadcom’s benefit due to the importance of Mr. Tan to Broadcom and to address specific threats and safety concerns. Although we do not consider the provision of such necessary security measures to be a perquisite, pursuant to SEC guidance, we have reported these costs in the “</w:t>
      </w:r>
      <w:r>
        <w:rPr>
          <w:rFonts w:ascii="Arial" w:cs="Arial" w:eastAsia="Arial" w:hAnsi="Arial"/>
          <w:sz w:val="16"/>
          <w:szCs w:val="16"/>
          <w:i w:val="1"/>
          <w:iCs w:val="1"/>
          <w:color w:val="262626"/>
        </w:rPr>
        <w:t>Fiscal 2025 Summary Compensation Table</w:t>
      </w:r>
      <w:r>
        <w:rPr>
          <w:rFonts w:ascii="Arial" w:cs="Arial" w:eastAsia="Arial" w:hAnsi="Arial"/>
          <w:sz w:val="16"/>
          <w:szCs w:val="16"/>
          <w:color w:val="262626"/>
        </w:rPr>
        <w:t>” below.</w:t>
      </w:r>
    </w:p>
    <w:p>
      <w:pPr>
        <w:spacing w:after="0" w:line="123"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For additional information on the perquisites and other personal benefits provided to our NEOs in fiscal 2025, see the “</w:t>
      </w:r>
      <w:r>
        <w:rPr>
          <w:rFonts w:ascii="Arial" w:cs="Arial" w:eastAsia="Arial" w:hAnsi="Arial"/>
          <w:sz w:val="16"/>
          <w:szCs w:val="16"/>
          <w:i w:val="1"/>
          <w:iCs w:val="1"/>
          <w:color w:val="262626"/>
        </w:rPr>
        <w:t>Fiscal 2025 Summary Compensation Table</w:t>
      </w:r>
      <w:r>
        <w:rPr>
          <w:rFonts w:ascii="Arial" w:cs="Arial" w:eastAsia="Arial" w:hAnsi="Arial"/>
          <w:sz w:val="16"/>
          <w:szCs w:val="16"/>
          <w:color w:val="262626"/>
        </w:rPr>
        <w:t>” below.</w:t>
      </w:r>
    </w:p>
    <w:p>
      <w:pPr>
        <w:spacing w:after="0" w:line="135"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Severance and Change in Control Benefits</w:t>
      </w:r>
    </w:p>
    <w:p>
      <w:pPr>
        <w:spacing w:after="0" w:line="175"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The Compensation Committee believes that severance and change in control arrangements are important components of the overall executive compensation program for our NEOs. Severance arrangements provide a stable work environment and serve primarily to attract and retain individuals with the requisite experience and ability to drive our success. Change in control provisions help secure the continued employment and dedication of our NEOs, reduce any concerns they might have regarding their continued employment prior to or following a change in control of Broadcom and promote continuity of management during a corporate transaction.</w:t>
      </w:r>
    </w:p>
    <w:p>
      <w:pPr>
        <w:spacing w:after="0" w:line="106" w:lineRule="exact"/>
        <w:rPr>
          <w:sz w:val="20"/>
          <w:szCs w:val="20"/>
          <w:color w:val="auto"/>
        </w:rPr>
      </w:pPr>
    </w:p>
    <w:p>
      <w:pPr>
        <w:jc w:val="both"/>
        <w:ind w:left="1280" w:right="159"/>
        <w:spacing w:after="0" w:line="329" w:lineRule="auto"/>
        <w:rPr>
          <w:sz w:val="20"/>
          <w:szCs w:val="20"/>
          <w:color w:val="auto"/>
        </w:rPr>
      </w:pPr>
      <w:r>
        <w:rPr>
          <w:rFonts w:ascii="Arial" w:cs="Arial" w:eastAsia="Arial" w:hAnsi="Arial"/>
          <w:sz w:val="16"/>
          <w:szCs w:val="16"/>
          <w:color w:val="262626"/>
        </w:rPr>
        <w:t>Our NEOs are eligible for severance and change in control payments and benefits under their respective severance benefits agreements, including vesting acceleration of the equity awards following a Covered Termination (as defined below under “</w:t>
      </w:r>
      <w:r>
        <w:rPr>
          <w:rFonts w:ascii="Arial" w:cs="Arial" w:eastAsia="Arial" w:hAnsi="Arial"/>
          <w:sz w:val="16"/>
          <w:szCs w:val="16"/>
          <w:i w:val="1"/>
          <w:iCs w:val="1"/>
          <w:color w:val="262626"/>
        </w:rPr>
        <w:t>Executive Compensation — Severance Benefits Agreements; Death and Permanent Disability Policies;</w:t>
      </w:r>
      <w:r>
        <w:rPr>
          <w:rFonts w:ascii="Arial" w:cs="Arial" w:eastAsia="Arial" w:hAnsi="Arial"/>
          <w:sz w:val="16"/>
          <w:szCs w:val="16"/>
          <w:color w:val="262626"/>
        </w:rPr>
        <w:t xml:space="preserve"> </w:t>
      </w:r>
      <w:r>
        <w:rPr>
          <w:rFonts w:ascii="Arial" w:cs="Arial" w:eastAsia="Arial" w:hAnsi="Arial"/>
          <w:sz w:val="16"/>
          <w:szCs w:val="16"/>
          <w:i w:val="1"/>
          <w:iCs w:val="1"/>
          <w:color w:val="262626"/>
        </w:rPr>
        <w:t>Retirement”</w:t>
      </w:r>
      <w:r>
        <w:rPr>
          <w:rFonts w:ascii="Arial" w:cs="Arial" w:eastAsia="Arial" w:hAnsi="Arial"/>
          <w:sz w:val="16"/>
          <w:szCs w:val="16"/>
          <w:color w:val="262626"/>
        </w:rPr>
        <w:t>) in connection with a change in control, which is commonly referred to as a “double trigger” provision. The</w:t>
      </w:r>
      <w:r>
        <w:rPr>
          <w:rFonts w:ascii="Arial" w:cs="Arial" w:eastAsia="Arial" w:hAnsi="Arial"/>
          <w:sz w:val="16"/>
          <w:szCs w:val="16"/>
          <w:i w:val="1"/>
          <w:iCs w:val="1"/>
          <w:color w:val="262626"/>
        </w:rPr>
        <w:t xml:space="preserve"> </w:t>
      </w:r>
      <w:r>
        <w:rPr>
          <w:rFonts w:ascii="Arial" w:cs="Arial" w:eastAsia="Arial" w:hAnsi="Arial"/>
          <w:sz w:val="16"/>
          <w:szCs w:val="16"/>
          <w:color w:val="262626"/>
        </w:rPr>
        <w:t>Compensation Committee provides such payments and benefits to our NEOs based on its review of severance practices at the companies in our compensation peer group and as the result of arm’s length negotiations at the time our NEOs commence employment with Broadcom, when they are requested to assume additional responsibilities, or from time to time as deemed necessary or desirable to achieve parity with other executive officers or otherwise. Further, we believe our double trigger change in control arrangements protect stockholder value by allowing us the opportunity to deliver a motivated management team to any potential acquirer. Absent such change in control arrangements, our NEOs could be less motivated to pursue a potential acquisition even if such a transaction would benefit our stockholders, due to the possibility that they would forfeit the potential value of their unvested equity compensation upon an acquisition.</w:t>
      </w:r>
    </w:p>
    <w:p>
      <w:pPr>
        <w:spacing w:after="0" w:line="127"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For a summary of the material terms and conditions of these arrangements, as well as an estimate of the post-employment payments and benefits to which our NEOs may be entitled, see “</w:t>
      </w:r>
      <w:r>
        <w:rPr>
          <w:rFonts w:ascii="Arial" w:cs="Arial" w:eastAsia="Arial" w:hAnsi="Arial"/>
          <w:sz w:val="16"/>
          <w:szCs w:val="16"/>
          <w:i w:val="1"/>
          <w:iCs w:val="1"/>
          <w:color w:val="262626"/>
        </w:rPr>
        <w:t>Executive Compensation</w:t>
      </w:r>
      <w:r>
        <w:rPr>
          <w:rFonts w:ascii="Arial" w:cs="Arial" w:eastAsia="Arial" w:hAnsi="Arial"/>
          <w:sz w:val="16"/>
          <w:szCs w:val="16"/>
          <w:color w:val="262626"/>
        </w:rPr>
        <w:t xml:space="preserve"> — </w:t>
      </w:r>
      <w:r>
        <w:rPr>
          <w:rFonts w:ascii="Arial" w:cs="Arial" w:eastAsia="Arial" w:hAnsi="Arial"/>
          <w:sz w:val="16"/>
          <w:szCs w:val="16"/>
          <w:i w:val="1"/>
          <w:iCs w:val="1"/>
          <w:color w:val="262626"/>
        </w:rPr>
        <w:t>Severance</w:t>
      </w:r>
      <w:r>
        <w:rPr>
          <w:rFonts w:ascii="Arial" w:cs="Arial" w:eastAsia="Arial" w:hAnsi="Arial"/>
          <w:sz w:val="16"/>
          <w:szCs w:val="16"/>
          <w:color w:val="262626"/>
        </w:rPr>
        <w:t xml:space="preserve"> </w:t>
      </w:r>
      <w:r>
        <w:rPr>
          <w:rFonts w:ascii="Arial" w:cs="Arial" w:eastAsia="Arial" w:hAnsi="Arial"/>
          <w:sz w:val="16"/>
          <w:szCs w:val="16"/>
          <w:i w:val="1"/>
          <w:iCs w:val="1"/>
          <w:color w:val="262626"/>
        </w:rPr>
        <w:t>Benefits Agreements</w:t>
      </w:r>
      <w:r>
        <w:rPr>
          <w:rFonts w:ascii="Arial" w:cs="Arial" w:eastAsia="Arial" w:hAnsi="Arial"/>
          <w:sz w:val="16"/>
          <w:szCs w:val="16"/>
          <w:color w:val="262626"/>
        </w:rPr>
        <w:t>;</w:t>
      </w:r>
      <w:r>
        <w:rPr>
          <w:rFonts w:ascii="Arial" w:cs="Arial" w:eastAsia="Arial" w:hAnsi="Arial"/>
          <w:sz w:val="16"/>
          <w:szCs w:val="16"/>
          <w:i w:val="1"/>
          <w:iCs w:val="1"/>
          <w:color w:val="262626"/>
        </w:rPr>
        <w:t xml:space="preserve"> Death and Permanent Disability Policies</w:t>
      </w:r>
      <w:r>
        <w:rPr>
          <w:rFonts w:ascii="Arial" w:cs="Arial" w:eastAsia="Arial" w:hAnsi="Arial"/>
          <w:sz w:val="16"/>
          <w:szCs w:val="16"/>
          <w:color w:val="262626"/>
        </w:rPr>
        <w:t>;</w:t>
      </w:r>
      <w:r>
        <w:rPr>
          <w:rFonts w:ascii="Arial" w:cs="Arial" w:eastAsia="Arial" w:hAnsi="Arial"/>
          <w:sz w:val="16"/>
          <w:szCs w:val="16"/>
          <w:i w:val="1"/>
          <w:iCs w:val="1"/>
          <w:color w:val="262626"/>
        </w:rPr>
        <w:t xml:space="preserve"> Retirement</w:t>
      </w:r>
      <w:r>
        <w:rPr>
          <w:rFonts w:ascii="Arial" w:cs="Arial" w:eastAsia="Arial" w:hAnsi="Arial"/>
          <w:sz w:val="16"/>
          <w:szCs w:val="16"/>
          <w:color w:val="262626"/>
        </w:rPr>
        <w:t>” below.</w:t>
      </w:r>
    </w:p>
    <w:p>
      <w:pPr>
        <w:spacing w:after="0" w:line="80"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768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5155" cy="76835"/>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3280"/>
        <w:spacing w:after="0"/>
        <w:rPr>
          <w:sz w:val="20"/>
          <w:szCs w:val="20"/>
          <w:color w:val="auto"/>
        </w:rPr>
      </w:pPr>
      <w:r>
        <w:rPr>
          <w:rFonts w:ascii="Arial" w:cs="Arial" w:eastAsia="Arial" w:hAnsi="Arial"/>
          <w:sz w:val="25"/>
          <w:szCs w:val="25"/>
          <w:color w:val="CF0A2C"/>
        </w:rPr>
        <w:t>COMPENSATION COMMITTEE REPORT</w:t>
      </w:r>
    </w:p>
    <w:p>
      <w:pPr>
        <w:spacing w:after="0" w:line="258"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The Compensation Committee has reviewed and discussed with management the “</w:t>
      </w:r>
      <w:r>
        <w:rPr>
          <w:rFonts w:ascii="Arial" w:cs="Arial" w:eastAsia="Arial" w:hAnsi="Arial"/>
          <w:sz w:val="16"/>
          <w:szCs w:val="16"/>
          <w:i w:val="1"/>
          <w:iCs w:val="1"/>
          <w:color w:val="262626"/>
        </w:rPr>
        <w:t>Compensation Discussion and</w:t>
      </w:r>
      <w:r>
        <w:rPr>
          <w:rFonts w:ascii="Arial" w:cs="Arial" w:eastAsia="Arial" w:hAnsi="Arial"/>
          <w:sz w:val="16"/>
          <w:szCs w:val="16"/>
          <w:color w:val="262626"/>
        </w:rPr>
        <w:t xml:space="preserve"> </w:t>
      </w:r>
      <w:r>
        <w:rPr>
          <w:rFonts w:ascii="Arial" w:cs="Arial" w:eastAsia="Arial" w:hAnsi="Arial"/>
          <w:sz w:val="16"/>
          <w:szCs w:val="16"/>
          <w:i w:val="1"/>
          <w:iCs w:val="1"/>
          <w:color w:val="262626"/>
        </w:rPr>
        <w:t>Analysis</w:t>
      </w:r>
      <w:r>
        <w:rPr>
          <w:rFonts w:ascii="Arial" w:cs="Arial" w:eastAsia="Arial" w:hAnsi="Arial"/>
          <w:sz w:val="16"/>
          <w:szCs w:val="16"/>
          <w:color w:val="262626"/>
        </w:rPr>
        <w:t>” included in this Proxy Statement. Based upon such review and related discussions, the Compensation</w:t>
      </w:r>
      <w:r>
        <w:rPr>
          <w:rFonts w:ascii="Arial" w:cs="Arial" w:eastAsia="Arial" w:hAnsi="Arial"/>
          <w:sz w:val="16"/>
          <w:szCs w:val="16"/>
          <w:i w:val="1"/>
          <w:iCs w:val="1"/>
          <w:color w:val="262626"/>
        </w:rPr>
        <w:t xml:space="preserve"> </w:t>
      </w:r>
      <w:r>
        <w:rPr>
          <w:rFonts w:ascii="Arial" w:cs="Arial" w:eastAsia="Arial" w:hAnsi="Arial"/>
          <w:sz w:val="16"/>
          <w:szCs w:val="16"/>
          <w:color w:val="262626"/>
        </w:rPr>
        <w:t>Committee recommended to the Board that the “</w:t>
      </w:r>
      <w:r>
        <w:rPr>
          <w:rFonts w:ascii="Arial" w:cs="Arial" w:eastAsia="Arial" w:hAnsi="Arial"/>
          <w:sz w:val="16"/>
          <w:szCs w:val="16"/>
          <w:i w:val="1"/>
          <w:iCs w:val="1"/>
          <w:color w:val="262626"/>
        </w:rPr>
        <w:t>Compensation Discussion and Analysis</w:t>
      </w:r>
      <w:r>
        <w:rPr>
          <w:rFonts w:ascii="Arial" w:cs="Arial" w:eastAsia="Arial" w:hAnsi="Arial"/>
          <w:sz w:val="16"/>
          <w:szCs w:val="16"/>
          <w:color w:val="262626"/>
        </w:rPr>
        <w:t>” be included in this Proxy Statement and the 2025 Annual Report.</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COMPENSATION COMMITTEE</w:t>
      </w:r>
    </w:p>
    <w:p>
      <w:pPr>
        <w:spacing w:after="0" w:line="286"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Harry L. You, Chair</w:t>
      </w:r>
    </w:p>
    <w:p>
      <w:pPr>
        <w:spacing w:after="0" w:line="58"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Diane M. Bryant</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Eddy W. Hartenstein</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Check Kian Low</w:t>
      </w:r>
    </w:p>
    <w:p>
      <w:pPr>
        <w:spacing w:after="0" w:line="175" w:lineRule="exact"/>
        <w:rPr>
          <w:sz w:val="20"/>
          <w:szCs w:val="20"/>
          <w:color w:val="auto"/>
        </w:rPr>
      </w:pPr>
    </w:p>
    <w:p>
      <w:pPr>
        <w:jc w:val="right"/>
        <w:ind w:right="159"/>
        <w:spacing w:after="0"/>
        <w:rPr>
          <w:sz w:val="20"/>
          <w:szCs w:val="20"/>
          <w:color w:val="auto"/>
        </w:rPr>
      </w:pPr>
      <w:r>
        <w:rPr>
          <w:rFonts w:ascii="Arial" w:cs="Arial" w:eastAsia="Arial" w:hAnsi="Arial"/>
          <w:sz w:val="15"/>
          <w:szCs w:val="15"/>
          <w:color w:val="262626"/>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3880"/>
        <w:spacing w:after="0"/>
        <w:rPr>
          <w:sz w:val="20"/>
          <w:szCs w:val="20"/>
          <w:color w:val="auto"/>
        </w:rPr>
      </w:pPr>
      <w:r>
        <w:rPr>
          <w:rFonts w:ascii="Arial" w:cs="Arial" w:eastAsia="Arial" w:hAnsi="Arial"/>
          <w:sz w:val="25"/>
          <w:szCs w:val="25"/>
          <w:color w:val="CF0A2C"/>
        </w:rPr>
        <w:t>EXECUTIVE COMPENSATION</w:t>
      </w:r>
    </w:p>
    <w:p>
      <w:pPr>
        <w:spacing w:after="0" w:line="22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FISCAL 2025 SUMMARY COMPENSATION TABLE</w:t>
      </w:r>
    </w:p>
    <w:p>
      <w:pPr>
        <w:spacing w:after="0" w:line="160" w:lineRule="exact"/>
        <w:rPr>
          <w:sz w:val="20"/>
          <w:szCs w:val="20"/>
          <w:color w:val="auto"/>
        </w:rPr>
      </w:pPr>
    </w:p>
    <w:p>
      <w:pPr>
        <w:ind w:left="1280" w:right="179"/>
        <w:spacing w:after="0" w:line="371" w:lineRule="auto"/>
        <w:rPr>
          <w:sz w:val="20"/>
          <w:szCs w:val="20"/>
          <w:color w:val="auto"/>
        </w:rPr>
      </w:pPr>
      <w:r>
        <w:rPr>
          <w:rFonts w:ascii="Arial" w:cs="Arial" w:eastAsia="Arial" w:hAnsi="Arial"/>
          <w:sz w:val="16"/>
          <w:szCs w:val="16"/>
          <w:color w:val="262626"/>
        </w:rPr>
        <w:t>The following table sets forth information about compensation awarded to, paid to or earned by our NEOs during fiscal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48260</wp:posOffset>
            </wp:positionV>
            <wp:extent cx="55225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14"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262626"/>
              </w:rPr>
              <w:t>Non-Equity</w:t>
            </w: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40" w:type="dxa"/>
            <w:vAlign w:val="bottom"/>
          </w:tcPr>
          <w:p>
            <w:pPr>
              <w:spacing w:after="0"/>
              <w:rPr>
                <w:sz w:val="13"/>
                <w:szCs w:val="1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262626"/>
              </w:rPr>
              <w:t>Fiscal</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262626"/>
              </w:rPr>
              <w:t>Salary</w:t>
            </w:r>
            <w:r>
              <w:rPr>
                <w:rFonts w:ascii="Arial" w:cs="Arial" w:eastAsia="Arial" w:hAnsi="Arial"/>
                <w:sz w:val="21"/>
                <w:szCs w:val="21"/>
                <w:b w:val="1"/>
                <w:bCs w:val="1"/>
                <w:color w:val="262626"/>
                <w:vertAlign w:val="superscript"/>
              </w:rPr>
              <w:t>(1)</w:t>
            </w:r>
          </w:p>
        </w:tc>
        <w:tc>
          <w:tcPr>
            <w:tcW w:w="1140" w:type="dxa"/>
            <w:vAlign w:val="bottom"/>
          </w:tcPr>
          <w:p>
            <w:pPr>
              <w:jc w:val="center"/>
              <w:ind w:right="69"/>
              <w:spacing w:after="0" w:line="157" w:lineRule="exact"/>
              <w:rPr>
                <w:sz w:val="20"/>
                <w:szCs w:val="20"/>
                <w:color w:val="auto"/>
              </w:rPr>
            </w:pPr>
            <w:r>
              <w:rPr>
                <w:rFonts w:ascii="Arial" w:cs="Arial" w:eastAsia="Arial" w:hAnsi="Arial"/>
                <w:sz w:val="14"/>
                <w:szCs w:val="14"/>
                <w:b w:val="1"/>
                <w:bCs w:val="1"/>
                <w:color w:val="262626"/>
              </w:rPr>
              <w:t>Stock</w:t>
            </w:r>
          </w:p>
        </w:tc>
        <w:tc>
          <w:tcPr>
            <w:tcW w:w="1300" w:type="dxa"/>
            <w:vAlign w:val="bottom"/>
          </w:tcPr>
          <w:p>
            <w:pPr>
              <w:jc w:val="center"/>
              <w:spacing w:after="0" w:line="157" w:lineRule="exact"/>
              <w:rPr>
                <w:sz w:val="20"/>
                <w:szCs w:val="20"/>
                <w:color w:val="auto"/>
              </w:rPr>
            </w:pPr>
            <w:r>
              <w:rPr>
                <w:rFonts w:ascii="Arial" w:cs="Arial" w:eastAsia="Arial" w:hAnsi="Arial"/>
                <w:sz w:val="14"/>
                <w:szCs w:val="14"/>
                <w:b w:val="1"/>
                <w:bCs w:val="1"/>
                <w:color w:val="262626"/>
              </w:rPr>
              <w:t>Incentive Plan</w:t>
            </w:r>
          </w:p>
        </w:tc>
        <w:tc>
          <w:tcPr>
            <w:tcW w:w="1160" w:type="dxa"/>
            <w:vAlign w:val="bottom"/>
          </w:tcPr>
          <w:p>
            <w:pPr>
              <w:jc w:val="center"/>
              <w:spacing w:after="0" w:line="157" w:lineRule="exact"/>
              <w:rPr>
                <w:sz w:val="20"/>
                <w:szCs w:val="20"/>
                <w:color w:val="auto"/>
              </w:rPr>
            </w:pPr>
            <w:r>
              <w:rPr>
                <w:rFonts w:ascii="Arial" w:cs="Arial" w:eastAsia="Arial" w:hAnsi="Arial"/>
                <w:sz w:val="14"/>
                <w:szCs w:val="14"/>
                <w:b w:val="1"/>
                <w:bCs w:val="1"/>
                <w:color w:val="262626"/>
              </w:rPr>
              <w:t>All Other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140" w:type="dxa"/>
            <w:vAlign w:val="bottom"/>
          </w:tcPr>
          <w:p>
            <w:pPr>
              <w:jc w:val="center"/>
              <w:ind w:right="69"/>
              <w:spacing w:after="0" w:line="152" w:lineRule="exact"/>
              <w:rPr>
                <w:sz w:val="20"/>
                <w:szCs w:val="20"/>
                <w:color w:val="auto"/>
              </w:rPr>
            </w:pPr>
            <w:r>
              <w:rPr>
                <w:rFonts w:ascii="Arial" w:cs="Arial" w:eastAsia="Arial" w:hAnsi="Arial"/>
                <w:sz w:val="12"/>
                <w:szCs w:val="12"/>
                <w:b w:val="1"/>
                <w:bCs w:val="1"/>
                <w:color w:val="262626"/>
              </w:rPr>
              <w:t>Awards</w:t>
            </w:r>
            <w:r>
              <w:rPr>
                <w:rFonts w:ascii="Arial" w:cs="Arial" w:eastAsia="Arial" w:hAnsi="Arial"/>
                <w:sz w:val="17"/>
                <w:szCs w:val="17"/>
                <w:b w:val="1"/>
                <w:bCs w:val="1"/>
                <w:color w:val="262626"/>
                <w:vertAlign w:val="superscript"/>
              </w:rPr>
              <w:t>(2)</w:t>
            </w:r>
          </w:p>
        </w:tc>
        <w:tc>
          <w:tcPr>
            <w:tcW w:w="1300" w:type="dxa"/>
            <w:vAlign w:val="bottom"/>
          </w:tcPr>
          <w:p>
            <w:pPr>
              <w:jc w:val="center"/>
              <w:spacing w:after="0" w:line="152" w:lineRule="exact"/>
              <w:rPr>
                <w:sz w:val="20"/>
                <w:szCs w:val="20"/>
                <w:color w:val="auto"/>
              </w:rPr>
            </w:pPr>
            <w:r>
              <w:rPr>
                <w:rFonts w:ascii="Arial" w:cs="Arial" w:eastAsia="Arial" w:hAnsi="Arial"/>
                <w:sz w:val="12"/>
                <w:szCs w:val="12"/>
                <w:b w:val="1"/>
                <w:bCs w:val="1"/>
                <w:color w:val="262626"/>
              </w:rPr>
              <w:t>Compensation</w:t>
            </w:r>
            <w:r>
              <w:rPr>
                <w:rFonts w:ascii="Arial" w:cs="Arial" w:eastAsia="Arial" w:hAnsi="Arial"/>
                <w:sz w:val="17"/>
                <w:szCs w:val="17"/>
                <w:b w:val="1"/>
                <w:bCs w:val="1"/>
                <w:color w:val="262626"/>
                <w:vertAlign w:val="superscript"/>
              </w:rPr>
              <w:t>(3)</w:t>
            </w:r>
          </w:p>
        </w:tc>
        <w:tc>
          <w:tcPr>
            <w:tcW w:w="1160" w:type="dxa"/>
            <w:vAlign w:val="bottom"/>
          </w:tcPr>
          <w:p>
            <w:pPr>
              <w:jc w:val="center"/>
              <w:spacing w:after="0" w:line="151" w:lineRule="exact"/>
              <w:rPr>
                <w:sz w:val="20"/>
                <w:szCs w:val="20"/>
                <w:color w:val="auto"/>
              </w:rPr>
            </w:pPr>
            <w:r>
              <w:rPr>
                <w:rFonts w:ascii="Arial" w:cs="Arial" w:eastAsia="Arial" w:hAnsi="Arial"/>
                <w:sz w:val="14"/>
                <w:szCs w:val="14"/>
                <w:b w:val="1"/>
                <w:bCs w:val="1"/>
                <w:color w:val="262626"/>
              </w:rPr>
              <w:t>Compensation</w:t>
            </w:r>
          </w:p>
        </w:tc>
        <w:tc>
          <w:tcPr>
            <w:tcW w:w="940" w:type="dxa"/>
            <w:vAlign w:val="bottom"/>
          </w:tcPr>
          <w:p>
            <w:pPr>
              <w:jc w:val="right"/>
              <w:ind w:right="228"/>
              <w:spacing w:after="0" w:line="151" w:lineRule="exact"/>
              <w:rPr>
                <w:sz w:val="20"/>
                <w:szCs w:val="20"/>
                <w:color w:val="auto"/>
              </w:rPr>
            </w:pPr>
            <w:r>
              <w:rPr>
                <w:rFonts w:ascii="Arial" w:cs="Arial" w:eastAsia="Arial" w:hAnsi="Arial"/>
                <w:sz w:val="14"/>
                <w:szCs w:val="14"/>
                <w:b w:val="1"/>
                <w:bCs w:val="1"/>
                <w:color w:val="262626"/>
              </w:rPr>
              <w:t>Total</w:t>
            </w:r>
          </w:p>
        </w:tc>
        <w:tc>
          <w:tcPr>
            <w:tcW w:w="0" w:type="dxa"/>
            <w:vAlign w:val="bottom"/>
          </w:tcPr>
          <w:p>
            <w:pPr>
              <w:spacing w:after="0"/>
              <w:rPr>
                <w:sz w:val="1"/>
                <w:szCs w:val="1"/>
                <w:color w:val="auto"/>
              </w:rPr>
            </w:pPr>
          </w:p>
        </w:tc>
      </w:tr>
      <w:tr>
        <w:trPr>
          <w:trHeight w:val="209"/>
        </w:trPr>
        <w:tc>
          <w:tcPr>
            <w:tcW w:w="2340" w:type="dxa"/>
            <w:vAlign w:val="bottom"/>
          </w:tcPr>
          <w:p>
            <w:pPr>
              <w:spacing w:after="0"/>
              <w:rPr>
                <w:sz w:val="20"/>
                <w:szCs w:val="20"/>
                <w:color w:val="auto"/>
              </w:rPr>
            </w:pPr>
            <w:r>
              <w:rPr>
                <w:rFonts w:ascii="Arial" w:cs="Arial" w:eastAsia="Arial" w:hAnsi="Arial"/>
                <w:sz w:val="14"/>
                <w:szCs w:val="14"/>
                <w:b w:val="1"/>
                <w:bCs w:val="1"/>
                <w:color w:val="262626"/>
              </w:rPr>
              <w:t>Name and Principal Position</w:t>
            </w: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262626"/>
              </w:rPr>
              <w:t>Year</w:t>
            </w: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262626"/>
              </w:rPr>
              <w:t>($)</w:t>
            </w:r>
          </w:p>
        </w:tc>
        <w:tc>
          <w:tcPr>
            <w:tcW w:w="1140" w:type="dxa"/>
            <w:vAlign w:val="bottom"/>
          </w:tcPr>
          <w:p>
            <w:pPr>
              <w:jc w:val="center"/>
              <w:ind w:right="69"/>
              <w:spacing w:after="0"/>
              <w:rPr>
                <w:sz w:val="20"/>
                <w:szCs w:val="20"/>
                <w:color w:val="auto"/>
              </w:rPr>
            </w:pPr>
            <w:r>
              <w:rPr>
                <w:rFonts w:ascii="Arial" w:cs="Arial" w:eastAsia="Arial" w:hAnsi="Arial"/>
                <w:sz w:val="14"/>
                <w:szCs w:val="14"/>
                <w:b w:val="1"/>
                <w:bCs w:val="1"/>
                <w:color w:val="262626"/>
                <w:w w:val="93"/>
              </w:rPr>
              <w: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262626"/>
              </w:rPr>
              <w: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262626"/>
              </w:rPr>
              <w:t>($)</w:t>
            </w:r>
          </w:p>
        </w:tc>
        <w:tc>
          <w:tcPr>
            <w:tcW w:w="940" w:type="dxa"/>
            <w:vAlign w:val="bottom"/>
          </w:tcPr>
          <w:p>
            <w:pPr>
              <w:jc w:val="right"/>
              <w:ind w:right="308"/>
              <w:spacing w:after="0"/>
              <w:rPr>
                <w:sz w:val="20"/>
                <w:szCs w:val="20"/>
                <w:color w:val="auto"/>
              </w:rPr>
            </w:pPr>
            <w:r>
              <w:rPr>
                <w:rFonts w:ascii="Arial" w:cs="Arial" w:eastAsia="Arial" w:hAnsi="Arial"/>
                <w:sz w:val="14"/>
                <w:szCs w:val="14"/>
                <w:b w:val="1"/>
                <w:bCs w:val="1"/>
                <w:color w:val="262626"/>
              </w:rPr>
              <w:t>($)</w:t>
            </w:r>
          </w:p>
        </w:tc>
        <w:tc>
          <w:tcPr>
            <w:tcW w:w="0" w:type="dxa"/>
            <w:vAlign w:val="bottom"/>
          </w:tcPr>
          <w:p>
            <w:pPr>
              <w:spacing w:after="0"/>
              <w:rPr>
                <w:sz w:val="1"/>
                <w:szCs w:val="1"/>
                <w:color w:val="auto"/>
              </w:rPr>
            </w:pPr>
          </w:p>
        </w:tc>
      </w:tr>
      <w:tr>
        <w:trPr>
          <w:trHeight w:val="82"/>
        </w:trPr>
        <w:tc>
          <w:tcPr>
            <w:tcW w:w="2340" w:type="dxa"/>
            <w:vAlign w:val="bottom"/>
            <w:tcBorders>
              <w:bottom w:val="single" w:sz="8" w:color="CF0A2C"/>
            </w:tcBorders>
          </w:tcPr>
          <w:p>
            <w:pPr>
              <w:spacing w:after="0"/>
              <w:rPr>
                <w:sz w:val="7"/>
                <w:szCs w:val="7"/>
                <w:color w:val="auto"/>
              </w:rPr>
            </w:pPr>
          </w:p>
        </w:tc>
        <w:tc>
          <w:tcPr>
            <w:tcW w:w="960" w:type="dxa"/>
            <w:vAlign w:val="bottom"/>
            <w:tcBorders>
              <w:bottom w:val="single" w:sz="8" w:color="CF0A2C"/>
            </w:tcBorders>
          </w:tcPr>
          <w:p>
            <w:pPr>
              <w:spacing w:after="0"/>
              <w:rPr>
                <w:sz w:val="7"/>
                <w:szCs w:val="7"/>
                <w:color w:val="auto"/>
              </w:rPr>
            </w:pPr>
          </w:p>
        </w:tc>
        <w:tc>
          <w:tcPr>
            <w:tcW w:w="860" w:type="dxa"/>
            <w:vAlign w:val="bottom"/>
            <w:tcBorders>
              <w:bottom w:val="single" w:sz="8" w:color="CF0A2C"/>
            </w:tcBorders>
          </w:tcPr>
          <w:p>
            <w:pPr>
              <w:spacing w:after="0"/>
              <w:rPr>
                <w:sz w:val="7"/>
                <w:szCs w:val="7"/>
                <w:color w:val="auto"/>
              </w:rPr>
            </w:pPr>
          </w:p>
        </w:tc>
        <w:tc>
          <w:tcPr>
            <w:tcW w:w="1140" w:type="dxa"/>
            <w:vAlign w:val="bottom"/>
            <w:tcBorders>
              <w:bottom w:val="single" w:sz="8" w:color="CF0A2C"/>
            </w:tcBorders>
          </w:tcPr>
          <w:p>
            <w:pPr>
              <w:spacing w:after="0"/>
              <w:rPr>
                <w:sz w:val="7"/>
                <w:szCs w:val="7"/>
                <w:color w:val="auto"/>
              </w:rPr>
            </w:pPr>
          </w:p>
        </w:tc>
        <w:tc>
          <w:tcPr>
            <w:tcW w:w="1300" w:type="dxa"/>
            <w:vAlign w:val="bottom"/>
            <w:tcBorders>
              <w:bottom w:val="single" w:sz="8" w:color="CF0A2C"/>
            </w:tcBorders>
          </w:tcPr>
          <w:p>
            <w:pPr>
              <w:spacing w:after="0"/>
              <w:rPr>
                <w:sz w:val="7"/>
                <w:szCs w:val="7"/>
                <w:color w:val="auto"/>
              </w:rPr>
            </w:pPr>
          </w:p>
        </w:tc>
        <w:tc>
          <w:tcPr>
            <w:tcW w:w="1160" w:type="dxa"/>
            <w:vAlign w:val="bottom"/>
            <w:tcBorders>
              <w:bottom w:val="single" w:sz="8" w:color="CF0A2C"/>
            </w:tcBorders>
          </w:tcPr>
          <w:p>
            <w:pPr>
              <w:spacing w:after="0"/>
              <w:rPr>
                <w:sz w:val="7"/>
                <w:szCs w:val="7"/>
                <w:color w:val="auto"/>
              </w:rPr>
            </w:pPr>
          </w:p>
        </w:tc>
        <w:tc>
          <w:tcPr>
            <w:tcW w:w="940" w:type="dxa"/>
            <w:vAlign w:val="bottom"/>
            <w:tcBorders>
              <w:bottom w:val="single" w:sz="8" w:color="CF0A2C"/>
            </w:tcBorders>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340" w:type="dxa"/>
            <w:vAlign w:val="bottom"/>
          </w:tcPr>
          <w:p>
            <w:pPr>
              <w:spacing w:after="0"/>
              <w:rPr>
                <w:sz w:val="20"/>
                <w:szCs w:val="20"/>
                <w:color w:val="auto"/>
              </w:rPr>
            </w:pPr>
            <w:r>
              <w:rPr>
                <w:rFonts w:ascii="Arial" w:cs="Arial" w:eastAsia="Arial" w:hAnsi="Arial"/>
                <w:sz w:val="14"/>
                <w:szCs w:val="14"/>
                <w:color w:val="262626"/>
              </w:rPr>
              <w:t>Hock E. Tan</w:t>
            </w:r>
          </w:p>
        </w:tc>
        <w:tc>
          <w:tcPr>
            <w:tcW w:w="960" w:type="dxa"/>
            <w:vAlign w:val="bottom"/>
          </w:tcPr>
          <w:p>
            <w:pPr>
              <w:jc w:val="right"/>
              <w:ind w:right="48"/>
              <w:spacing w:after="0"/>
              <w:rPr>
                <w:sz w:val="20"/>
                <w:szCs w:val="20"/>
                <w:color w:val="auto"/>
              </w:rPr>
            </w:pPr>
            <w:r>
              <w:rPr>
                <w:rFonts w:ascii="Arial" w:cs="Arial" w:eastAsia="Arial" w:hAnsi="Arial"/>
                <w:sz w:val="14"/>
                <w:szCs w:val="14"/>
                <w:color w:val="262626"/>
              </w:rPr>
              <w:t>2025</w:t>
            </w:r>
          </w:p>
        </w:tc>
        <w:tc>
          <w:tcPr>
            <w:tcW w:w="860" w:type="dxa"/>
            <w:vAlign w:val="bottom"/>
          </w:tcPr>
          <w:p>
            <w:pPr>
              <w:jc w:val="right"/>
              <w:ind w:right="48"/>
              <w:spacing w:after="0"/>
              <w:rPr>
                <w:sz w:val="20"/>
                <w:szCs w:val="20"/>
                <w:color w:val="auto"/>
              </w:rPr>
            </w:pPr>
            <w:r>
              <w:rPr>
                <w:rFonts w:ascii="Arial" w:cs="Arial" w:eastAsia="Arial" w:hAnsi="Arial"/>
                <w:sz w:val="14"/>
                <w:szCs w:val="14"/>
                <w:color w:val="262626"/>
              </w:rPr>
              <w:t>1,200,000</w:t>
            </w:r>
          </w:p>
        </w:tc>
        <w:tc>
          <w:tcPr>
            <w:tcW w:w="1140" w:type="dxa"/>
            <w:vAlign w:val="bottom"/>
          </w:tcPr>
          <w:p>
            <w:pPr>
              <w:jc w:val="right"/>
              <w:ind w:right="9"/>
              <w:spacing w:after="0"/>
              <w:rPr>
                <w:sz w:val="20"/>
                <w:szCs w:val="20"/>
                <w:color w:val="auto"/>
              </w:rPr>
            </w:pPr>
            <w:r>
              <w:rPr>
                <w:rFonts w:ascii="Arial" w:cs="Arial" w:eastAsia="Arial" w:hAnsi="Arial"/>
                <w:sz w:val="14"/>
                <w:szCs w:val="14"/>
                <w:color w:val="262626"/>
              </w:rPr>
              <w:t>202,351,080</w:t>
            </w:r>
            <w:r>
              <w:rPr>
                <w:rFonts w:ascii="Arial" w:cs="Arial" w:eastAsia="Arial" w:hAnsi="Arial"/>
                <w:sz w:val="21"/>
                <w:szCs w:val="21"/>
                <w:color w:val="262626"/>
                <w:vertAlign w:val="superscript"/>
              </w:rPr>
              <w:t>(4)</w:t>
            </w:r>
          </w:p>
        </w:tc>
        <w:tc>
          <w:tcPr>
            <w:tcW w:w="1300" w:type="dxa"/>
            <w:vAlign w:val="bottom"/>
          </w:tcPr>
          <w:p>
            <w:pPr>
              <w:jc w:val="center"/>
              <w:spacing w:after="0"/>
              <w:rPr>
                <w:sz w:val="20"/>
                <w:szCs w:val="20"/>
                <w:color w:val="auto"/>
              </w:rPr>
            </w:pPr>
            <w:r>
              <w:rPr>
                <w:rFonts w:ascii="Arial" w:cs="Arial" w:eastAsia="Arial" w:hAnsi="Arial"/>
                <w:sz w:val="14"/>
                <w:szCs w:val="14"/>
                <w:color w:val="262626"/>
                <w:w w:val="95"/>
              </w:rPr>
              <w:t>            —</w:t>
            </w:r>
          </w:p>
        </w:tc>
        <w:tc>
          <w:tcPr>
            <w:tcW w:w="1160" w:type="dxa"/>
            <w:vAlign w:val="bottom"/>
          </w:tcPr>
          <w:p>
            <w:pPr>
              <w:jc w:val="right"/>
              <w:ind w:right="108"/>
              <w:spacing w:after="0"/>
              <w:rPr>
                <w:sz w:val="20"/>
                <w:szCs w:val="20"/>
                <w:color w:val="auto"/>
              </w:rPr>
            </w:pPr>
            <w:r>
              <w:rPr>
                <w:rFonts w:ascii="Arial" w:cs="Arial" w:eastAsia="Arial" w:hAnsi="Arial"/>
                <w:sz w:val="14"/>
                <w:szCs w:val="14"/>
                <w:color w:val="262626"/>
              </w:rPr>
              <w:t>1,726,926</w:t>
            </w:r>
            <w:r>
              <w:rPr>
                <w:rFonts w:ascii="Arial" w:cs="Arial" w:eastAsia="Arial" w:hAnsi="Arial"/>
                <w:sz w:val="21"/>
                <w:szCs w:val="21"/>
                <w:color w:val="262626"/>
                <w:vertAlign w:val="superscript"/>
              </w:rPr>
              <w:t>(5)</w:t>
            </w:r>
          </w:p>
        </w:tc>
        <w:tc>
          <w:tcPr>
            <w:tcW w:w="940" w:type="dxa"/>
            <w:vAlign w:val="bottom"/>
          </w:tcPr>
          <w:p>
            <w:pPr>
              <w:jc w:val="right"/>
              <w:spacing w:after="0"/>
              <w:rPr>
                <w:sz w:val="20"/>
                <w:szCs w:val="20"/>
                <w:color w:val="auto"/>
              </w:rPr>
            </w:pPr>
            <w:r>
              <w:rPr>
                <w:rFonts w:ascii="Arial" w:cs="Arial" w:eastAsia="Arial" w:hAnsi="Arial"/>
                <w:sz w:val="14"/>
                <w:szCs w:val="14"/>
                <w:color w:val="262626"/>
              </w:rPr>
              <w:t>205,278,006</w:t>
            </w:r>
          </w:p>
        </w:tc>
        <w:tc>
          <w:tcPr>
            <w:tcW w:w="0" w:type="dxa"/>
            <w:vAlign w:val="bottom"/>
          </w:tcPr>
          <w:p>
            <w:pPr>
              <w:spacing w:after="0"/>
              <w:rPr>
                <w:sz w:val="1"/>
                <w:szCs w:val="1"/>
                <w:color w:val="auto"/>
              </w:rPr>
            </w:pPr>
          </w:p>
        </w:tc>
      </w:tr>
      <w:tr>
        <w:trPr>
          <w:trHeight w:val="230"/>
        </w:trPr>
        <w:tc>
          <w:tcPr>
            <w:tcW w:w="2340" w:type="dxa"/>
            <w:vAlign w:val="bottom"/>
          </w:tcPr>
          <w:p>
            <w:pPr>
              <w:ind w:left="140"/>
              <w:spacing w:after="0"/>
              <w:rPr>
                <w:sz w:val="20"/>
                <w:szCs w:val="20"/>
                <w:color w:val="auto"/>
              </w:rPr>
            </w:pPr>
            <w:r>
              <w:rPr>
                <w:rFonts w:ascii="Arial" w:cs="Arial" w:eastAsia="Arial" w:hAnsi="Arial"/>
                <w:sz w:val="14"/>
                <w:szCs w:val="14"/>
                <w:color w:val="262626"/>
              </w:rPr>
              <w:t>President and</w:t>
            </w:r>
          </w:p>
        </w:tc>
        <w:tc>
          <w:tcPr>
            <w:tcW w:w="960" w:type="dxa"/>
            <w:vAlign w:val="bottom"/>
          </w:tcPr>
          <w:p>
            <w:pPr>
              <w:jc w:val="right"/>
              <w:ind w:right="48"/>
              <w:spacing w:after="0"/>
              <w:rPr>
                <w:sz w:val="20"/>
                <w:szCs w:val="20"/>
                <w:color w:val="auto"/>
              </w:rPr>
            </w:pPr>
            <w:r>
              <w:rPr>
                <w:rFonts w:ascii="Arial" w:cs="Arial" w:eastAsia="Arial" w:hAnsi="Arial"/>
                <w:sz w:val="14"/>
                <w:szCs w:val="14"/>
                <w:color w:val="262626"/>
              </w:rPr>
              <w:t>2024</w:t>
            </w:r>
          </w:p>
        </w:tc>
        <w:tc>
          <w:tcPr>
            <w:tcW w:w="860" w:type="dxa"/>
            <w:vAlign w:val="bottom"/>
          </w:tcPr>
          <w:p>
            <w:pPr>
              <w:jc w:val="right"/>
              <w:ind w:right="48"/>
              <w:spacing w:after="0"/>
              <w:rPr>
                <w:sz w:val="20"/>
                <w:szCs w:val="20"/>
                <w:color w:val="auto"/>
              </w:rPr>
            </w:pPr>
            <w:r>
              <w:rPr>
                <w:rFonts w:ascii="Arial" w:cs="Arial" w:eastAsia="Arial" w:hAnsi="Arial"/>
                <w:sz w:val="14"/>
                <w:szCs w:val="14"/>
                <w:color w:val="262626"/>
              </w:rPr>
              <w:t>1,226,374</w:t>
            </w:r>
          </w:p>
        </w:tc>
        <w:tc>
          <w:tcPr>
            <w:tcW w:w="1140" w:type="dxa"/>
            <w:vAlign w:val="bottom"/>
          </w:tcPr>
          <w:p>
            <w:pPr>
              <w:jc w:val="right"/>
              <w:ind w:right="149"/>
              <w:spacing w:after="0"/>
              <w:rPr>
                <w:sz w:val="20"/>
                <w:szCs w:val="20"/>
                <w:color w:val="auto"/>
              </w:rPr>
            </w:pPr>
            <w:r>
              <w:rPr>
                <w:rFonts w:ascii="Arial" w:cs="Arial" w:eastAsia="Arial" w:hAnsi="Arial"/>
                <w:sz w:val="14"/>
                <w:szCs w:val="14"/>
                <w:color w:val="262626"/>
              </w:rPr>
              <w:t>—</w:t>
            </w:r>
          </w:p>
        </w:tc>
        <w:tc>
          <w:tcPr>
            <w:tcW w:w="1300" w:type="dxa"/>
            <w:vAlign w:val="bottom"/>
          </w:tcPr>
          <w:p>
            <w:pPr>
              <w:jc w:val="center"/>
              <w:spacing w:after="0"/>
              <w:rPr>
                <w:sz w:val="20"/>
                <w:szCs w:val="20"/>
                <w:color w:val="auto"/>
              </w:rPr>
            </w:pPr>
            <w:r>
              <w:rPr>
                <w:rFonts w:ascii="Arial" w:cs="Arial" w:eastAsia="Arial" w:hAnsi="Arial"/>
                <w:sz w:val="14"/>
                <w:szCs w:val="14"/>
                <w:color w:val="262626"/>
                <w:w w:val="95"/>
              </w:rPr>
              <w:t>            —</w:t>
            </w:r>
          </w:p>
        </w:tc>
        <w:tc>
          <w:tcPr>
            <w:tcW w:w="1160" w:type="dxa"/>
            <w:vAlign w:val="bottom"/>
          </w:tcPr>
          <w:p>
            <w:pPr>
              <w:jc w:val="right"/>
              <w:ind w:right="228"/>
              <w:spacing w:after="0"/>
              <w:rPr>
                <w:sz w:val="20"/>
                <w:szCs w:val="20"/>
                <w:color w:val="auto"/>
              </w:rPr>
            </w:pPr>
            <w:r>
              <w:rPr>
                <w:rFonts w:ascii="Arial" w:cs="Arial" w:eastAsia="Arial" w:hAnsi="Arial"/>
                <w:sz w:val="14"/>
                <w:szCs w:val="14"/>
                <w:color w:val="262626"/>
              </w:rPr>
              <w:t>1,408,168</w:t>
            </w:r>
          </w:p>
        </w:tc>
        <w:tc>
          <w:tcPr>
            <w:tcW w:w="940" w:type="dxa"/>
            <w:vAlign w:val="bottom"/>
          </w:tcPr>
          <w:p>
            <w:pPr>
              <w:jc w:val="right"/>
              <w:spacing w:after="0"/>
              <w:rPr>
                <w:sz w:val="20"/>
                <w:szCs w:val="20"/>
                <w:color w:val="auto"/>
              </w:rPr>
            </w:pPr>
            <w:r>
              <w:rPr>
                <w:rFonts w:ascii="Arial" w:cs="Arial" w:eastAsia="Arial" w:hAnsi="Arial"/>
                <w:sz w:val="14"/>
                <w:szCs w:val="14"/>
                <w:color w:val="262626"/>
              </w:rPr>
              <w:t>2,634,542</w:t>
            </w:r>
          </w:p>
        </w:tc>
        <w:tc>
          <w:tcPr>
            <w:tcW w:w="0" w:type="dxa"/>
            <w:vAlign w:val="bottom"/>
          </w:tcPr>
          <w:p>
            <w:pPr>
              <w:spacing w:after="0"/>
              <w:rPr>
                <w:sz w:val="1"/>
                <w:szCs w:val="1"/>
                <w:color w:val="auto"/>
              </w:rPr>
            </w:pPr>
          </w:p>
        </w:tc>
      </w:tr>
      <w:tr>
        <w:trPr>
          <w:trHeight w:val="228"/>
        </w:trPr>
        <w:tc>
          <w:tcPr>
            <w:tcW w:w="2340" w:type="dxa"/>
            <w:vAlign w:val="bottom"/>
          </w:tcPr>
          <w:p>
            <w:pPr>
              <w:ind w:left="140"/>
              <w:spacing w:after="0"/>
              <w:rPr>
                <w:sz w:val="20"/>
                <w:szCs w:val="20"/>
                <w:color w:val="auto"/>
              </w:rPr>
            </w:pPr>
            <w:r>
              <w:rPr>
                <w:rFonts w:ascii="Arial" w:cs="Arial" w:eastAsia="Arial" w:hAnsi="Arial"/>
                <w:sz w:val="14"/>
                <w:szCs w:val="14"/>
                <w:color w:val="262626"/>
              </w:rPr>
              <w:t>Chief Executive Officer</w:t>
            </w:r>
          </w:p>
        </w:tc>
        <w:tc>
          <w:tcPr>
            <w:tcW w:w="960" w:type="dxa"/>
            <w:vAlign w:val="bottom"/>
          </w:tcPr>
          <w:p>
            <w:pPr>
              <w:jc w:val="right"/>
              <w:ind w:right="48"/>
              <w:spacing w:after="0"/>
              <w:rPr>
                <w:sz w:val="20"/>
                <w:szCs w:val="20"/>
                <w:color w:val="auto"/>
              </w:rPr>
            </w:pPr>
            <w:r>
              <w:rPr>
                <w:rFonts w:ascii="Arial" w:cs="Arial" w:eastAsia="Arial" w:hAnsi="Arial"/>
                <w:sz w:val="14"/>
                <w:szCs w:val="14"/>
                <w:color w:val="262626"/>
              </w:rPr>
              <w:t>2023</w:t>
            </w:r>
          </w:p>
        </w:tc>
        <w:tc>
          <w:tcPr>
            <w:tcW w:w="860" w:type="dxa"/>
            <w:vAlign w:val="bottom"/>
          </w:tcPr>
          <w:p>
            <w:pPr>
              <w:jc w:val="right"/>
              <w:ind w:right="48"/>
              <w:spacing w:after="0"/>
              <w:rPr>
                <w:sz w:val="20"/>
                <w:szCs w:val="20"/>
                <w:color w:val="auto"/>
              </w:rPr>
            </w:pPr>
            <w:r>
              <w:rPr>
                <w:rFonts w:ascii="Arial" w:cs="Arial" w:eastAsia="Arial" w:hAnsi="Arial"/>
                <w:sz w:val="14"/>
                <w:szCs w:val="14"/>
                <w:color w:val="262626"/>
              </w:rPr>
              <w:t>1,200,000</w:t>
            </w:r>
          </w:p>
        </w:tc>
        <w:tc>
          <w:tcPr>
            <w:tcW w:w="1140" w:type="dxa"/>
            <w:vAlign w:val="bottom"/>
          </w:tcPr>
          <w:p>
            <w:pPr>
              <w:jc w:val="right"/>
              <w:ind w:right="149"/>
              <w:spacing w:after="0"/>
              <w:rPr>
                <w:sz w:val="20"/>
                <w:szCs w:val="20"/>
                <w:color w:val="auto"/>
              </w:rPr>
            </w:pPr>
            <w:r>
              <w:rPr>
                <w:rFonts w:ascii="Arial" w:cs="Arial" w:eastAsia="Arial" w:hAnsi="Arial"/>
                <w:sz w:val="14"/>
                <w:szCs w:val="14"/>
                <w:color w:val="262626"/>
              </w:rPr>
              <w:t>160,540,000</w:t>
            </w:r>
          </w:p>
        </w:tc>
        <w:tc>
          <w:tcPr>
            <w:tcW w:w="1300" w:type="dxa"/>
            <w:vAlign w:val="bottom"/>
          </w:tcPr>
          <w:p>
            <w:pPr>
              <w:jc w:val="center"/>
              <w:spacing w:after="0"/>
              <w:rPr>
                <w:sz w:val="20"/>
                <w:szCs w:val="20"/>
                <w:color w:val="auto"/>
              </w:rPr>
            </w:pPr>
            <w:r>
              <w:rPr>
                <w:rFonts w:ascii="Arial" w:cs="Arial" w:eastAsia="Arial" w:hAnsi="Arial"/>
                <w:sz w:val="14"/>
                <w:szCs w:val="14"/>
                <w:color w:val="262626"/>
                <w:w w:val="95"/>
              </w:rPr>
              <w:t>            —</w:t>
            </w:r>
          </w:p>
        </w:tc>
        <w:tc>
          <w:tcPr>
            <w:tcW w:w="1160" w:type="dxa"/>
            <w:vAlign w:val="bottom"/>
          </w:tcPr>
          <w:p>
            <w:pPr>
              <w:jc w:val="right"/>
              <w:ind w:right="228"/>
              <w:spacing w:after="0"/>
              <w:rPr>
                <w:sz w:val="20"/>
                <w:szCs w:val="20"/>
                <w:color w:val="auto"/>
              </w:rPr>
            </w:pPr>
            <w:r>
              <w:rPr>
                <w:rFonts w:ascii="Arial" w:cs="Arial" w:eastAsia="Arial" w:hAnsi="Arial"/>
                <w:sz w:val="14"/>
                <w:szCs w:val="14"/>
                <w:color w:val="262626"/>
              </w:rPr>
              <w:t>86,161</w:t>
            </w:r>
          </w:p>
        </w:tc>
        <w:tc>
          <w:tcPr>
            <w:tcW w:w="940" w:type="dxa"/>
            <w:vAlign w:val="bottom"/>
          </w:tcPr>
          <w:p>
            <w:pPr>
              <w:jc w:val="right"/>
              <w:spacing w:after="0"/>
              <w:rPr>
                <w:sz w:val="20"/>
                <w:szCs w:val="20"/>
                <w:color w:val="auto"/>
              </w:rPr>
            </w:pPr>
            <w:r>
              <w:rPr>
                <w:rFonts w:ascii="Arial" w:cs="Arial" w:eastAsia="Arial" w:hAnsi="Arial"/>
                <w:sz w:val="14"/>
                <w:szCs w:val="14"/>
                <w:color w:val="262626"/>
              </w:rPr>
              <w:t>161,826,161</w:t>
            </w:r>
          </w:p>
        </w:tc>
        <w:tc>
          <w:tcPr>
            <w:tcW w:w="0" w:type="dxa"/>
            <w:vAlign w:val="bottom"/>
          </w:tcPr>
          <w:p>
            <w:pPr>
              <w:spacing w:after="0"/>
              <w:rPr>
                <w:sz w:val="1"/>
                <w:szCs w:val="1"/>
                <w:color w:val="auto"/>
              </w:rPr>
            </w:pPr>
          </w:p>
        </w:tc>
      </w:tr>
      <w:tr>
        <w:trPr>
          <w:trHeight w:val="61"/>
        </w:trPr>
        <w:tc>
          <w:tcPr>
            <w:tcW w:w="2340" w:type="dxa"/>
            <w:vAlign w:val="bottom"/>
            <w:tcBorders>
              <w:bottom w:val="single" w:sz="8" w:color="CF0A2C"/>
            </w:tcBorders>
          </w:tcPr>
          <w:p>
            <w:pPr>
              <w:spacing w:after="0"/>
              <w:rPr>
                <w:sz w:val="5"/>
                <w:szCs w:val="5"/>
                <w:color w:val="auto"/>
              </w:rPr>
            </w:pPr>
          </w:p>
        </w:tc>
        <w:tc>
          <w:tcPr>
            <w:tcW w:w="960" w:type="dxa"/>
            <w:vAlign w:val="bottom"/>
            <w:tcBorders>
              <w:bottom w:val="single" w:sz="8" w:color="CF0A2C"/>
            </w:tcBorders>
          </w:tcPr>
          <w:p>
            <w:pPr>
              <w:spacing w:after="0"/>
              <w:rPr>
                <w:sz w:val="5"/>
                <w:szCs w:val="5"/>
                <w:color w:val="auto"/>
              </w:rPr>
            </w:pPr>
          </w:p>
        </w:tc>
        <w:tc>
          <w:tcPr>
            <w:tcW w:w="860" w:type="dxa"/>
            <w:vAlign w:val="bottom"/>
            <w:tcBorders>
              <w:bottom w:val="single" w:sz="8" w:color="CF0A2C"/>
            </w:tcBorders>
          </w:tcPr>
          <w:p>
            <w:pPr>
              <w:spacing w:after="0"/>
              <w:rPr>
                <w:sz w:val="5"/>
                <w:szCs w:val="5"/>
                <w:color w:val="auto"/>
              </w:rPr>
            </w:pPr>
          </w:p>
        </w:tc>
        <w:tc>
          <w:tcPr>
            <w:tcW w:w="1140" w:type="dxa"/>
            <w:vAlign w:val="bottom"/>
            <w:tcBorders>
              <w:bottom w:val="single" w:sz="8" w:color="CF0A2C"/>
            </w:tcBorders>
          </w:tcPr>
          <w:p>
            <w:pPr>
              <w:spacing w:after="0"/>
              <w:rPr>
                <w:sz w:val="5"/>
                <w:szCs w:val="5"/>
                <w:color w:val="auto"/>
              </w:rPr>
            </w:pPr>
          </w:p>
        </w:tc>
        <w:tc>
          <w:tcPr>
            <w:tcW w:w="1300" w:type="dxa"/>
            <w:vAlign w:val="bottom"/>
            <w:tcBorders>
              <w:bottom w:val="single" w:sz="8" w:color="CF0A2C"/>
            </w:tcBorders>
          </w:tcPr>
          <w:p>
            <w:pPr>
              <w:spacing w:after="0"/>
              <w:rPr>
                <w:sz w:val="5"/>
                <w:szCs w:val="5"/>
                <w:color w:val="auto"/>
              </w:rPr>
            </w:pPr>
          </w:p>
        </w:tc>
        <w:tc>
          <w:tcPr>
            <w:tcW w:w="1160" w:type="dxa"/>
            <w:vAlign w:val="bottom"/>
            <w:tcBorders>
              <w:bottom w:val="single" w:sz="8" w:color="CF0A2C"/>
            </w:tcBorders>
          </w:tcPr>
          <w:p>
            <w:pPr>
              <w:spacing w:after="0"/>
              <w:rPr>
                <w:sz w:val="5"/>
                <w:szCs w:val="5"/>
                <w:color w:val="auto"/>
              </w:rPr>
            </w:pPr>
          </w:p>
        </w:tc>
        <w:tc>
          <w:tcPr>
            <w:tcW w:w="940" w:type="dxa"/>
            <w:vAlign w:val="bottom"/>
            <w:tcBorders>
              <w:bottom w:val="single" w:sz="8" w:color="CF0A2C"/>
            </w:tcBorders>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0"/>
                <w:szCs w:val="20"/>
                <w:color w:val="auto"/>
              </w:rPr>
            </w:pPr>
            <w:r>
              <w:rPr>
                <w:rFonts w:ascii="Arial" w:cs="Arial" w:eastAsia="Arial" w:hAnsi="Arial"/>
                <w:sz w:val="14"/>
                <w:szCs w:val="14"/>
                <w:color w:val="262626"/>
              </w:rPr>
              <w:t>Kirsten M. Spears</w:t>
            </w:r>
          </w:p>
        </w:tc>
        <w:tc>
          <w:tcPr>
            <w:tcW w:w="960" w:type="dxa"/>
            <w:vAlign w:val="bottom"/>
          </w:tcPr>
          <w:p>
            <w:pPr>
              <w:jc w:val="right"/>
              <w:ind w:right="48"/>
              <w:spacing w:after="0"/>
              <w:rPr>
                <w:sz w:val="20"/>
                <w:szCs w:val="20"/>
                <w:color w:val="auto"/>
              </w:rPr>
            </w:pPr>
            <w:r>
              <w:rPr>
                <w:rFonts w:ascii="Arial" w:cs="Arial" w:eastAsia="Arial" w:hAnsi="Arial"/>
                <w:sz w:val="14"/>
                <w:szCs w:val="14"/>
                <w:color w:val="262626"/>
              </w:rPr>
              <w:t>2025</w:t>
            </w:r>
          </w:p>
        </w:tc>
        <w:tc>
          <w:tcPr>
            <w:tcW w:w="860" w:type="dxa"/>
            <w:vAlign w:val="bottom"/>
          </w:tcPr>
          <w:p>
            <w:pPr>
              <w:jc w:val="right"/>
              <w:ind w:right="48"/>
              <w:spacing w:after="0"/>
              <w:rPr>
                <w:sz w:val="20"/>
                <w:szCs w:val="20"/>
                <w:color w:val="auto"/>
              </w:rPr>
            </w:pPr>
            <w:r>
              <w:rPr>
                <w:rFonts w:ascii="Arial" w:cs="Arial" w:eastAsia="Arial" w:hAnsi="Arial"/>
                <w:sz w:val="14"/>
                <w:szCs w:val="14"/>
                <w:color w:val="262626"/>
              </w:rPr>
              <w:t>412,000</w:t>
            </w:r>
          </w:p>
        </w:tc>
        <w:tc>
          <w:tcPr>
            <w:tcW w:w="1140" w:type="dxa"/>
            <w:vAlign w:val="bottom"/>
          </w:tcPr>
          <w:p>
            <w:pPr>
              <w:jc w:val="right"/>
              <w:ind w:right="9"/>
              <w:spacing w:after="0"/>
              <w:rPr>
                <w:sz w:val="20"/>
                <w:szCs w:val="20"/>
                <w:color w:val="auto"/>
              </w:rPr>
            </w:pPr>
            <w:r>
              <w:rPr>
                <w:rFonts w:ascii="Arial" w:cs="Arial" w:eastAsia="Arial" w:hAnsi="Arial"/>
                <w:sz w:val="14"/>
                <w:szCs w:val="14"/>
                <w:color w:val="262626"/>
              </w:rPr>
              <w:t>27,136,414</w:t>
            </w:r>
            <w:r>
              <w:rPr>
                <w:rFonts w:ascii="Arial" w:cs="Arial" w:eastAsia="Arial" w:hAnsi="Arial"/>
                <w:sz w:val="21"/>
                <w:szCs w:val="21"/>
                <w:color w:val="262626"/>
                <w:vertAlign w:val="superscript"/>
              </w:rPr>
              <w:t>(6)</w:t>
            </w:r>
          </w:p>
        </w:tc>
        <w:tc>
          <w:tcPr>
            <w:tcW w:w="1300" w:type="dxa"/>
            <w:vAlign w:val="bottom"/>
          </w:tcPr>
          <w:p>
            <w:pPr>
              <w:jc w:val="center"/>
              <w:spacing w:after="0"/>
              <w:rPr>
                <w:sz w:val="20"/>
                <w:szCs w:val="20"/>
                <w:color w:val="auto"/>
              </w:rPr>
            </w:pPr>
            <w:r>
              <w:rPr>
                <w:rFonts w:ascii="Arial" w:cs="Arial" w:eastAsia="Arial" w:hAnsi="Arial"/>
                <w:sz w:val="14"/>
                <w:szCs w:val="14"/>
                <w:color w:val="262626"/>
                <w:w w:val="96"/>
              </w:rPr>
              <w:t>   597,567</w:t>
            </w:r>
          </w:p>
        </w:tc>
        <w:tc>
          <w:tcPr>
            <w:tcW w:w="1160" w:type="dxa"/>
            <w:vAlign w:val="bottom"/>
          </w:tcPr>
          <w:p>
            <w:pPr>
              <w:jc w:val="right"/>
              <w:ind w:right="108"/>
              <w:spacing w:after="0"/>
              <w:rPr>
                <w:sz w:val="20"/>
                <w:szCs w:val="20"/>
                <w:color w:val="auto"/>
              </w:rPr>
            </w:pPr>
            <w:r>
              <w:rPr>
                <w:rFonts w:ascii="Arial" w:cs="Arial" w:eastAsia="Arial" w:hAnsi="Arial"/>
                <w:sz w:val="14"/>
                <w:szCs w:val="14"/>
                <w:color w:val="262626"/>
              </w:rPr>
              <w:t>18,065</w:t>
            </w:r>
            <w:r>
              <w:rPr>
                <w:rFonts w:ascii="Arial" w:cs="Arial" w:eastAsia="Arial" w:hAnsi="Arial"/>
                <w:sz w:val="21"/>
                <w:szCs w:val="21"/>
                <w:color w:val="262626"/>
                <w:vertAlign w:val="superscript"/>
              </w:rPr>
              <w:t>(7)</w:t>
            </w:r>
          </w:p>
        </w:tc>
        <w:tc>
          <w:tcPr>
            <w:tcW w:w="940" w:type="dxa"/>
            <w:vAlign w:val="bottom"/>
          </w:tcPr>
          <w:p>
            <w:pPr>
              <w:jc w:val="right"/>
              <w:spacing w:after="0"/>
              <w:rPr>
                <w:sz w:val="20"/>
                <w:szCs w:val="20"/>
                <w:color w:val="auto"/>
              </w:rPr>
            </w:pPr>
            <w:r>
              <w:rPr>
                <w:rFonts w:ascii="Arial" w:cs="Arial" w:eastAsia="Arial" w:hAnsi="Arial"/>
                <w:sz w:val="14"/>
                <w:szCs w:val="14"/>
                <w:color w:val="262626"/>
              </w:rPr>
              <w:t>28,164,046</w:t>
            </w:r>
          </w:p>
        </w:tc>
        <w:tc>
          <w:tcPr>
            <w:tcW w:w="0" w:type="dxa"/>
            <w:vAlign w:val="bottom"/>
          </w:tcPr>
          <w:p>
            <w:pPr>
              <w:spacing w:after="0"/>
              <w:rPr>
                <w:sz w:val="1"/>
                <w:szCs w:val="1"/>
                <w:color w:val="auto"/>
              </w:rPr>
            </w:pPr>
          </w:p>
        </w:tc>
      </w:tr>
      <w:tr>
        <w:trPr>
          <w:trHeight w:val="216"/>
        </w:trPr>
        <w:tc>
          <w:tcPr>
            <w:tcW w:w="2340" w:type="dxa"/>
            <w:vAlign w:val="bottom"/>
          </w:tcPr>
          <w:p>
            <w:pPr>
              <w:ind w:left="140"/>
              <w:spacing w:after="0"/>
              <w:rPr>
                <w:sz w:val="20"/>
                <w:szCs w:val="20"/>
                <w:color w:val="auto"/>
              </w:rPr>
            </w:pPr>
            <w:r>
              <w:rPr>
                <w:rFonts w:ascii="Arial" w:cs="Arial" w:eastAsia="Arial" w:hAnsi="Arial"/>
                <w:sz w:val="14"/>
                <w:szCs w:val="14"/>
                <w:color w:val="262626"/>
              </w:rPr>
              <w:t>Chief Financial Officer and</w:t>
            </w:r>
          </w:p>
        </w:tc>
        <w:tc>
          <w:tcPr>
            <w:tcW w:w="960" w:type="dxa"/>
            <w:vAlign w:val="bottom"/>
          </w:tcPr>
          <w:p>
            <w:pPr>
              <w:jc w:val="right"/>
              <w:ind w:right="48"/>
              <w:spacing w:after="0"/>
              <w:rPr>
                <w:sz w:val="20"/>
                <w:szCs w:val="20"/>
                <w:color w:val="auto"/>
              </w:rPr>
            </w:pPr>
            <w:r>
              <w:rPr>
                <w:rFonts w:ascii="Arial" w:cs="Arial" w:eastAsia="Arial" w:hAnsi="Arial"/>
                <w:sz w:val="14"/>
                <w:szCs w:val="14"/>
                <w:color w:val="262626"/>
              </w:rPr>
              <w:t>2024</w:t>
            </w:r>
          </w:p>
        </w:tc>
        <w:tc>
          <w:tcPr>
            <w:tcW w:w="860" w:type="dxa"/>
            <w:vAlign w:val="bottom"/>
          </w:tcPr>
          <w:p>
            <w:pPr>
              <w:jc w:val="right"/>
              <w:ind w:right="48"/>
              <w:spacing w:after="0"/>
              <w:rPr>
                <w:sz w:val="20"/>
                <w:szCs w:val="20"/>
                <w:color w:val="auto"/>
              </w:rPr>
            </w:pPr>
            <w:r>
              <w:rPr>
                <w:rFonts w:ascii="Arial" w:cs="Arial" w:eastAsia="Arial" w:hAnsi="Arial"/>
                <w:sz w:val="14"/>
                <w:szCs w:val="14"/>
                <w:color w:val="262626"/>
              </w:rPr>
              <w:t>421,055</w:t>
            </w:r>
          </w:p>
        </w:tc>
        <w:tc>
          <w:tcPr>
            <w:tcW w:w="1140" w:type="dxa"/>
            <w:vAlign w:val="bottom"/>
          </w:tcPr>
          <w:p>
            <w:pPr>
              <w:jc w:val="right"/>
              <w:ind w:right="149"/>
              <w:spacing w:after="0"/>
              <w:rPr>
                <w:sz w:val="20"/>
                <w:szCs w:val="20"/>
                <w:color w:val="auto"/>
              </w:rPr>
            </w:pPr>
            <w:r>
              <w:rPr>
                <w:rFonts w:ascii="Arial" w:cs="Arial" w:eastAsia="Arial" w:hAnsi="Arial"/>
                <w:sz w:val="14"/>
                <w:szCs w:val="14"/>
                <w:color w:val="262626"/>
              </w:rPr>
              <w:t>—</w:t>
            </w:r>
          </w:p>
        </w:tc>
        <w:tc>
          <w:tcPr>
            <w:tcW w:w="1300" w:type="dxa"/>
            <w:vAlign w:val="bottom"/>
          </w:tcPr>
          <w:p>
            <w:pPr>
              <w:jc w:val="center"/>
              <w:spacing w:after="0"/>
              <w:rPr>
                <w:sz w:val="20"/>
                <w:szCs w:val="20"/>
                <w:color w:val="auto"/>
              </w:rPr>
            </w:pPr>
            <w:r>
              <w:rPr>
                <w:rFonts w:ascii="Arial" w:cs="Arial" w:eastAsia="Arial" w:hAnsi="Arial"/>
                <w:sz w:val="14"/>
                <w:szCs w:val="14"/>
                <w:color w:val="262626"/>
                <w:w w:val="96"/>
              </w:rPr>
              <w:t>   612,499</w:t>
            </w:r>
          </w:p>
        </w:tc>
        <w:tc>
          <w:tcPr>
            <w:tcW w:w="1160" w:type="dxa"/>
            <w:vAlign w:val="bottom"/>
          </w:tcPr>
          <w:p>
            <w:pPr>
              <w:jc w:val="right"/>
              <w:ind w:right="228"/>
              <w:spacing w:after="0"/>
              <w:rPr>
                <w:sz w:val="20"/>
                <w:szCs w:val="20"/>
                <w:color w:val="auto"/>
              </w:rPr>
            </w:pPr>
            <w:r>
              <w:rPr>
                <w:rFonts w:ascii="Arial" w:cs="Arial" w:eastAsia="Arial" w:hAnsi="Arial"/>
                <w:sz w:val="14"/>
                <w:szCs w:val="14"/>
                <w:color w:val="262626"/>
              </w:rPr>
              <w:t>20,700</w:t>
            </w:r>
          </w:p>
        </w:tc>
        <w:tc>
          <w:tcPr>
            <w:tcW w:w="940" w:type="dxa"/>
            <w:vAlign w:val="bottom"/>
          </w:tcPr>
          <w:p>
            <w:pPr>
              <w:jc w:val="right"/>
              <w:spacing w:after="0"/>
              <w:rPr>
                <w:sz w:val="20"/>
                <w:szCs w:val="20"/>
                <w:color w:val="auto"/>
              </w:rPr>
            </w:pPr>
            <w:r>
              <w:rPr>
                <w:rFonts w:ascii="Arial" w:cs="Arial" w:eastAsia="Arial" w:hAnsi="Arial"/>
                <w:sz w:val="14"/>
                <w:szCs w:val="14"/>
                <w:color w:val="262626"/>
              </w:rPr>
              <w:t>1,054,254</w:t>
            </w:r>
          </w:p>
        </w:tc>
        <w:tc>
          <w:tcPr>
            <w:tcW w:w="0" w:type="dxa"/>
            <w:vAlign w:val="bottom"/>
          </w:tcPr>
          <w:p>
            <w:pPr>
              <w:spacing w:after="0"/>
              <w:rPr>
                <w:sz w:val="1"/>
                <w:szCs w:val="1"/>
                <w:color w:val="auto"/>
              </w:rPr>
            </w:pPr>
          </w:p>
        </w:tc>
      </w:tr>
      <w:tr>
        <w:trPr>
          <w:trHeight w:val="228"/>
        </w:trPr>
        <w:tc>
          <w:tcPr>
            <w:tcW w:w="2340" w:type="dxa"/>
            <w:vAlign w:val="bottom"/>
          </w:tcPr>
          <w:p>
            <w:pPr>
              <w:ind w:left="140"/>
              <w:spacing w:after="0"/>
              <w:rPr>
                <w:sz w:val="20"/>
                <w:szCs w:val="20"/>
                <w:color w:val="auto"/>
              </w:rPr>
            </w:pPr>
            <w:r>
              <w:rPr>
                <w:rFonts w:ascii="Arial" w:cs="Arial" w:eastAsia="Arial" w:hAnsi="Arial"/>
                <w:sz w:val="14"/>
                <w:szCs w:val="14"/>
                <w:color w:val="262626"/>
              </w:rPr>
              <w:t>Chief Accounting Officer</w:t>
            </w:r>
          </w:p>
        </w:tc>
        <w:tc>
          <w:tcPr>
            <w:tcW w:w="960" w:type="dxa"/>
            <w:vAlign w:val="bottom"/>
          </w:tcPr>
          <w:p>
            <w:pPr>
              <w:jc w:val="right"/>
              <w:ind w:right="48"/>
              <w:spacing w:after="0"/>
              <w:rPr>
                <w:sz w:val="20"/>
                <w:szCs w:val="20"/>
                <w:color w:val="auto"/>
              </w:rPr>
            </w:pPr>
            <w:r>
              <w:rPr>
                <w:rFonts w:ascii="Arial" w:cs="Arial" w:eastAsia="Arial" w:hAnsi="Arial"/>
                <w:sz w:val="14"/>
                <w:szCs w:val="14"/>
                <w:color w:val="262626"/>
              </w:rPr>
              <w:t>2023</w:t>
            </w:r>
          </w:p>
        </w:tc>
        <w:tc>
          <w:tcPr>
            <w:tcW w:w="860" w:type="dxa"/>
            <w:vAlign w:val="bottom"/>
          </w:tcPr>
          <w:p>
            <w:pPr>
              <w:jc w:val="right"/>
              <w:ind w:right="48"/>
              <w:spacing w:after="0"/>
              <w:rPr>
                <w:sz w:val="20"/>
                <w:szCs w:val="20"/>
                <w:color w:val="auto"/>
              </w:rPr>
            </w:pPr>
            <w:r>
              <w:rPr>
                <w:rFonts w:ascii="Arial" w:cs="Arial" w:eastAsia="Arial" w:hAnsi="Arial"/>
                <w:sz w:val="14"/>
                <w:szCs w:val="14"/>
                <w:color w:val="262626"/>
              </w:rPr>
              <w:t>412,000</w:t>
            </w:r>
          </w:p>
        </w:tc>
        <w:tc>
          <w:tcPr>
            <w:tcW w:w="1140" w:type="dxa"/>
            <w:vAlign w:val="bottom"/>
          </w:tcPr>
          <w:p>
            <w:pPr>
              <w:jc w:val="right"/>
              <w:ind w:right="149"/>
              <w:spacing w:after="0"/>
              <w:rPr>
                <w:sz w:val="20"/>
                <w:szCs w:val="20"/>
                <w:color w:val="auto"/>
              </w:rPr>
            </w:pPr>
            <w:r>
              <w:rPr>
                <w:rFonts w:ascii="Arial" w:cs="Arial" w:eastAsia="Arial" w:hAnsi="Arial"/>
                <w:sz w:val="14"/>
                <w:szCs w:val="14"/>
                <w:color w:val="262626"/>
              </w:rPr>
              <w:t>14,310,050</w:t>
            </w:r>
          </w:p>
        </w:tc>
        <w:tc>
          <w:tcPr>
            <w:tcW w:w="1300" w:type="dxa"/>
            <w:vAlign w:val="bottom"/>
          </w:tcPr>
          <w:p>
            <w:pPr>
              <w:jc w:val="center"/>
              <w:spacing w:after="0"/>
              <w:rPr>
                <w:sz w:val="20"/>
                <w:szCs w:val="20"/>
                <w:color w:val="auto"/>
              </w:rPr>
            </w:pPr>
            <w:r>
              <w:rPr>
                <w:rFonts w:ascii="Arial" w:cs="Arial" w:eastAsia="Arial" w:hAnsi="Arial"/>
                <w:sz w:val="14"/>
                <w:szCs w:val="14"/>
                <w:color w:val="262626"/>
                <w:w w:val="96"/>
              </w:rPr>
              <w:t>   500,275</w:t>
            </w:r>
          </w:p>
        </w:tc>
        <w:tc>
          <w:tcPr>
            <w:tcW w:w="1160" w:type="dxa"/>
            <w:vAlign w:val="bottom"/>
          </w:tcPr>
          <w:p>
            <w:pPr>
              <w:jc w:val="right"/>
              <w:ind w:right="228"/>
              <w:spacing w:after="0"/>
              <w:rPr>
                <w:sz w:val="20"/>
                <w:szCs w:val="20"/>
                <w:color w:val="auto"/>
              </w:rPr>
            </w:pPr>
            <w:r>
              <w:rPr>
                <w:rFonts w:ascii="Arial" w:cs="Arial" w:eastAsia="Arial" w:hAnsi="Arial"/>
                <w:sz w:val="14"/>
                <w:szCs w:val="14"/>
                <w:color w:val="262626"/>
              </w:rPr>
              <w:t>19,800</w:t>
            </w:r>
          </w:p>
        </w:tc>
        <w:tc>
          <w:tcPr>
            <w:tcW w:w="940" w:type="dxa"/>
            <w:vAlign w:val="bottom"/>
          </w:tcPr>
          <w:p>
            <w:pPr>
              <w:jc w:val="right"/>
              <w:spacing w:after="0"/>
              <w:rPr>
                <w:sz w:val="20"/>
                <w:szCs w:val="20"/>
                <w:color w:val="auto"/>
              </w:rPr>
            </w:pPr>
            <w:r>
              <w:rPr>
                <w:rFonts w:ascii="Arial" w:cs="Arial" w:eastAsia="Arial" w:hAnsi="Arial"/>
                <w:sz w:val="14"/>
                <w:szCs w:val="14"/>
                <w:color w:val="262626"/>
              </w:rPr>
              <w:t>15,242,125</w:t>
            </w:r>
          </w:p>
        </w:tc>
        <w:tc>
          <w:tcPr>
            <w:tcW w:w="0" w:type="dxa"/>
            <w:vAlign w:val="bottom"/>
          </w:tcPr>
          <w:p>
            <w:pPr>
              <w:spacing w:after="0"/>
              <w:rPr>
                <w:sz w:val="1"/>
                <w:szCs w:val="1"/>
                <w:color w:val="auto"/>
              </w:rPr>
            </w:pPr>
          </w:p>
        </w:tc>
      </w:tr>
      <w:tr>
        <w:trPr>
          <w:trHeight w:val="61"/>
        </w:trPr>
        <w:tc>
          <w:tcPr>
            <w:tcW w:w="2340" w:type="dxa"/>
            <w:vAlign w:val="bottom"/>
            <w:tcBorders>
              <w:bottom w:val="single" w:sz="8" w:color="CF0A2C"/>
            </w:tcBorders>
          </w:tcPr>
          <w:p>
            <w:pPr>
              <w:spacing w:after="0"/>
              <w:rPr>
                <w:sz w:val="5"/>
                <w:szCs w:val="5"/>
                <w:color w:val="auto"/>
              </w:rPr>
            </w:pPr>
          </w:p>
        </w:tc>
        <w:tc>
          <w:tcPr>
            <w:tcW w:w="960" w:type="dxa"/>
            <w:vAlign w:val="bottom"/>
            <w:tcBorders>
              <w:bottom w:val="single" w:sz="8" w:color="CF0A2C"/>
            </w:tcBorders>
          </w:tcPr>
          <w:p>
            <w:pPr>
              <w:spacing w:after="0"/>
              <w:rPr>
                <w:sz w:val="5"/>
                <w:szCs w:val="5"/>
                <w:color w:val="auto"/>
              </w:rPr>
            </w:pPr>
          </w:p>
        </w:tc>
        <w:tc>
          <w:tcPr>
            <w:tcW w:w="860" w:type="dxa"/>
            <w:vAlign w:val="bottom"/>
            <w:tcBorders>
              <w:bottom w:val="single" w:sz="8" w:color="CF0A2C"/>
            </w:tcBorders>
          </w:tcPr>
          <w:p>
            <w:pPr>
              <w:spacing w:after="0"/>
              <w:rPr>
                <w:sz w:val="5"/>
                <w:szCs w:val="5"/>
                <w:color w:val="auto"/>
              </w:rPr>
            </w:pPr>
          </w:p>
        </w:tc>
        <w:tc>
          <w:tcPr>
            <w:tcW w:w="1140" w:type="dxa"/>
            <w:vAlign w:val="bottom"/>
            <w:tcBorders>
              <w:bottom w:val="single" w:sz="8" w:color="CF0A2C"/>
            </w:tcBorders>
          </w:tcPr>
          <w:p>
            <w:pPr>
              <w:spacing w:after="0"/>
              <w:rPr>
                <w:sz w:val="5"/>
                <w:szCs w:val="5"/>
                <w:color w:val="auto"/>
              </w:rPr>
            </w:pPr>
          </w:p>
        </w:tc>
        <w:tc>
          <w:tcPr>
            <w:tcW w:w="1300" w:type="dxa"/>
            <w:vAlign w:val="bottom"/>
            <w:tcBorders>
              <w:bottom w:val="single" w:sz="8" w:color="CF0A2C"/>
            </w:tcBorders>
          </w:tcPr>
          <w:p>
            <w:pPr>
              <w:spacing w:after="0"/>
              <w:rPr>
                <w:sz w:val="5"/>
                <w:szCs w:val="5"/>
                <w:color w:val="auto"/>
              </w:rPr>
            </w:pPr>
          </w:p>
        </w:tc>
        <w:tc>
          <w:tcPr>
            <w:tcW w:w="1160" w:type="dxa"/>
            <w:vAlign w:val="bottom"/>
            <w:tcBorders>
              <w:bottom w:val="single" w:sz="8" w:color="CF0A2C"/>
            </w:tcBorders>
          </w:tcPr>
          <w:p>
            <w:pPr>
              <w:spacing w:after="0"/>
              <w:rPr>
                <w:sz w:val="5"/>
                <w:szCs w:val="5"/>
                <w:color w:val="auto"/>
              </w:rPr>
            </w:pPr>
          </w:p>
        </w:tc>
        <w:tc>
          <w:tcPr>
            <w:tcW w:w="940" w:type="dxa"/>
            <w:vAlign w:val="bottom"/>
            <w:tcBorders>
              <w:bottom w:val="single" w:sz="8" w:color="CF0A2C"/>
            </w:tcBorders>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0"/>
                <w:szCs w:val="20"/>
                <w:color w:val="auto"/>
              </w:rPr>
            </w:pPr>
            <w:r>
              <w:rPr>
                <w:rFonts w:ascii="Arial" w:cs="Arial" w:eastAsia="Arial" w:hAnsi="Arial"/>
                <w:sz w:val="14"/>
                <w:szCs w:val="14"/>
                <w:color w:val="262626"/>
              </w:rPr>
              <w:t>Mark D. Brazeal</w:t>
            </w:r>
          </w:p>
        </w:tc>
        <w:tc>
          <w:tcPr>
            <w:tcW w:w="960" w:type="dxa"/>
            <w:vAlign w:val="bottom"/>
          </w:tcPr>
          <w:p>
            <w:pPr>
              <w:jc w:val="right"/>
              <w:ind w:right="48"/>
              <w:spacing w:after="0"/>
              <w:rPr>
                <w:sz w:val="20"/>
                <w:szCs w:val="20"/>
                <w:color w:val="auto"/>
              </w:rPr>
            </w:pPr>
            <w:r>
              <w:rPr>
                <w:rFonts w:ascii="Arial" w:cs="Arial" w:eastAsia="Arial" w:hAnsi="Arial"/>
                <w:sz w:val="14"/>
                <w:szCs w:val="14"/>
                <w:color w:val="262626"/>
              </w:rPr>
              <w:t>2025</w:t>
            </w:r>
          </w:p>
        </w:tc>
        <w:tc>
          <w:tcPr>
            <w:tcW w:w="860" w:type="dxa"/>
            <w:vAlign w:val="bottom"/>
          </w:tcPr>
          <w:p>
            <w:pPr>
              <w:jc w:val="right"/>
              <w:ind w:right="48"/>
              <w:spacing w:after="0"/>
              <w:rPr>
                <w:sz w:val="20"/>
                <w:szCs w:val="20"/>
                <w:color w:val="auto"/>
              </w:rPr>
            </w:pPr>
            <w:r>
              <w:rPr>
                <w:rFonts w:ascii="Arial" w:cs="Arial" w:eastAsia="Arial" w:hAnsi="Arial"/>
                <w:sz w:val="14"/>
                <w:szCs w:val="14"/>
                <w:color w:val="262626"/>
              </w:rPr>
              <w:t>515,000</w:t>
            </w:r>
          </w:p>
        </w:tc>
        <w:tc>
          <w:tcPr>
            <w:tcW w:w="1140" w:type="dxa"/>
            <w:vAlign w:val="bottom"/>
          </w:tcPr>
          <w:p>
            <w:pPr>
              <w:jc w:val="right"/>
              <w:ind w:right="9"/>
              <w:spacing w:after="0"/>
              <w:rPr>
                <w:sz w:val="20"/>
                <w:szCs w:val="20"/>
                <w:color w:val="auto"/>
              </w:rPr>
            </w:pPr>
            <w:r>
              <w:rPr>
                <w:rFonts w:ascii="Arial" w:cs="Arial" w:eastAsia="Arial" w:hAnsi="Arial"/>
                <w:sz w:val="14"/>
                <w:szCs w:val="14"/>
                <w:color w:val="262626"/>
              </w:rPr>
              <w:t>27,213,948</w:t>
            </w:r>
            <w:r>
              <w:rPr>
                <w:rFonts w:ascii="Arial" w:cs="Arial" w:eastAsia="Arial" w:hAnsi="Arial"/>
                <w:sz w:val="21"/>
                <w:szCs w:val="21"/>
                <w:color w:val="262626"/>
                <w:vertAlign w:val="superscript"/>
              </w:rPr>
              <w:t>(8)</w:t>
            </w:r>
          </w:p>
        </w:tc>
        <w:tc>
          <w:tcPr>
            <w:tcW w:w="1300" w:type="dxa"/>
            <w:vAlign w:val="bottom"/>
          </w:tcPr>
          <w:p>
            <w:pPr>
              <w:jc w:val="center"/>
              <w:spacing w:after="0"/>
              <w:rPr>
                <w:sz w:val="20"/>
                <w:szCs w:val="20"/>
                <w:color w:val="auto"/>
              </w:rPr>
            </w:pPr>
            <w:r>
              <w:rPr>
                <w:rFonts w:ascii="Arial" w:cs="Arial" w:eastAsia="Arial" w:hAnsi="Arial"/>
                <w:sz w:val="14"/>
                <w:szCs w:val="14"/>
                <w:color w:val="262626"/>
                <w:w w:val="96"/>
              </w:rPr>
              <w:t>   869,063</w:t>
            </w:r>
          </w:p>
        </w:tc>
        <w:tc>
          <w:tcPr>
            <w:tcW w:w="1160" w:type="dxa"/>
            <w:vAlign w:val="bottom"/>
          </w:tcPr>
          <w:p>
            <w:pPr>
              <w:jc w:val="right"/>
              <w:ind w:right="108"/>
              <w:spacing w:after="0"/>
              <w:rPr>
                <w:sz w:val="20"/>
                <w:szCs w:val="20"/>
                <w:color w:val="auto"/>
              </w:rPr>
            </w:pPr>
            <w:r>
              <w:rPr>
                <w:rFonts w:ascii="Arial" w:cs="Arial" w:eastAsia="Arial" w:hAnsi="Arial"/>
                <w:sz w:val="14"/>
                <w:szCs w:val="14"/>
                <w:color w:val="262626"/>
              </w:rPr>
              <w:t>21,000</w:t>
            </w:r>
            <w:r>
              <w:rPr>
                <w:rFonts w:ascii="Arial" w:cs="Arial" w:eastAsia="Arial" w:hAnsi="Arial"/>
                <w:sz w:val="21"/>
                <w:szCs w:val="21"/>
                <w:color w:val="262626"/>
                <w:vertAlign w:val="superscript"/>
              </w:rPr>
              <w:t>(7)</w:t>
            </w:r>
          </w:p>
        </w:tc>
        <w:tc>
          <w:tcPr>
            <w:tcW w:w="940" w:type="dxa"/>
            <w:vAlign w:val="bottom"/>
          </w:tcPr>
          <w:p>
            <w:pPr>
              <w:jc w:val="right"/>
              <w:spacing w:after="0"/>
              <w:rPr>
                <w:sz w:val="20"/>
                <w:szCs w:val="20"/>
                <w:color w:val="auto"/>
              </w:rPr>
            </w:pPr>
            <w:r>
              <w:rPr>
                <w:rFonts w:ascii="Arial" w:cs="Arial" w:eastAsia="Arial" w:hAnsi="Arial"/>
                <w:sz w:val="14"/>
                <w:szCs w:val="14"/>
                <w:color w:val="262626"/>
              </w:rPr>
              <w:t>28,619,011</w:t>
            </w:r>
          </w:p>
        </w:tc>
        <w:tc>
          <w:tcPr>
            <w:tcW w:w="0" w:type="dxa"/>
            <w:vAlign w:val="bottom"/>
          </w:tcPr>
          <w:p>
            <w:pPr>
              <w:spacing w:after="0"/>
              <w:rPr>
                <w:sz w:val="1"/>
                <w:szCs w:val="1"/>
                <w:color w:val="auto"/>
              </w:rPr>
            </w:pPr>
          </w:p>
        </w:tc>
      </w:tr>
      <w:tr>
        <w:trPr>
          <w:trHeight w:val="216"/>
        </w:trPr>
        <w:tc>
          <w:tcPr>
            <w:tcW w:w="2340" w:type="dxa"/>
            <w:vAlign w:val="bottom"/>
          </w:tcPr>
          <w:p>
            <w:pPr>
              <w:ind w:left="140"/>
              <w:spacing w:after="0"/>
              <w:rPr>
                <w:sz w:val="20"/>
                <w:szCs w:val="20"/>
                <w:color w:val="auto"/>
              </w:rPr>
            </w:pPr>
            <w:r>
              <w:rPr>
                <w:rFonts w:ascii="Arial" w:cs="Arial" w:eastAsia="Arial" w:hAnsi="Arial"/>
                <w:sz w:val="14"/>
                <w:szCs w:val="14"/>
                <w:color w:val="262626"/>
              </w:rPr>
              <w:t>Chief Legal and</w:t>
            </w:r>
          </w:p>
        </w:tc>
        <w:tc>
          <w:tcPr>
            <w:tcW w:w="960" w:type="dxa"/>
            <w:vAlign w:val="bottom"/>
          </w:tcPr>
          <w:p>
            <w:pPr>
              <w:jc w:val="right"/>
              <w:ind w:right="48"/>
              <w:spacing w:after="0"/>
              <w:rPr>
                <w:sz w:val="20"/>
                <w:szCs w:val="20"/>
                <w:color w:val="auto"/>
              </w:rPr>
            </w:pPr>
            <w:r>
              <w:rPr>
                <w:rFonts w:ascii="Arial" w:cs="Arial" w:eastAsia="Arial" w:hAnsi="Arial"/>
                <w:sz w:val="14"/>
                <w:szCs w:val="14"/>
                <w:color w:val="262626"/>
              </w:rPr>
              <w:t>2024</w:t>
            </w:r>
          </w:p>
        </w:tc>
        <w:tc>
          <w:tcPr>
            <w:tcW w:w="860" w:type="dxa"/>
            <w:vAlign w:val="bottom"/>
          </w:tcPr>
          <w:p>
            <w:pPr>
              <w:jc w:val="right"/>
              <w:ind w:right="48"/>
              <w:spacing w:after="0"/>
              <w:rPr>
                <w:sz w:val="20"/>
                <w:szCs w:val="20"/>
                <w:color w:val="auto"/>
              </w:rPr>
            </w:pPr>
            <w:r>
              <w:rPr>
                <w:rFonts w:ascii="Arial" w:cs="Arial" w:eastAsia="Arial" w:hAnsi="Arial"/>
                <w:sz w:val="14"/>
                <w:szCs w:val="14"/>
                <w:color w:val="262626"/>
              </w:rPr>
              <w:t>526,319</w:t>
            </w:r>
          </w:p>
        </w:tc>
        <w:tc>
          <w:tcPr>
            <w:tcW w:w="1140" w:type="dxa"/>
            <w:vAlign w:val="bottom"/>
          </w:tcPr>
          <w:p>
            <w:pPr>
              <w:jc w:val="right"/>
              <w:ind w:right="149"/>
              <w:spacing w:after="0"/>
              <w:rPr>
                <w:sz w:val="20"/>
                <w:szCs w:val="20"/>
                <w:color w:val="auto"/>
              </w:rPr>
            </w:pPr>
            <w:r>
              <w:rPr>
                <w:rFonts w:ascii="Arial" w:cs="Arial" w:eastAsia="Arial" w:hAnsi="Arial"/>
                <w:sz w:val="14"/>
                <w:szCs w:val="14"/>
                <w:color w:val="262626"/>
              </w:rPr>
              <w:t>27,731,100</w:t>
            </w:r>
          </w:p>
        </w:tc>
        <w:tc>
          <w:tcPr>
            <w:tcW w:w="1300" w:type="dxa"/>
            <w:vAlign w:val="bottom"/>
          </w:tcPr>
          <w:p>
            <w:pPr>
              <w:jc w:val="center"/>
              <w:spacing w:after="0"/>
              <w:rPr>
                <w:sz w:val="20"/>
                <w:szCs w:val="20"/>
                <w:color w:val="auto"/>
              </w:rPr>
            </w:pPr>
            <w:r>
              <w:rPr>
                <w:rFonts w:ascii="Arial" w:cs="Arial" w:eastAsia="Arial" w:hAnsi="Arial"/>
                <w:sz w:val="14"/>
                <w:szCs w:val="14"/>
                <w:color w:val="262626"/>
                <w:w w:val="96"/>
              </w:rPr>
              <w:t>   703,824</w:t>
            </w:r>
          </w:p>
        </w:tc>
        <w:tc>
          <w:tcPr>
            <w:tcW w:w="1160" w:type="dxa"/>
            <w:vAlign w:val="bottom"/>
          </w:tcPr>
          <w:p>
            <w:pPr>
              <w:jc w:val="right"/>
              <w:ind w:right="228"/>
              <w:spacing w:after="0"/>
              <w:rPr>
                <w:sz w:val="20"/>
                <w:szCs w:val="20"/>
                <w:color w:val="auto"/>
              </w:rPr>
            </w:pPr>
            <w:r>
              <w:rPr>
                <w:rFonts w:ascii="Arial" w:cs="Arial" w:eastAsia="Arial" w:hAnsi="Arial"/>
                <w:sz w:val="14"/>
                <w:szCs w:val="14"/>
                <w:color w:val="262626"/>
              </w:rPr>
              <w:t>20,700</w:t>
            </w:r>
          </w:p>
        </w:tc>
        <w:tc>
          <w:tcPr>
            <w:tcW w:w="940" w:type="dxa"/>
            <w:vAlign w:val="bottom"/>
          </w:tcPr>
          <w:p>
            <w:pPr>
              <w:jc w:val="right"/>
              <w:spacing w:after="0"/>
              <w:rPr>
                <w:sz w:val="20"/>
                <w:szCs w:val="20"/>
                <w:color w:val="auto"/>
              </w:rPr>
            </w:pPr>
            <w:r>
              <w:rPr>
                <w:rFonts w:ascii="Arial" w:cs="Arial" w:eastAsia="Arial" w:hAnsi="Arial"/>
                <w:sz w:val="14"/>
                <w:szCs w:val="14"/>
                <w:color w:val="262626"/>
              </w:rPr>
              <w:t>28,981,943</w:t>
            </w:r>
          </w:p>
        </w:tc>
        <w:tc>
          <w:tcPr>
            <w:tcW w:w="0" w:type="dxa"/>
            <w:vAlign w:val="bottom"/>
          </w:tcPr>
          <w:p>
            <w:pPr>
              <w:spacing w:after="0"/>
              <w:rPr>
                <w:sz w:val="1"/>
                <w:szCs w:val="1"/>
                <w:color w:val="auto"/>
              </w:rPr>
            </w:pPr>
          </w:p>
        </w:tc>
      </w:tr>
      <w:tr>
        <w:trPr>
          <w:trHeight w:val="228"/>
        </w:trPr>
        <w:tc>
          <w:tcPr>
            <w:tcW w:w="2340" w:type="dxa"/>
            <w:vAlign w:val="bottom"/>
          </w:tcPr>
          <w:p>
            <w:pPr>
              <w:ind w:left="140"/>
              <w:spacing w:after="0"/>
              <w:rPr>
                <w:sz w:val="20"/>
                <w:szCs w:val="20"/>
                <w:color w:val="auto"/>
              </w:rPr>
            </w:pPr>
            <w:r>
              <w:rPr>
                <w:rFonts w:ascii="Arial" w:cs="Arial" w:eastAsia="Arial" w:hAnsi="Arial"/>
                <w:sz w:val="14"/>
                <w:szCs w:val="14"/>
                <w:color w:val="262626"/>
              </w:rPr>
              <w:t>Corporate Affairs Officer</w:t>
            </w:r>
          </w:p>
        </w:tc>
        <w:tc>
          <w:tcPr>
            <w:tcW w:w="960" w:type="dxa"/>
            <w:vAlign w:val="bottom"/>
          </w:tcPr>
          <w:p>
            <w:pPr>
              <w:jc w:val="right"/>
              <w:ind w:right="48"/>
              <w:spacing w:after="0"/>
              <w:rPr>
                <w:sz w:val="20"/>
                <w:szCs w:val="20"/>
                <w:color w:val="auto"/>
              </w:rPr>
            </w:pPr>
            <w:r>
              <w:rPr>
                <w:rFonts w:ascii="Arial" w:cs="Arial" w:eastAsia="Arial" w:hAnsi="Arial"/>
                <w:sz w:val="14"/>
                <w:szCs w:val="14"/>
                <w:color w:val="262626"/>
              </w:rPr>
              <w:t>2023</w:t>
            </w:r>
          </w:p>
        </w:tc>
        <w:tc>
          <w:tcPr>
            <w:tcW w:w="860" w:type="dxa"/>
            <w:vAlign w:val="bottom"/>
          </w:tcPr>
          <w:p>
            <w:pPr>
              <w:jc w:val="right"/>
              <w:ind w:right="48"/>
              <w:spacing w:after="0"/>
              <w:rPr>
                <w:sz w:val="20"/>
                <w:szCs w:val="20"/>
                <w:color w:val="auto"/>
              </w:rPr>
            </w:pPr>
            <w:r>
              <w:rPr>
                <w:rFonts w:ascii="Arial" w:cs="Arial" w:eastAsia="Arial" w:hAnsi="Arial"/>
                <w:sz w:val="14"/>
                <w:szCs w:val="14"/>
                <w:color w:val="262626"/>
              </w:rPr>
              <w:t>515,000</w:t>
            </w:r>
          </w:p>
        </w:tc>
        <w:tc>
          <w:tcPr>
            <w:tcW w:w="1140" w:type="dxa"/>
            <w:vAlign w:val="bottom"/>
          </w:tcPr>
          <w:p>
            <w:pPr>
              <w:jc w:val="right"/>
              <w:ind w:right="149"/>
              <w:spacing w:after="0"/>
              <w:rPr>
                <w:sz w:val="20"/>
                <w:szCs w:val="20"/>
                <w:color w:val="auto"/>
              </w:rPr>
            </w:pPr>
            <w:r>
              <w:rPr>
                <w:rFonts w:ascii="Arial" w:cs="Arial" w:eastAsia="Arial" w:hAnsi="Arial"/>
                <w:sz w:val="14"/>
                <w:szCs w:val="14"/>
                <w:color w:val="262626"/>
              </w:rPr>
              <w:t>14,310,050</w:t>
            </w:r>
          </w:p>
        </w:tc>
        <w:tc>
          <w:tcPr>
            <w:tcW w:w="1300" w:type="dxa"/>
            <w:vAlign w:val="bottom"/>
          </w:tcPr>
          <w:p>
            <w:pPr>
              <w:jc w:val="center"/>
              <w:spacing w:after="0"/>
              <w:rPr>
                <w:sz w:val="20"/>
                <w:szCs w:val="20"/>
                <w:color w:val="auto"/>
              </w:rPr>
            </w:pPr>
            <w:r>
              <w:rPr>
                <w:rFonts w:ascii="Arial" w:cs="Arial" w:eastAsia="Arial" w:hAnsi="Arial"/>
                <w:sz w:val="14"/>
                <w:szCs w:val="14"/>
                <w:color w:val="262626"/>
                <w:w w:val="96"/>
              </w:rPr>
              <w:t>   649,984</w:t>
            </w:r>
          </w:p>
        </w:tc>
        <w:tc>
          <w:tcPr>
            <w:tcW w:w="1160" w:type="dxa"/>
            <w:vAlign w:val="bottom"/>
          </w:tcPr>
          <w:p>
            <w:pPr>
              <w:jc w:val="right"/>
              <w:ind w:right="228"/>
              <w:spacing w:after="0"/>
              <w:rPr>
                <w:sz w:val="20"/>
                <w:szCs w:val="20"/>
                <w:color w:val="auto"/>
              </w:rPr>
            </w:pPr>
            <w:r>
              <w:rPr>
                <w:rFonts w:ascii="Arial" w:cs="Arial" w:eastAsia="Arial" w:hAnsi="Arial"/>
                <w:sz w:val="14"/>
                <w:szCs w:val="14"/>
                <w:color w:val="262626"/>
              </w:rPr>
              <w:t>19,800</w:t>
            </w:r>
          </w:p>
        </w:tc>
        <w:tc>
          <w:tcPr>
            <w:tcW w:w="940" w:type="dxa"/>
            <w:vAlign w:val="bottom"/>
          </w:tcPr>
          <w:p>
            <w:pPr>
              <w:jc w:val="right"/>
              <w:spacing w:after="0"/>
              <w:rPr>
                <w:sz w:val="20"/>
                <w:szCs w:val="20"/>
                <w:color w:val="auto"/>
              </w:rPr>
            </w:pPr>
            <w:r>
              <w:rPr>
                <w:rFonts w:ascii="Arial" w:cs="Arial" w:eastAsia="Arial" w:hAnsi="Arial"/>
                <w:sz w:val="14"/>
                <w:szCs w:val="14"/>
                <w:color w:val="262626"/>
              </w:rPr>
              <w:t>15,494,834</w:t>
            </w:r>
          </w:p>
        </w:tc>
        <w:tc>
          <w:tcPr>
            <w:tcW w:w="0" w:type="dxa"/>
            <w:vAlign w:val="bottom"/>
          </w:tcPr>
          <w:p>
            <w:pPr>
              <w:spacing w:after="0"/>
              <w:rPr>
                <w:sz w:val="1"/>
                <w:szCs w:val="1"/>
                <w:color w:val="auto"/>
              </w:rPr>
            </w:pPr>
          </w:p>
        </w:tc>
      </w:tr>
      <w:tr>
        <w:trPr>
          <w:trHeight w:val="61"/>
        </w:trPr>
        <w:tc>
          <w:tcPr>
            <w:tcW w:w="2340" w:type="dxa"/>
            <w:vAlign w:val="bottom"/>
            <w:tcBorders>
              <w:bottom w:val="single" w:sz="8" w:color="CF0A2C"/>
            </w:tcBorders>
          </w:tcPr>
          <w:p>
            <w:pPr>
              <w:spacing w:after="0"/>
              <w:rPr>
                <w:sz w:val="5"/>
                <w:szCs w:val="5"/>
                <w:color w:val="auto"/>
              </w:rPr>
            </w:pPr>
          </w:p>
        </w:tc>
        <w:tc>
          <w:tcPr>
            <w:tcW w:w="960" w:type="dxa"/>
            <w:vAlign w:val="bottom"/>
            <w:tcBorders>
              <w:bottom w:val="single" w:sz="8" w:color="CF0A2C"/>
            </w:tcBorders>
          </w:tcPr>
          <w:p>
            <w:pPr>
              <w:spacing w:after="0"/>
              <w:rPr>
                <w:sz w:val="5"/>
                <w:szCs w:val="5"/>
                <w:color w:val="auto"/>
              </w:rPr>
            </w:pPr>
          </w:p>
        </w:tc>
        <w:tc>
          <w:tcPr>
            <w:tcW w:w="860" w:type="dxa"/>
            <w:vAlign w:val="bottom"/>
            <w:tcBorders>
              <w:bottom w:val="single" w:sz="8" w:color="CF0A2C"/>
            </w:tcBorders>
          </w:tcPr>
          <w:p>
            <w:pPr>
              <w:spacing w:after="0"/>
              <w:rPr>
                <w:sz w:val="5"/>
                <w:szCs w:val="5"/>
                <w:color w:val="auto"/>
              </w:rPr>
            </w:pPr>
          </w:p>
        </w:tc>
        <w:tc>
          <w:tcPr>
            <w:tcW w:w="1140" w:type="dxa"/>
            <w:vAlign w:val="bottom"/>
            <w:tcBorders>
              <w:bottom w:val="single" w:sz="8" w:color="CF0A2C"/>
            </w:tcBorders>
          </w:tcPr>
          <w:p>
            <w:pPr>
              <w:spacing w:after="0"/>
              <w:rPr>
                <w:sz w:val="5"/>
                <w:szCs w:val="5"/>
                <w:color w:val="auto"/>
              </w:rPr>
            </w:pPr>
          </w:p>
        </w:tc>
        <w:tc>
          <w:tcPr>
            <w:tcW w:w="1300" w:type="dxa"/>
            <w:vAlign w:val="bottom"/>
            <w:tcBorders>
              <w:bottom w:val="single" w:sz="8" w:color="CF0A2C"/>
            </w:tcBorders>
          </w:tcPr>
          <w:p>
            <w:pPr>
              <w:spacing w:after="0"/>
              <w:rPr>
                <w:sz w:val="5"/>
                <w:szCs w:val="5"/>
                <w:color w:val="auto"/>
              </w:rPr>
            </w:pPr>
          </w:p>
        </w:tc>
        <w:tc>
          <w:tcPr>
            <w:tcW w:w="1160" w:type="dxa"/>
            <w:vAlign w:val="bottom"/>
            <w:tcBorders>
              <w:bottom w:val="single" w:sz="8" w:color="CF0A2C"/>
            </w:tcBorders>
          </w:tcPr>
          <w:p>
            <w:pPr>
              <w:spacing w:after="0"/>
              <w:rPr>
                <w:sz w:val="5"/>
                <w:szCs w:val="5"/>
                <w:color w:val="auto"/>
              </w:rPr>
            </w:pPr>
          </w:p>
        </w:tc>
        <w:tc>
          <w:tcPr>
            <w:tcW w:w="940" w:type="dxa"/>
            <w:vAlign w:val="bottom"/>
            <w:tcBorders>
              <w:bottom w:val="single" w:sz="8" w:color="CF0A2C"/>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2340" w:type="dxa"/>
            <w:vAlign w:val="bottom"/>
          </w:tcPr>
          <w:p>
            <w:pPr>
              <w:spacing w:after="0"/>
              <w:rPr>
                <w:sz w:val="20"/>
                <w:szCs w:val="20"/>
                <w:color w:val="auto"/>
              </w:rPr>
            </w:pPr>
            <w:r>
              <w:rPr>
                <w:rFonts w:ascii="Arial" w:cs="Arial" w:eastAsia="Arial" w:hAnsi="Arial"/>
                <w:sz w:val="14"/>
                <w:szCs w:val="14"/>
                <w:color w:val="262626"/>
              </w:rPr>
              <w:t>Charlie B. Kawwas, Ph.D.</w:t>
            </w:r>
          </w:p>
        </w:tc>
        <w:tc>
          <w:tcPr>
            <w:tcW w:w="960" w:type="dxa"/>
            <w:vAlign w:val="bottom"/>
          </w:tcPr>
          <w:p>
            <w:pPr>
              <w:jc w:val="right"/>
              <w:ind w:right="48"/>
              <w:spacing w:after="0"/>
              <w:rPr>
                <w:sz w:val="20"/>
                <w:szCs w:val="20"/>
                <w:color w:val="auto"/>
              </w:rPr>
            </w:pPr>
            <w:r>
              <w:rPr>
                <w:rFonts w:ascii="Arial" w:cs="Arial" w:eastAsia="Arial" w:hAnsi="Arial"/>
                <w:sz w:val="14"/>
                <w:szCs w:val="14"/>
                <w:color w:val="262626"/>
              </w:rPr>
              <w:t>2025</w:t>
            </w:r>
          </w:p>
        </w:tc>
        <w:tc>
          <w:tcPr>
            <w:tcW w:w="860" w:type="dxa"/>
            <w:vAlign w:val="bottom"/>
          </w:tcPr>
          <w:p>
            <w:pPr>
              <w:jc w:val="right"/>
              <w:ind w:right="48"/>
              <w:spacing w:after="0"/>
              <w:rPr>
                <w:sz w:val="20"/>
                <w:szCs w:val="20"/>
                <w:color w:val="auto"/>
              </w:rPr>
            </w:pPr>
            <w:r>
              <w:rPr>
                <w:rFonts w:ascii="Arial" w:cs="Arial" w:eastAsia="Arial" w:hAnsi="Arial"/>
                <w:sz w:val="14"/>
                <w:szCs w:val="14"/>
                <w:color w:val="262626"/>
              </w:rPr>
              <w:t>721,000</w:t>
            </w:r>
          </w:p>
        </w:tc>
        <w:tc>
          <w:tcPr>
            <w:tcW w:w="1140" w:type="dxa"/>
            <w:vAlign w:val="bottom"/>
          </w:tcPr>
          <w:p>
            <w:pPr>
              <w:jc w:val="right"/>
              <w:ind w:right="9"/>
              <w:spacing w:after="0"/>
              <w:rPr>
                <w:sz w:val="20"/>
                <w:szCs w:val="20"/>
                <w:color w:val="auto"/>
              </w:rPr>
            </w:pPr>
            <w:r>
              <w:rPr>
                <w:rFonts w:ascii="Arial" w:cs="Arial" w:eastAsia="Arial" w:hAnsi="Arial"/>
                <w:sz w:val="14"/>
                <w:szCs w:val="14"/>
                <w:color w:val="262626"/>
              </w:rPr>
              <w:t>21,750</w:t>
            </w:r>
            <w:r>
              <w:rPr>
                <w:rFonts w:ascii="Arial" w:cs="Arial" w:eastAsia="Arial" w:hAnsi="Arial"/>
                <w:sz w:val="21"/>
                <w:szCs w:val="21"/>
                <w:color w:val="262626"/>
                <w:vertAlign w:val="superscript"/>
              </w:rPr>
              <w:t>(9)</w:t>
            </w:r>
          </w:p>
        </w:tc>
        <w:tc>
          <w:tcPr>
            <w:tcW w:w="1300" w:type="dxa"/>
            <w:vAlign w:val="bottom"/>
          </w:tcPr>
          <w:p>
            <w:pPr>
              <w:jc w:val="center"/>
              <w:spacing w:after="0"/>
              <w:rPr>
                <w:sz w:val="20"/>
                <w:szCs w:val="20"/>
                <w:color w:val="auto"/>
              </w:rPr>
            </w:pPr>
            <w:r>
              <w:rPr>
                <w:rFonts w:ascii="Arial" w:cs="Arial" w:eastAsia="Arial" w:hAnsi="Arial"/>
                <w:sz w:val="14"/>
                <w:szCs w:val="14"/>
                <w:color w:val="262626"/>
              </w:rPr>
              <w:t>1,351,876</w:t>
            </w:r>
          </w:p>
        </w:tc>
        <w:tc>
          <w:tcPr>
            <w:tcW w:w="1160" w:type="dxa"/>
            <w:vAlign w:val="bottom"/>
          </w:tcPr>
          <w:p>
            <w:pPr>
              <w:jc w:val="right"/>
              <w:ind w:right="108"/>
              <w:spacing w:after="0"/>
              <w:rPr>
                <w:sz w:val="20"/>
                <w:szCs w:val="20"/>
                <w:color w:val="auto"/>
              </w:rPr>
            </w:pPr>
            <w:r>
              <w:rPr>
                <w:rFonts w:ascii="Arial" w:cs="Arial" w:eastAsia="Arial" w:hAnsi="Arial"/>
                <w:sz w:val="14"/>
                <w:szCs w:val="14"/>
                <w:color w:val="262626"/>
              </w:rPr>
              <w:t>21,000</w:t>
            </w:r>
            <w:r>
              <w:rPr>
                <w:rFonts w:ascii="Arial" w:cs="Arial" w:eastAsia="Arial" w:hAnsi="Arial"/>
                <w:sz w:val="21"/>
                <w:szCs w:val="21"/>
                <w:color w:val="262626"/>
                <w:vertAlign w:val="superscript"/>
              </w:rPr>
              <w:t>(7)</w:t>
            </w:r>
          </w:p>
        </w:tc>
        <w:tc>
          <w:tcPr>
            <w:tcW w:w="940" w:type="dxa"/>
            <w:vAlign w:val="bottom"/>
          </w:tcPr>
          <w:p>
            <w:pPr>
              <w:jc w:val="right"/>
              <w:spacing w:after="0"/>
              <w:rPr>
                <w:sz w:val="20"/>
                <w:szCs w:val="20"/>
                <w:color w:val="auto"/>
              </w:rPr>
            </w:pPr>
            <w:r>
              <w:rPr>
                <w:rFonts w:ascii="Arial" w:cs="Arial" w:eastAsia="Arial" w:hAnsi="Arial"/>
                <w:sz w:val="14"/>
                <w:szCs w:val="14"/>
                <w:color w:val="262626"/>
              </w:rPr>
              <w:t>2,115,626</w:t>
            </w:r>
          </w:p>
        </w:tc>
        <w:tc>
          <w:tcPr>
            <w:tcW w:w="0" w:type="dxa"/>
            <w:vAlign w:val="bottom"/>
          </w:tcPr>
          <w:p>
            <w:pPr>
              <w:spacing w:after="0"/>
              <w:rPr>
                <w:sz w:val="1"/>
                <w:szCs w:val="1"/>
                <w:color w:val="auto"/>
              </w:rPr>
            </w:pPr>
          </w:p>
        </w:tc>
      </w:tr>
      <w:tr>
        <w:trPr>
          <w:trHeight w:val="203"/>
        </w:trPr>
        <w:tc>
          <w:tcPr>
            <w:tcW w:w="2340" w:type="dxa"/>
            <w:vAlign w:val="bottom"/>
          </w:tcPr>
          <w:p>
            <w:pPr>
              <w:ind w:left="140"/>
              <w:spacing w:after="0"/>
              <w:rPr>
                <w:sz w:val="20"/>
                <w:szCs w:val="20"/>
                <w:color w:val="auto"/>
              </w:rPr>
            </w:pPr>
            <w:r>
              <w:rPr>
                <w:rFonts w:ascii="Arial" w:cs="Arial" w:eastAsia="Arial" w:hAnsi="Arial"/>
                <w:sz w:val="14"/>
                <w:szCs w:val="14"/>
                <w:color w:val="262626"/>
              </w:rPr>
              <w:t>President, Semiconductor</w:t>
            </w:r>
          </w:p>
        </w:tc>
        <w:tc>
          <w:tcPr>
            <w:tcW w:w="960" w:type="dxa"/>
            <w:vAlign w:val="bottom"/>
          </w:tcPr>
          <w:p>
            <w:pPr>
              <w:jc w:val="right"/>
              <w:ind w:right="48"/>
              <w:spacing w:after="0"/>
              <w:rPr>
                <w:sz w:val="20"/>
                <w:szCs w:val="20"/>
                <w:color w:val="auto"/>
              </w:rPr>
            </w:pPr>
            <w:r>
              <w:rPr>
                <w:rFonts w:ascii="Arial" w:cs="Arial" w:eastAsia="Arial" w:hAnsi="Arial"/>
                <w:sz w:val="14"/>
                <w:szCs w:val="14"/>
                <w:color w:val="262626"/>
              </w:rPr>
              <w:t>2024</w:t>
            </w:r>
          </w:p>
        </w:tc>
        <w:tc>
          <w:tcPr>
            <w:tcW w:w="860" w:type="dxa"/>
            <w:vAlign w:val="bottom"/>
          </w:tcPr>
          <w:p>
            <w:pPr>
              <w:jc w:val="right"/>
              <w:ind w:right="48"/>
              <w:spacing w:after="0"/>
              <w:rPr>
                <w:sz w:val="20"/>
                <w:szCs w:val="20"/>
                <w:color w:val="auto"/>
              </w:rPr>
            </w:pPr>
            <w:r>
              <w:rPr>
                <w:rFonts w:ascii="Arial" w:cs="Arial" w:eastAsia="Arial" w:hAnsi="Arial"/>
                <w:sz w:val="14"/>
                <w:szCs w:val="14"/>
                <w:color w:val="262626"/>
              </w:rPr>
              <w:t>736,847</w:t>
            </w:r>
          </w:p>
        </w:tc>
        <w:tc>
          <w:tcPr>
            <w:tcW w:w="1140" w:type="dxa"/>
            <w:vAlign w:val="bottom"/>
          </w:tcPr>
          <w:p>
            <w:pPr>
              <w:jc w:val="right"/>
              <w:ind w:right="149"/>
              <w:spacing w:after="0"/>
              <w:rPr>
                <w:sz w:val="20"/>
                <w:szCs w:val="20"/>
                <w:color w:val="auto"/>
              </w:rPr>
            </w:pPr>
            <w:r>
              <w:rPr>
                <w:rFonts w:ascii="Arial" w:cs="Arial" w:eastAsia="Arial" w:hAnsi="Arial"/>
                <w:sz w:val="14"/>
                <w:szCs w:val="14"/>
                <w:color w:val="262626"/>
              </w:rPr>
              <w:t>—</w:t>
            </w:r>
          </w:p>
        </w:tc>
        <w:tc>
          <w:tcPr>
            <w:tcW w:w="1300" w:type="dxa"/>
            <w:vAlign w:val="bottom"/>
          </w:tcPr>
          <w:p>
            <w:pPr>
              <w:jc w:val="center"/>
              <w:spacing w:after="0"/>
              <w:rPr>
                <w:sz w:val="20"/>
                <w:szCs w:val="20"/>
                <w:color w:val="auto"/>
              </w:rPr>
            </w:pPr>
            <w:r>
              <w:rPr>
                <w:rFonts w:ascii="Arial" w:cs="Arial" w:eastAsia="Arial" w:hAnsi="Arial"/>
                <w:sz w:val="14"/>
                <w:szCs w:val="14"/>
                <w:color w:val="262626"/>
              </w:rPr>
              <w:t>1,105,507</w:t>
            </w:r>
          </w:p>
        </w:tc>
        <w:tc>
          <w:tcPr>
            <w:tcW w:w="1160" w:type="dxa"/>
            <w:vAlign w:val="bottom"/>
          </w:tcPr>
          <w:p>
            <w:pPr>
              <w:jc w:val="right"/>
              <w:ind w:right="228"/>
              <w:spacing w:after="0"/>
              <w:rPr>
                <w:sz w:val="20"/>
                <w:szCs w:val="20"/>
                <w:color w:val="auto"/>
              </w:rPr>
            </w:pPr>
            <w:r>
              <w:rPr>
                <w:rFonts w:ascii="Arial" w:cs="Arial" w:eastAsia="Arial" w:hAnsi="Arial"/>
                <w:sz w:val="14"/>
                <w:szCs w:val="14"/>
                <w:color w:val="262626"/>
              </w:rPr>
              <w:t>20,700</w:t>
            </w:r>
          </w:p>
        </w:tc>
        <w:tc>
          <w:tcPr>
            <w:tcW w:w="940" w:type="dxa"/>
            <w:vAlign w:val="bottom"/>
          </w:tcPr>
          <w:p>
            <w:pPr>
              <w:jc w:val="right"/>
              <w:spacing w:after="0"/>
              <w:rPr>
                <w:sz w:val="20"/>
                <w:szCs w:val="20"/>
                <w:color w:val="auto"/>
              </w:rPr>
            </w:pPr>
            <w:r>
              <w:rPr>
                <w:rFonts w:ascii="Arial" w:cs="Arial" w:eastAsia="Arial" w:hAnsi="Arial"/>
                <w:sz w:val="14"/>
                <w:szCs w:val="14"/>
                <w:color w:val="262626"/>
              </w:rPr>
              <w:t>1,863,054</w:t>
            </w:r>
          </w:p>
        </w:tc>
        <w:tc>
          <w:tcPr>
            <w:tcW w:w="0" w:type="dxa"/>
            <w:vAlign w:val="bottom"/>
          </w:tcPr>
          <w:p>
            <w:pPr>
              <w:spacing w:after="0"/>
              <w:rPr>
                <w:sz w:val="1"/>
                <w:szCs w:val="1"/>
                <w:color w:val="auto"/>
              </w:rPr>
            </w:pPr>
          </w:p>
        </w:tc>
      </w:tr>
      <w:tr>
        <w:trPr>
          <w:trHeight w:val="242"/>
        </w:trPr>
        <w:tc>
          <w:tcPr>
            <w:tcW w:w="2340" w:type="dxa"/>
            <w:vAlign w:val="bottom"/>
          </w:tcPr>
          <w:p>
            <w:pPr>
              <w:ind w:left="140"/>
              <w:spacing w:after="0"/>
              <w:rPr>
                <w:sz w:val="20"/>
                <w:szCs w:val="20"/>
                <w:color w:val="auto"/>
              </w:rPr>
            </w:pPr>
            <w:r>
              <w:rPr>
                <w:rFonts w:ascii="Arial" w:cs="Arial" w:eastAsia="Arial" w:hAnsi="Arial"/>
                <w:sz w:val="14"/>
                <w:szCs w:val="14"/>
                <w:color w:val="262626"/>
              </w:rPr>
              <w:t>Solutions Group</w:t>
            </w:r>
          </w:p>
        </w:tc>
        <w:tc>
          <w:tcPr>
            <w:tcW w:w="960" w:type="dxa"/>
            <w:vAlign w:val="bottom"/>
          </w:tcPr>
          <w:p>
            <w:pPr>
              <w:jc w:val="right"/>
              <w:ind w:right="48"/>
              <w:spacing w:after="0"/>
              <w:rPr>
                <w:sz w:val="20"/>
                <w:szCs w:val="20"/>
                <w:color w:val="auto"/>
              </w:rPr>
            </w:pPr>
            <w:r>
              <w:rPr>
                <w:rFonts w:ascii="Arial" w:cs="Arial" w:eastAsia="Arial" w:hAnsi="Arial"/>
                <w:sz w:val="14"/>
                <w:szCs w:val="14"/>
                <w:color w:val="262626"/>
              </w:rPr>
              <w:t>2023</w:t>
            </w:r>
          </w:p>
        </w:tc>
        <w:tc>
          <w:tcPr>
            <w:tcW w:w="860" w:type="dxa"/>
            <w:vAlign w:val="bottom"/>
          </w:tcPr>
          <w:p>
            <w:pPr>
              <w:jc w:val="right"/>
              <w:ind w:right="48"/>
              <w:spacing w:after="0"/>
              <w:rPr>
                <w:sz w:val="20"/>
                <w:szCs w:val="20"/>
                <w:color w:val="auto"/>
              </w:rPr>
            </w:pPr>
            <w:r>
              <w:rPr>
                <w:rFonts w:ascii="Arial" w:cs="Arial" w:eastAsia="Arial" w:hAnsi="Arial"/>
                <w:sz w:val="14"/>
                <w:szCs w:val="14"/>
                <w:color w:val="262626"/>
              </w:rPr>
              <w:t>721,000</w:t>
            </w:r>
          </w:p>
        </w:tc>
        <w:tc>
          <w:tcPr>
            <w:tcW w:w="1140" w:type="dxa"/>
            <w:vAlign w:val="bottom"/>
          </w:tcPr>
          <w:p>
            <w:pPr>
              <w:jc w:val="right"/>
              <w:ind w:right="149"/>
              <w:spacing w:after="0"/>
              <w:rPr>
                <w:sz w:val="20"/>
                <w:szCs w:val="20"/>
                <w:color w:val="auto"/>
              </w:rPr>
            </w:pPr>
            <w:r>
              <w:rPr>
                <w:rFonts w:ascii="Arial" w:cs="Arial" w:eastAsia="Arial" w:hAnsi="Arial"/>
                <w:sz w:val="14"/>
                <w:szCs w:val="14"/>
                <w:color w:val="262626"/>
              </w:rPr>
              <w:t>48,162,000</w:t>
            </w:r>
          </w:p>
        </w:tc>
        <w:tc>
          <w:tcPr>
            <w:tcW w:w="1300" w:type="dxa"/>
            <w:vAlign w:val="bottom"/>
          </w:tcPr>
          <w:p>
            <w:pPr>
              <w:jc w:val="center"/>
              <w:spacing w:after="0"/>
              <w:rPr>
                <w:sz w:val="20"/>
                <w:szCs w:val="20"/>
                <w:color w:val="auto"/>
              </w:rPr>
            </w:pPr>
            <w:r>
              <w:rPr>
                <w:rFonts w:ascii="Arial" w:cs="Arial" w:eastAsia="Arial" w:hAnsi="Arial"/>
                <w:sz w:val="14"/>
                <w:szCs w:val="14"/>
                <w:color w:val="262626"/>
                <w:w w:val="96"/>
              </w:rPr>
              <w:t>   781,715</w:t>
            </w:r>
          </w:p>
        </w:tc>
        <w:tc>
          <w:tcPr>
            <w:tcW w:w="1160" w:type="dxa"/>
            <w:vAlign w:val="bottom"/>
          </w:tcPr>
          <w:p>
            <w:pPr>
              <w:jc w:val="right"/>
              <w:ind w:right="228"/>
              <w:spacing w:after="0"/>
              <w:rPr>
                <w:sz w:val="20"/>
                <w:szCs w:val="20"/>
                <w:color w:val="auto"/>
              </w:rPr>
            </w:pPr>
            <w:r>
              <w:rPr>
                <w:rFonts w:ascii="Arial" w:cs="Arial" w:eastAsia="Arial" w:hAnsi="Arial"/>
                <w:sz w:val="14"/>
                <w:szCs w:val="14"/>
                <w:color w:val="262626"/>
              </w:rPr>
              <w:t>19,800</w:t>
            </w:r>
          </w:p>
        </w:tc>
        <w:tc>
          <w:tcPr>
            <w:tcW w:w="940" w:type="dxa"/>
            <w:vAlign w:val="bottom"/>
          </w:tcPr>
          <w:p>
            <w:pPr>
              <w:jc w:val="right"/>
              <w:spacing w:after="0"/>
              <w:rPr>
                <w:sz w:val="20"/>
                <w:szCs w:val="20"/>
                <w:color w:val="auto"/>
              </w:rPr>
            </w:pPr>
            <w:r>
              <w:rPr>
                <w:rFonts w:ascii="Arial" w:cs="Arial" w:eastAsia="Arial" w:hAnsi="Arial"/>
                <w:sz w:val="14"/>
                <w:szCs w:val="14"/>
                <w:color w:val="262626"/>
              </w:rPr>
              <w:t>49,684,515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115570</wp:posOffset>
            </wp:positionV>
            <wp:extent cx="4940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4030" cy="8255"/>
                    </a:xfrm>
                    <a:prstGeom prst="rect">
                      <a:avLst/>
                    </a:prstGeom>
                    <a:noFill/>
                  </pic:spPr>
                </pic:pic>
              </a:graphicData>
            </a:graphic>
          </wp:anchor>
        </w:drawing>
      </w:r>
    </w:p>
    <w:p>
      <w:pPr>
        <w:spacing w:after="0" w:line="233" w:lineRule="exact"/>
        <w:rPr>
          <w:sz w:val="20"/>
          <w:szCs w:val="20"/>
          <w:color w:val="auto"/>
        </w:rPr>
      </w:pPr>
    </w:p>
    <w:p>
      <w:pPr>
        <w:ind w:left="1620" w:hanging="344"/>
        <w:spacing w:after="0"/>
        <w:tabs>
          <w:tab w:leader="none" w:pos="1620" w:val="left"/>
        </w:tabs>
        <w:numPr>
          <w:ilvl w:val="0"/>
          <w:numId w:val="28"/>
        </w:numPr>
        <w:rPr>
          <w:rFonts w:ascii="Arial" w:cs="Arial" w:eastAsia="Arial" w:hAnsi="Arial"/>
          <w:sz w:val="14"/>
          <w:szCs w:val="14"/>
          <w:color w:val="262626"/>
        </w:rPr>
      </w:pPr>
      <w:r>
        <w:rPr>
          <w:rFonts w:ascii="Arial" w:cs="Arial" w:eastAsia="Arial" w:hAnsi="Arial"/>
          <w:sz w:val="14"/>
          <w:szCs w:val="14"/>
          <w:color w:val="262626"/>
        </w:rPr>
        <w:t>Fiscal 2024 salary reflects 53 weeks in fiscal 2024 compared to 52 weeks in fiscal 2025 and 2023.</w:t>
      </w:r>
    </w:p>
    <w:p>
      <w:pPr>
        <w:spacing w:after="0" w:line="134" w:lineRule="exact"/>
        <w:rPr>
          <w:rFonts w:ascii="Arial" w:cs="Arial" w:eastAsia="Arial" w:hAnsi="Arial"/>
          <w:sz w:val="14"/>
          <w:szCs w:val="14"/>
          <w:color w:val="262626"/>
        </w:rPr>
      </w:pPr>
    </w:p>
    <w:p>
      <w:pPr>
        <w:jc w:val="both"/>
        <w:ind w:left="1620" w:right="179" w:hanging="344"/>
        <w:spacing w:after="0" w:line="330" w:lineRule="auto"/>
        <w:tabs>
          <w:tab w:leader="none" w:pos="1620" w:val="left"/>
        </w:tabs>
        <w:numPr>
          <w:ilvl w:val="0"/>
          <w:numId w:val="28"/>
        </w:numPr>
        <w:rPr>
          <w:rFonts w:ascii="Arial" w:cs="Arial" w:eastAsia="Arial" w:hAnsi="Arial"/>
          <w:sz w:val="14"/>
          <w:szCs w:val="14"/>
          <w:color w:val="262626"/>
        </w:rPr>
      </w:pPr>
      <w:r>
        <w:rPr>
          <w:rFonts w:ascii="Arial" w:cs="Arial" w:eastAsia="Arial" w:hAnsi="Arial"/>
          <w:sz w:val="14"/>
          <w:szCs w:val="14"/>
          <w:color w:val="262626"/>
        </w:rPr>
        <w:t>Represents the grant date fair value of RSU and PSU awards calculated in accordance with ASC 718. The maximum grant date fair values (using a Monte Carlo simulation model) for the PSU awards, other than the 2025 Tan PSU Award, do not differ from the fair values presented in this table. These amounts do not reflect compensation actually received by the NEOs or the actual value that may be recognized by the NEOs. For information on the valuation assumptions used in the calculations, see Note 2 to the Consolidated Financial Statements in our 2025 Annual Report.</w:t>
      </w:r>
    </w:p>
    <w:p>
      <w:pPr>
        <w:spacing w:after="0" w:line="47" w:lineRule="exact"/>
        <w:rPr>
          <w:rFonts w:ascii="Arial" w:cs="Arial" w:eastAsia="Arial" w:hAnsi="Arial"/>
          <w:sz w:val="14"/>
          <w:szCs w:val="14"/>
          <w:color w:val="262626"/>
        </w:rPr>
      </w:pPr>
    </w:p>
    <w:p>
      <w:pPr>
        <w:jc w:val="both"/>
        <w:ind w:left="1620" w:right="159" w:hanging="344"/>
        <w:spacing w:after="0" w:line="341" w:lineRule="auto"/>
        <w:tabs>
          <w:tab w:leader="none" w:pos="1620" w:val="left"/>
        </w:tabs>
        <w:numPr>
          <w:ilvl w:val="0"/>
          <w:numId w:val="28"/>
        </w:numPr>
        <w:rPr>
          <w:rFonts w:ascii="Arial" w:cs="Arial" w:eastAsia="Arial" w:hAnsi="Arial"/>
          <w:sz w:val="14"/>
          <w:szCs w:val="14"/>
          <w:color w:val="262626"/>
        </w:rPr>
      </w:pPr>
      <w:r>
        <w:rPr>
          <w:rFonts w:ascii="Arial" w:cs="Arial" w:eastAsia="Arial" w:hAnsi="Arial"/>
          <w:sz w:val="14"/>
          <w:szCs w:val="14"/>
          <w:color w:val="262626"/>
        </w:rPr>
        <w:t>Represents amounts paid under the APB Plan for each fiscal year. More information about the determination of the amounts paid is provided above in “C</w:t>
      </w:r>
      <w:r>
        <w:rPr>
          <w:rFonts w:ascii="Arial" w:cs="Arial" w:eastAsia="Arial" w:hAnsi="Arial"/>
          <w:sz w:val="14"/>
          <w:szCs w:val="14"/>
          <w:i w:val="1"/>
          <w:iCs w:val="1"/>
          <w:color w:val="262626"/>
        </w:rPr>
        <w:t>ompensation Discussion and Analysis</w:t>
      </w:r>
      <w:r>
        <w:rPr>
          <w:rFonts w:ascii="Arial" w:cs="Arial" w:eastAsia="Arial" w:hAnsi="Arial"/>
          <w:sz w:val="14"/>
          <w:szCs w:val="14"/>
          <w:color w:val="262626"/>
        </w:rPr>
        <w:t xml:space="preserve"> — </w:t>
      </w:r>
      <w:r>
        <w:rPr>
          <w:rFonts w:ascii="Arial" w:cs="Arial" w:eastAsia="Arial" w:hAnsi="Arial"/>
          <w:sz w:val="14"/>
          <w:szCs w:val="14"/>
          <w:i w:val="1"/>
          <w:iCs w:val="1"/>
          <w:color w:val="262626"/>
        </w:rPr>
        <w:t>Elements of Fiscal 2025 Executive Compensation Program</w:t>
      </w:r>
      <w:r>
        <w:rPr>
          <w:rFonts w:ascii="Arial" w:cs="Arial" w:eastAsia="Arial" w:hAnsi="Arial"/>
          <w:sz w:val="14"/>
          <w:szCs w:val="14"/>
          <w:color w:val="262626"/>
        </w:rPr>
        <w:t xml:space="preserve"> — </w:t>
      </w:r>
      <w:r>
        <w:rPr>
          <w:rFonts w:ascii="Arial" w:cs="Arial" w:eastAsia="Arial" w:hAnsi="Arial"/>
          <w:sz w:val="14"/>
          <w:szCs w:val="14"/>
          <w:i w:val="1"/>
          <w:iCs w:val="1"/>
          <w:color w:val="262626"/>
        </w:rPr>
        <w:t>Annual</w:t>
      </w:r>
      <w:r>
        <w:rPr>
          <w:rFonts w:ascii="Arial" w:cs="Arial" w:eastAsia="Arial" w:hAnsi="Arial"/>
          <w:sz w:val="14"/>
          <w:szCs w:val="14"/>
          <w:color w:val="262626"/>
        </w:rPr>
        <w:t xml:space="preserve"> </w:t>
      </w:r>
      <w:r>
        <w:rPr>
          <w:rFonts w:ascii="Arial" w:cs="Arial" w:eastAsia="Arial" w:hAnsi="Arial"/>
          <w:sz w:val="14"/>
          <w:szCs w:val="14"/>
          <w:i w:val="1"/>
          <w:iCs w:val="1"/>
          <w:color w:val="262626"/>
        </w:rPr>
        <w:t>Cash Incentive Bonus Plan</w:t>
      </w:r>
      <w:r>
        <w:rPr>
          <w:rFonts w:ascii="Arial" w:cs="Arial" w:eastAsia="Arial" w:hAnsi="Arial"/>
          <w:sz w:val="14"/>
          <w:szCs w:val="14"/>
          <w:color w:val="262626"/>
        </w:rPr>
        <w:t>.</w:t>
      </w:r>
      <w:r>
        <w:rPr>
          <w:rFonts w:ascii="Arial" w:cs="Arial" w:eastAsia="Arial" w:hAnsi="Arial"/>
          <w:sz w:val="14"/>
          <w:szCs w:val="14"/>
          <w:i w:val="1"/>
          <w:iCs w:val="1"/>
          <w:color w:val="262626"/>
        </w:rPr>
        <w:t>”</w:t>
      </w:r>
    </w:p>
    <w:p>
      <w:pPr>
        <w:spacing w:after="0" w:line="38" w:lineRule="exact"/>
        <w:rPr>
          <w:rFonts w:ascii="Arial" w:cs="Arial" w:eastAsia="Arial" w:hAnsi="Arial"/>
          <w:sz w:val="14"/>
          <w:szCs w:val="14"/>
          <w:color w:val="262626"/>
        </w:rPr>
      </w:pPr>
    </w:p>
    <w:p>
      <w:pPr>
        <w:jc w:val="both"/>
        <w:ind w:left="1620" w:right="159" w:hanging="344"/>
        <w:spacing w:after="0" w:line="330" w:lineRule="auto"/>
        <w:tabs>
          <w:tab w:leader="none" w:pos="1620" w:val="left"/>
        </w:tabs>
        <w:numPr>
          <w:ilvl w:val="0"/>
          <w:numId w:val="28"/>
        </w:numPr>
        <w:rPr>
          <w:rFonts w:ascii="Arial" w:cs="Arial" w:eastAsia="Arial" w:hAnsi="Arial"/>
          <w:sz w:val="14"/>
          <w:szCs w:val="14"/>
          <w:color w:val="262626"/>
        </w:rPr>
      </w:pPr>
      <w:r>
        <w:rPr>
          <w:rFonts w:ascii="Arial" w:cs="Arial" w:eastAsia="Arial" w:hAnsi="Arial"/>
          <w:sz w:val="14"/>
          <w:szCs w:val="14"/>
          <w:color w:val="262626"/>
        </w:rPr>
        <w:t>Represents the grant date fair value for the 2025 Tan PSU Award at the target attainment level calculated in accordance with ASC 718. The grant date fair value for the 2025 Tan PSU Award at the maximum attainment level is $607,053,241. This amount does not reflect compensation actually received by Mr. Tan or the actual value that may be recognized by Mr. Tan. For information on the valuation assumptions used in the calculations, see Note 2 to the Consolidated Financial Statements included in our 2025 Annual Report.</w:t>
      </w:r>
    </w:p>
    <w:p>
      <w:pPr>
        <w:spacing w:after="0" w:line="47" w:lineRule="exact"/>
        <w:rPr>
          <w:rFonts w:ascii="Arial" w:cs="Arial" w:eastAsia="Arial" w:hAnsi="Arial"/>
          <w:sz w:val="14"/>
          <w:szCs w:val="14"/>
          <w:color w:val="262626"/>
        </w:rPr>
      </w:pPr>
    </w:p>
    <w:p>
      <w:pPr>
        <w:jc w:val="both"/>
        <w:ind w:left="1620" w:right="179" w:hanging="344"/>
        <w:spacing w:after="0" w:line="341" w:lineRule="auto"/>
        <w:tabs>
          <w:tab w:leader="none" w:pos="1620" w:val="left"/>
        </w:tabs>
        <w:numPr>
          <w:ilvl w:val="0"/>
          <w:numId w:val="28"/>
        </w:numPr>
        <w:rPr>
          <w:rFonts w:ascii="Arial" w:cs="Arial" w:eastAsia="Arial" w:hAnsi="Arial"/>
          <w:sz w:val="14"/>
          <w:szCs w:val="14"/>
          <w:color w:val="262626"/>
        </w:rPr>
      </w:pPr>
      <w:r>
        <w:rPr>
          <w:rFonts w:ascii="Arial" w:cs="Arial" w:eastAsia="Arial" w:hAnsi="Arial"/>
          <w:sz w:val="14"/>
          <w:szCs w:val="14"/>
          <w:color w:val="262626"/>
        </w:rPr>
        <w:t>Represents $12,906 for car service, $21,000 in 401(k) plan employer matching contributions and $1,693,020 in residential and personal security services. For more information, see “</w:t>
      </w:r>
      <w:r>
        <w:rPr>
          <w:rFonts w:ascii="Arial" w:cs="Arial" w:eastAsia="Arial" w:hAnsi="Arial"/>
          <w:sz w:val="14"/>
          <w:szCs w:val="14"/>
          <w:i w:val="1"/>
          <w:iCs w:val="1"/>
          <w:color w:val="262626"/>
        </w:rPr>
        <w:t>Compensation Discussion and Analysis</w:t>
      </w:r>
      <w:r>
        <w:rPr>
          <w:rFonts w:ascii="Arial" w:cs="Arial" w:eastAsia="Arial" w:hAnsi="Arial"/>
          <w:sz w:val="14"/>
          <w:szCs w:val="14"/>
          <w:color w:val="262626"/>
        </w:rPr>
        <w:t xml:space="preserve"> — </w:t>
      </w:r>
      <w:r>
        <w:rPr>
          <w:rFonts w:ascii="Arial" w:cs="Arial" w:eastAsia="Arial" w:hAnsi="Arial"/>
          <w:sz w:val="14"/>
          <w:szCs w:val="14"/>
          <w:i w:val="1"/>
          <w:iCs w:val="1"/>
          <w:color w:val="262626"/>
        </w:rPr>
        <w:t>Additional Compensation</w:t>
      </w:r>
      <w:r>
        <w:rPr>
          <w:rFonts w:ascii="Arial" w:cs="Arial" w:eastAsia="Arial" w:hAnsi="Arial"/>
          <w:sz w:val="14"/>
          <w:szCs w:val="14"/>
          <w:color w:val="262626"/>
        </w:rPr>
        <w:t xml:space="preserve"> </w:t>
      </w:r>
      <w:r>
        <w:rPr>
          <w:rFonts w:ascii="Arial" w:cs="Arial" w:eastAsia="Arial" w:hAnsi="Arial"/>
          <w:sz w:val="14"/>
          <w:szCs w:val="14"/>
          <w:i w:val="1"/>
          <w:iCs w:val="1"/>
          <w:color w:val="262626"/>
        </w:rPr>
        <w:t>Practices and Policies</w:t>
      </w:r>
      <w:r>
        <w:rPr>
          <w:rFonts w:ascii="Arial" w:cs="Arial" w:eastAsia="Arial" w:hAnsi="Arial"/>
          <w:sz w:val="14"/>
          <w:szCs w:val="14"/>
          <w:color w:val="262626"/>
        </w:rPr>
        <w:t>.</w:t>
      </w:r>
      <w:r>
        <w:rPr>
          <w:rFonts w:ascii="Arial" w:cs="Arial" w:eastAsia="Arial" w:hAnsi="Arial"/>
          <w:sz w:val="14"/>
          <w:szCs w:val="14"/>
          <w:i w:val="1"/>
          <w:iCs w:val="1"/>
          <w:color w:val="262626"/>
        </w:rPr>
        <w:t>”</w:t>
      </w:r>
    </w:p>
    <w:p>
      <w:pPr>
        <w:spacing w:after="0" w:line="38" w:lineRule="exact"/>
        <w:rPr>
          <w:rFonts w:ascii="Arial" w:cs="Arial" w:eastAsia="Arial" w:hAnsi="Arial"/>
          <w:sz w:val="14"/>
          <w:szCs w:val="14"/>
          <w:color w:val="262626"/>
        </w:rPr>
      </w:pPr>
    </w:p>
    <w:p>
      <w:pPr>
        <w:jc w:val="both"/>
        <w:ind w:left="1620" w:right="159" w:hanging="344"/>
        <w:spacing w:after="0" w:line="341" w:lineRule="auto"/>
        <w:tabs>
          <w:tab w:leader="none" w:pos="1620" w:val="left"/>
        </w:tabs>
        <w:numPr>
          <w:ilvl w:val="0"/>
          <w:numId w:val="28"/>
        </w:numPr>
        <w:rPr>
          <w:rFonts w:ascii="Arial" w:cs="Arial" w:eastAsia="Arial" w:hAnsi="Arial"/>
          <w:sz w:val="14"/>
          <w:szCs w:val="14"/>
          <w:color w:val="262626"/>
        </w:rPr>
      </w:pPr>
      <w:r>
        <w:rPr>
          <w:rFonts w:ascii="Arial" w:cs="Arial" w:eastAsia="Arial" w:hAnsi="Arial"/>
          <w:sz w:val="14"/>
          <w:szCs w:val="14"/>
          <w:color w:val="262626"/>
        </w:rPr>
        <w:t>Includes $114,814 for the incremental grant date fair value of Ms. Spears’ previously-granted outstanding RSU awards that were modified in June 2025 by the Compensation Committee to reflect a quarterly vesting schedule and calculated in accordance with ASC 718.</w:t>
      </w:r>
    </w:p>
    <w:p>
      <w:pPr>
        <w:spacing w:after="0" w:line="38" w:lineRule="exact"/>
        <w:rPr>
          <w:rFonts w:ascii="Arial" w:cs="Arial" w:eastAsia="Arial" w:hAnsi="Arial"/>
          <w:sz w:val="14"/>
          <w:szCs w:val="14"/>
          <w:color w:val="262626"/>
        </w:rPr>
      </w:pPr>
    </w:p>
    <w:p>
      <w:pPr>
        <w:ind w:left="1620" w:hanging="344"/>
        <w:spacing w:after="0"/>
        <w:tabs>
          <w:tab w:leader="none" w:pos="1620" w:val="left"/>
        </w:tabs>
        <w:numPr>
          <w:ilvl w:val="0"/>
          <w:numId w:val="28"/>
        </w:numPr>
        <w:rPr>
          <w:rFonts w:ascii="Arial" w:cs="Arial" w:eastAsia="Arial" w:hAnsi="Arial"/>
          <w:sz w:val="14"/>
          <w:szCs w:val="14"/>
          <w:color w:val="262626"/>
        </w:rPr>
      </w:pPr>
      <w:r>
        <w:rPr>
          <w:rFonts w:ascii="Arial" w:cs="Arial" w:eastAsia="Arial" w:hAnsi="Arial"/>
          <w:sz w:val="14"/>
          <w:szCs w:val="14"/>
          <w:color w:val="262626"/>
        </w:rPr>
        <w:t>Represents 401(k) plan employer matching contributions.</w:t>
      </w:r>
    </w:p>
    <w:p>
      <w:pPr>
        <w:spacing w:after="0" w:line="134" w:lineRule="exact"/>
        <w:rPr>
          <w:rFonts w:ascii="Arial" w:cs="Arial" w:eastAsia="Arial" w:hAnsi="Arial"/>
          <w:sz w:val="14"/>
          <w:szCs w:val="14"/>
          <w:color w:val="262626"/>
        </w:rPr>
      </w:pPr>
    </w:p>
    <w:p>
      <w:pPr>
        <w:jc w:val="both"/>
        <w:ind w:left="1620" w:right="159" w:hanging="344"/>
        <w:spacing w:after="0" w:line="341" w:lineRule="auto"/>
        <w:tabs>
          <w:tab w:leader="none" w:pos="1620" w:val="left"/>
        </w:tabs>
        <w:numPr>
          <w:ilvl w:val="0"/>
          <w:numId w:val="28"/>
        </w:numPr>
        <w:rPr>
          <w:rFonts w:ascii="Arial" w:cs="Arial" w:eastAsia="Arial" w:hAnsi="Arial"/>
          <w:sz w:val="14"/>
          <w:szCs w:val="14"/>
          <w:color w:val="262626"/>
        </w:rPr>
      </w:pPr>
      <w:r>
        <w:rPr>
          <w:rFonts w:ascii="Arial" w:cs="Arial" w:eastAsia="Arial" w:hAnsi="Arial"/>
          <w:sz w:val="14"/>
          <w:szCs w:val="14"/>
          <w:color w:val="262626"/>
        </w:rPr>
        <w:t>Includes $192,348 for the incremental grant date fair value of Mr. Brazeal’s previously-granted outstanding RSU awards that were modified in June 2025 by the Compensation Committee to reflect a quarterly vesting schedule and calculated in accordance with ASC 718.</w:t>
      </w:r>
    </w:p>
    <w:p>
      <w:pPr>
        <w:spacing w:after="0" w:line="38" w:lineRule="exact"/>
        <w:rPr>
          <w:rFonts w:ascii="Arial" w:cs="Arial" w:eastAsia="Arial" w:hAnsi="Arial"/>
          <w:sz w:val="14"/>
          <w:szCs w:val="14"/>
          <w:color w:val="262626"/>
        </w:rPr>
      </w:pPr>
    </w:p>
    <w:p>
      <w:pPr>
        <w:jc w:val="both"/>
        <w:ind w:left="1620" w:right="179" w:hanging="344"/>
        <w:spacing w:after="0" w:line="341" w:lineRule="auto"/>
        <w:tabs>
          <w:tab w:leader="none" w:pos="1620" w:val="left"/>
        </w:tabs>
        <w:numPr>
          <w:ilvl w:val="0"/>
          <w:numId w:val="28"/>
        </w:numPr>
        <w:rPr>
          <w:rFonts w:ascii="Arial" w:cs="Arial" w:eastAsia="Arial" w:hAnsi="Arial"/>
          <w:sz w:val="14"/>
          <w:szCs w:val="14"/>
          <w:color w:val="262626"/>
        </w:rPr>
      </w:pPr>
      <w:r>
        <w:rPr>
          <w:rFonts w:ascii="Arial" w:cs="Arial" w:eastAsia="Arial" w:hAnsi="Arial"/>
          <w:sz w:val="14"/>
          <w:szCs w:val="14"/>
          <w:color w:val="262626"/>
        </w:rPr>
        <w:t>Represents the incremental grant date fair value of Dr. Kawwas’ previously-granted outstanding RSU awards that were modified in June 2025 by the Compensation Committee to reflect a quarterly vesting schedule and calculated in accordance with ASC 718, and does not represent a new equity award.</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768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5155"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SUPPLEMENTAL FISCAL 2025 SUMMARY COMPENSATION TABLE</w:t>
      </w:r>
    </w:p>
    <w:p>
      <w:pPr>
        <w:spacing w:after="0" w:line="133"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The table below sets forth the same information in the “</w:t>
      </w:r>
      <w:r>
        <w:rPr>
          <w:rFonts w:ascii="Arial" w:cs="Arial" w:eastAsia="Arial" w:hAnsi="Arial"/>
          <w:sz w:val="16"/>
          <w:szCs w:val="16"/>
          <w:i w:val="1"/>
          <w:iCs w:val="1"/>
          <w:color w:val="262626"/>
        </w:rPr>
        <w:t>Fiscal 2025 Summary Compensation Table</w:t>
      </w:r>
      <w:r>
        <w:rPr>
          <w:rFonts w:ascii="Arial" w:cs="Arial" w:eastAsia="Arial" w:hAnsi="Arial"/>
          <w:sz w:val="16"/>
          <w:szCs w:val="16"/>
          <w:color w:val="262626"/>
        </w:rPr>
        <w:t>” above for Mr. Tan for fiscal 2025 other than the amount in the “Stock Awards” column. The amount shown below for the “Stock Awards” column excludes the grant date fair value for the 2025 Tan PSU Award at the target attainment level calculated in accordance with ASC 718 and instead includes one-fifth of the grant date fair value of the 2023 Tan PSU Award calculated in accordance with ASC 718.</w:t>
      </w:r>
    </w:p>
    <w:p>
      <w:pPr>
        <w:spacing w:after="0" w:line="106"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As discussed in “</w:t>
      </w:r>
      <w:r>
        <w:rPr>
          <w:rFonts w:ascii="Arial" w:cs="Arial" w:eastAsia="Arial" w:hAnsi="Arial"/>
          <w:sz w:val="16"/>
          <w:szCs w:val="16"/>
          <w:i w:val="1"/>
          <w:iCs w:val="1"/>
          <w:color w:val="262626"/>
        </w:rPr>
        <w:t>Compensation Discussion and Analysis</w:t>
      </w:r>
      <w:r>
        <w:rPr>
          <w:rFonts w:ascii="Arial" w:cs="Arial" w:eastAsia="Arial" w:hAnsi="Arial"/>
          <w:sz w:val="16"/>
          <w:szCs w:val="16"/>
          <w:color w:val="262626"/>
        </w:rPr>
        <w:t>,” the 2025 Tan PSU Award is front-loaded to cover three years of annual equity awards from fiscal 2028 through fiscal 2030 and the performance period of the 2025 Tan PSU Award does not start until the first day of fiscal 2028. The 2023 Tan PSU Award, however, is front-loaded to cover five years of annual equity awards from fiscal 2023 through fiscal 2027 and is subject to a performance period during that time period.</w:t>
      </w:r>
    </w:p>
    <w:p>
      <w:pPr>
        <w:spacing w:after="0" w:line="115" w:lineRule="exact"/>
        <w:rPr>
          <w:sz w:val="20"/>
          <w:szCs w:val="20"/>
          <w:color w:val="auto"/>
        </w:rPr>
      </w:pPr>
    </w:p>
    <w:p>
      <w:pPr>
        <w:jc w:val="both"/>
        <w:ind w:left="1280" w:right="179"/>
        <w:spacing w:after="0" w:line="377" w:lineRule="auto"/>
        <w:rPr>
          <w:sz w:val="20"/>
          <w:szCs w:val="20"/>
          <w:color w:val="auto"/>
        </w:rPr>
      </w:pPr>
      <w:r>
        <w:rPr>
          <w:rFonts w:ascii="Arial" w:cs="Arial" w:eastAsia="Arial" w:hAnsi="Arial"/>
          <w:sz w:val="16"/>
          <w:szCs w:val="16"/>
          <w:color w:val="262626"/>
        </w:rPr>
        <w:t>The table below is provided for informational purposes only and does not form part of our disclosures required by the SEC. It is intended to illustrate Mr. Tan’s compensation opportunity in fiscal 2025 as intended by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255270</wp:posOffset>
            </wp:positionV>
            <wp:extent cx="55225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262626"/>
              </w:rPr>
              <w:t>Non-Equity</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262626"/>
              </w:rPr>
              <w:t>Fiscal</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262626"/>
                <w:w w:val="99"/>
              </w:rPr>
              <w:t>Salary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262626"/>
              </w:rPr>
              <w:t>Stock</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262626"/>
              </w:rPr>
              <w:t>Incentive Plan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262626"/>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262626"/>
              </w:rPr>
              <w:t>Awards</w:t>
            </w:r>
          </w:p>
        </w:tc>
        <w:tc>
          <w:tcPr>
            <w:tcW w:w="1240" w:type="dxa"/>
            <w:vAlign w:val="bottom"/>
          </w:tcPr>
          <w:p>
            <w:pPr>
              <w:jc w:val="center"/>
              <w:spacing w:after="0" w:line="148" w:lineRule="exact"/>
              <w:rPr>
                <w:sz w:val="20"/>
                <w:szCs w:val="20"/>
                <w:color w:val="auto"/>
              </w:rPr>
            </w:pPr>
            <w:r>
              <w:rPr>
                <w:rFonts w:ascii="Arial" w:cs="Arial" w:eastAsia="Arial" w:hAnsi="Arial"/>
                <w:sz w:val="14"/>
                <w:szCs w:val="14"/>
                <w:b w:val="1"/>
                <w:bCs w:val="1"/>
                <w:color w:val="262626"/>
              </w:rPr>
              <w:t>Compensation</w:t>
            </w:r>
          </w:p>
        </w:tc>
        <w:tc>
          <w:tcPr>
            <w:tcW w:w="1220" w:type="dxa"/>
            <w:vAlign w:val="bottom"/>
          </w:tcPr>
          <w:p>
            <w:pPr>
              <w:jc w:val="center"/>
              <w:spacing w:after="0" w:line="148" w:lineRule="exact"/>
              <w:rPr>
                <w:sz w:val="20"/>
                <w:szCs w:val="20"/>
                <w:color w:val="auto"/>
              </w:rPr>
            </w:pPr>
            <w:r>
              <w:rPr>
                <w:rFonts w:ascii="Arial" w:cs="Arial" w:eastAsia="Arial" w:hAnsi="Arial"/>
                <w:sz w:val="14"/>
                <w:szCs w:val="14"/>
                <w:b w:val="1"/>
                <w:bCs w:val="1"/>
                <w:color w:val="262626"/>
              </w:rPr>
              <w:t>Compensation</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262626"/>
              </w:rPr>
              <w:t>Total</w:t>
            </w: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Arial" w:cs="Arial" w:eastAsia="Arial" w:hAnsi="Arial"/>
                <w:sz w:val="14"/>
                <w:szCs w:val="14"/>
                <w:b w:val="1"/>
                <w:bCs w:val="1"/>
                <w:color w:val="262626"/>
              </w:rPr>
              <w:t>Name and Principal Position</w:t>
            </w:r>
          </w:p>
        </w:tc>
        <w:tc>
          <w:tcPr>
            <w:tcW w:w="1040" w:type="dxa"/>
            <w:vAlign w:val="bottom"/>
          </w:tcPr>
          <w:p>
            <w:pPr>
              <w:ind w:left="500"/>
              <w:spacing w:after="0"/>
              <w:rPr>
                <w:sz w:val="20"/>
                <w:szCs w:val="20"/>
                <w:color w:val="auto"/>
              </w:rPr>
            </w:pPr>
            <w:r>
              <w:rPr>
                <w:rFonts w:ascii="Arial" w:cs="Arial" w:eastAsia="Arial" w:hAnsi="Arial"/>
                <w:sz w:val="14"/>
                <w:szCs w:val="14"/>
                <w:b w:val="1"/>
                <w:bCs w:val="1"/>
                <w:color w:val="262626"/>
              </w:rPr>
              <w:t>Year</w:t>
            </w:r>
          </w:p>
        </w:tc>
        <w:tc>
          <w:tcPr>
            <w:tcW w:w="940" w:type="dxa"/>
            <w:vAlign w:val="bottom"/>
          </w:tcPr>
          <w:p>
            <w:pPr>
              <w:jc w:val="right"/>
              <w:ind w:right="308"/>
              <w:spacing w:after="0"/>
              <w:rPr>
                <w:sz w:val="20"/>
                <w:szCs w:val="20"/>
                <w:color w:val="auto"/>
              </w:rPr>
            </w:pPr>
            <w:r>
              <w:rPr>
                <w:rFonts w:ascii="Arial" w:cs="Arial" w:eastAsia="Arial" w:hAnsi="Arial"/>
                <w:sz w:val="14"/>
                <w:szCs w:val="14"/>
                <w:b w:val="1"/>
                <w:bCs w:val="1"/>
                <w:color w:val="262626"/>
              </w:rPr>
              <w: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262626"/>
                <w:w w:val="93"/>
              </w:rPr>
              <w:t>($)</w:t>
            </w:r>
          </w:p>
        </w:tc>
        <w:tc>
          <w:tcPr>
            <w:tcW w:w="1240" w:type="dxa"/>
            <w:vAlign w:val="bottom"/>
          </w:tcPr>
          <w:p>
            <w:pPr>
              <w:jc w:val="right"/>
              <w:ind w:right="448"/>
              <w:spacing w:after="0"/>
              <w:rPr>
                <w:sz w:val="20"/>
                <w:szCs w:val="20"/>
                <w:color w:val="auto"/>
              </w:rPr>
            </w:pPr>
            <w:r>
              <w:rPr>
                <w:rFonts w:ascii="Arial" w:cs="Arial" w:eastAsia="Arial" w:hAnsi="Arial"/>
                <w:sz w:val="14"/>
                <w:szCs w:val="14"/>
                <w:b w:val="1"/>
                <w:bCs w:val="1"/>
                <w:color w:val="262626"/>
              </w:rPr>
              <w: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262626"/>
              </w:rPr>
              <w:t>($)</w:t>
            </w: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262626"/>
              </w:rPr>
              <w:t>($)</w:t>
            </w:r>
          </w:p>
        </w:tc>
        <w:tc>
          <w:tcPr>
            <w:tcW w:w="0" w:type="dxa"/>
            <w:vAlign w:val="bottom"/>
          </w:tcPr>
          <w:p>
            <w:pPr>
              <w:spacing w:after="0"/>
              <w:rPr>
                <w:sz w:val="1"/>
                <w:szCs w:val="1"/>
                <w:color w:val="auto"/>
              </w:rPr>
            </w:pPr>
          </w:p>
        </w:tc>
      </w:tr>
      <w:tr>
        <w:trPr>
          <w:trHeight w:val="42"/>
        </w:trPr>
        <w:tc>
          <w:tcPr>
            <w:tcW w:w="2360" w:type="dxa"/>
            <w:vAlign w:val="bottom"/>
            <w:tcBorders>
              <w:bottom w:val="single" w:sz="8" w:color="CF0A2C"/>
            </w:tcBorders>
          </w:tcPr>
          <w:p>
            <w:pPr>
              <w:spacing w:after="0"/>
              <w:rPr>
                <w:sz w:val="3"/>
                <w:szCs w:val="3"/>
                <w:color w:val="auto"/>
              </w:rPr>
            </w:pPr>
          </w:p>
        </w:tc>
        <w:tc>
          <w:tcPr>
            <w:tcW w:w="1040" w:type="dxa"/>
            <w:vAlign w:val="bottom"/>
            <w:tcBorders>
              <w:bottom w:val="single" w:sz="8" w:color="CF0A2C"/>
            </w:tcBorders>
          </w:tcPr>
          <w:p>
            <w:pPr>
              <w:spacing w:after="0"/>
              <w:rPr>
                <w:sz w:val="3"/>
                <w:szCs w:val="3"/>
                <w:color w:val="auto"/>
              </w:rPr>
            </w:pPr>
          </w:p>
        </w:tc>
        <w:tc>
          <w:tcPr>
            <w:tcW w:w="940" w:type="dxa"/>
            <w:vAlign w:val="bottom"/>
            <w:tcBorders>
              <w:bottom w:val="single" w:sz="8" w:color="CF0A2C"/>
            </w:tcBorders>
          </w:tcPr>
          <w:p>
            <w:pPr>
              <w:spacing w:after="0"/>
              <w:rPr>
                <w:sz w:val="3"/>
                <w:szCs w:val="3"/>
                <w:color w:val="auto"/>
              </w:rPr>
            </w:pPr>
          </w:p>
        </w:tc>
        <w:tc>
          <w:tcPr>
            <w:tcW w:w="1080" w:type="dxa"/>
            <w:vAlign w:val="bottom"/>
            <w:tcBorders>
              <w:bottom w:val="single" w:sz="8" w:color="CF0A2C"/>
            </w:tcBorders>
          </w:tcPr>
          <w:p>
            <w:pPr>
              <w:spacing w:after="0"/>
              <w:rPr>
                <w:sz w:val="3"/>
                <w:szCs w:val="3"/>
                <w:color w:val="auto"/>
              </w:rPr>
            </w:pPr>
          </w:p>
        </w:tc>
        <w:tc>
          <w:tcPr>
            <w:tcW w:w="1240" w:type="dxa"/>
            <w:vAlign w:val="bottom"/>
            <w:tcBorders>
              <w:bottom w:val="single" w:sz="8" w:color="CF0A2C"/>
            </w:tcBorders>
          </w:tcPr>
          <w:p>
            <w:pPr>
              <w:spacing w:after="0"/>
              <w:rPr>
                <w:sz w:val="3"/>
                <w:szCs w:val="3"/>
                <w:color w:val="auto"/>
              </w:rPr>
            </w:pPr>
          </w:p>
        </w:tc>
        <w:tc>
          <w:tcPr>
            <w:tcW w:w="1220" w:type="dxa"/>
            <w:vAlign w:val="bottom"/>
            <w:tcBorders>
              <w:bottom w:val="single" w:sz="8" w:color="CF0A2C"/>
            </w:tcBorders>
          </w:tcPr>
          <w:p>
            <w:pPr>
              <w:spacing w:after="0"/>
              <w:rPr>
                <w:sz w:val="3"/>
                <w:szCs w:val="3"/>
                <w:color w:val="auto"/>
              </w:rPr>
            </w:pPr>
          </w:p>
        </w:tc>
        <w:tc>
          <w:tcPr>
            <w:tcW w:w="820" w:type="dxa"/>
            <w:vAlign w:val="bottom"/>
            <w:tcBorders>
              <w:bottom w:val="single" w:sz="8" w:color="CF0A2C"/>
            </w:tcBorders>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2360" w:type="dxa"/>
            <w:vAlign w:val="bottom"/>
          </w:tcPr>
          <w:p>
            <w:pPr>
              <w:spacing w:after="0"/>
              <w:rPr>
                <w:sz w:val="20"/>
                <w:szCs w:val="20"/>
                <w:color w:val="auto"/>
              </w:rPr>
            </w:pPr>
            <w:r>
              <w:rPr>
                <w:rFonts w:ascii="Arial" w:cs="Arial" w:eastAsia="Arial" w:hAnsi="Arial"/>
                <w:sz w:val="14"/>
                <w:szCs w:val="14"/>
                <w:color w:val="262626"/>
              </w:rPr>
              <w:t>Hock E. Tan</w:t>
            </w:r>
          </w:p>
        </w:tc>
        <w:tc>
          <w:tcPr>
            <w:tcW w:w="1040" w:type="dxa"/>
            <w:vAlign w:val="bottom"/>
          </w:tcPr>
          <w:p>
            <w:pPr>
              <w:ind w:left="520"/>
              <w:spacing w:after="0"/>
              <w:rPr>
                <w:sz w:val="20"/>
                <w:szCs w:val="20"/>
                <w:color w:val="auto"/>
              </w:rPr>
            </w:pPr>
            <w:r>
              <w:rPr>
                <w:rFonts w:ascii="Arial" w:cs="Arial" w:eastAsia="Arial" w:hAnsi="Arial"/>
                <w:sz w:val="14"/>
                <w:szCs w:val="14"/>
                <w:color w:val="262626"/>
              </w:rPr>
              <w:t>2025</w:t>
            </w:r>
          </w:p>
        </w:tc>
        <w:tc>
          <w:tcPr>
            <w:tcW w:w="940" w:type="dxa"/>
            <w:vAlign w:val="bottom"/>
          </w:tcPr>
          <w:p>
            <w:pPr>
              <w:jc w:val="right"/>
              <w:ind w:right="28"/>
              <w:spacing w:after="0"/>
              <w:rPr>
                <w:sz w:val="20"/>
                <w:szCs w:val="20"/>
                <w:color w:val="auto"/>
              </w:rPr>
            </w:pPr>
            <w:r>
              <w:rPr>
                <w:rFonts w:ascii="Arial" w:cs="Arial" w:eastAsia="Arial" w:hAnsi="Arial"/>
                <w:sz w:val="14"/>
                <w:szCs w:val="14"/>
                <w:color w:val="262626"/>
              </w:rPr>
              <w:t>1,200,000</w:t>
            </w:r>
          </w:p>
        </w:tc>
        <w:tc>
          <w:tcPr>
            <w:tcW w:w="1080" w:type="dxa"/>
            <w:vAlign w:val="bottom"/>
          </w:tcPr>
          <w:p>
            <w:pPr>
              <w:jc w:val="right"/>
              <w:ind w:right="48"/>
              <w:spacing w:after="0"/>
              <w:rPr>
                <w:sz w:val="20"/>
                <w:szCs w:val="20"/>
                <w:color w:val="auto"/>
              </w:rPr>
            </w:pPr>
            <w:r>
              <w:rPr>
                <w:rFonts w:ascii="Arial" w:cs="Arial" w:eastAsia="Arial" w:hAnsi="Arial"/>
                <w:sz w:val="14"/>
                <w:szCs w:val="14"/>
                <w:color w:val="262626"/>
              </w:rPr>
              <w:t>32,108,000</w:t>
            </w:r>
            <w:r>
              <w:rPr>
                <w:rFonts w:ascii="Arial" w:cs="Arial" w:eastAsia="Arial" w:hAnsi="Arial"/>
                <w:sz w:val="21"/>
                <w:szCs w:val="21"/>
                <w:color w:val="262626"/>
                <w:vertAlign w:val="superscript"/>
              </w:rPr>
              <w:t>(1)</w:t>
            </w:r>
          </w:p>
        </w:tc>
        <w:tc>
          <w:tcPr>
            <w:tcW w:w="1240" w:type="dxa"/>
            <w:vAlign w:val="bottom"/>
          </w:tcPr>
          <w:p>
            <w:pPr>
              <w:jc w:val="right"/>
              <w:ind w:right="448"/>
              <w:spacing w:after="0"/>
              <w:rPr>
                <w:sz w:val="20"/>
                <w:szCs w:val="20"/>
                <w:color w:val="auto"/>
              </w:rPr>
            </w:pPr>
            <w:r>
              <w:rPr>
                <w:rFonts w:ascii="Arial" w:cs="Arial" w:eastAsia="Arial" w:hAnsi="Arial"/>
                <w:sz w:val="14"/>
                <w:szCs w:val="14"/>
                <w:color w:val="262626"/>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262626"/>
              </w:rPr>
              <w:t>1,726,926</w:t>
            </w:r>
            <w:r>
              <w:rPr>
                <w:rFonts w:ascii="Arial" w:cs="Arial" w:eastAsia="Arial" w:hAnsi="Arial"/>
                <w:sz w:val="21"/>
                <w:szCs w:val="21"/>
                <w:color w:val="262626"/>
                <w:vertAlign w:val="superscript"/>
              </w:rPr>
              <w:t>(2)</w:t>
            </w:r>
          </w:p>
        </w:tc>
        <w:tc>
          <w:tcPr>
            <w:tcW w:w="820" w:type="dxa"/>
            <w:vAlign w:val="bottom"/>
          </w:tcPr>
          <w:p>
            <w:pPr>
              <w:jc w:val="right"/>
              <w:spacing w:after="0"/>
              <w:rPr>
                <w:sz w:val="20"/>
                <w:szCs w:val="20"/>
                <w:color w:val="auto"/>
              </w:rPr>
            </w:pPr>
            <w:r>
              <w:rPr>
                <w:rFonts w:ascii="Arial" w:cs="Arial" w:eastAsia="Arial" w:hAnsi="Arial"/>
                <w:sz w:val="14"/>
                <w:szCs w:val="14"/>
                <w:color w:val="262626"/>
              </w:rPr>
              <w:t>35,034,926</w:t>
            </w: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rPr>
                <w:sz w:val="20"/>
                <w:szCs w:val="20"/>
                <w:color w:val="auto"/>
              </w:rPr>
            </w:pPr>
            <w:r>
              <w:rPr>
                <w:rFonts w:ascii="Arial" w:cs="Arial" w:eastAsia="Arial" w:hAnsi="Arial"/>
                <w:sz w:val="14"/>
                <w:szCs w:val="14"/>
                <w:color w:val="262626"/>
              </w:rPr>
              <w:t>President and</w:t>
            </w: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60" w:type="dxa"/>
            <w:vAlign w:val="bottom"/>
          </w:tcPr>
          <w:p>
            <w:pPr>
              <w:ind w:left="140"/>
              <w:spacing w:after="0"/>
              <w:rPr>
                <w:sz w:val="20"/>
                <w:szCs w:val="20"/>
                <w:color w:val="auto"/>
              </w:rPr>
            </w:pPr>
            <w:r>
              <w:rPr>
                <w:rFonts w:ascii="Arial" w:cs="Arial" w:eastAsia="Arial" w:hAnsi="Arial"/>
                <w:sz w:val="14"/>
                <w:szCs w:val="14"/>
                <w:color w:val="262626"/>
              </w:rPr>
              <w:t>Chief Executive Officer</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98425</wp:posOffset>
            </wp:positionV>
            <wp:extent cx="4343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207" w:lineRule="exact"/>
        <w:rPr>
          <w:sz w:val="20"/>
          <w:szCs w:val="20"/>
          <w:color w:val="auto"/>
        </w:rPr>
      </w:pPr>
    </w:p>
    <w:p>
      <w:pPr>
        <w:jc w:val="both"/>
        <w:ind w:left="1620" w:right="159" w:hanging="344"/>
        <w:spacing w:after="0" w:line="346" w:lineRule="auto"/>
        <w:tabs>
          <w:tab w:leader="none" w:pos="1620" w:val="left"/>
        </w:tabs>
        <w:numPr>
          <w:ilvl w:val="0"/>
          <w:numId w:val="29"/>
        </w:numPr>
        <w:rPr>
          <w:rFonts w:ascii="Arial" w:cs="Arial" w:eastAsia="Arial" w:hAnsi="Arial"/>
          <w:sz w:val="14"/>
          <w:szCs w:val="14"/>
          <w:color w:val="262626"/>
        </w:rPr>
      </w:pPr>
      <w:r>
        <w:rPr>
          <w:rFonts w:ascii="Arial" w:cs="Arial" w:eastAsia="Arial" w:hAnsi="Arial"/>
          <w:sz w:val="14"/>
          <w:szCs w:val="14"/>
          <w:color w:val="262626"/>
        </w:rPr>
        <w:t>Represents one-fifth of the grant date fair value of the 2023 Tan PSU Award calculated in accordance with ASC 718. The amount does not reflect compensation actually received by Mr. Tan or the actual value that may be recognized by Mr. Tan. For information on the valuation assumptions used in the calculations, see Note 2 to the Consolidated Financial Statements in our 2025 Annual Report.</w:t>
      </w:r>
    </w:p>
    <w:p>
      <w:pPr>
        <w:spacing w:after="0" w:line="243" w:lineRule="exact"/>
        <w:rPr>
          <w:rFonts w:ascii="Arial" w:cs="Arial" w:eastAsia="Arial" w:hAnsi="Arial"/>
          <w:sz w:val="14"/>
          <w:szCs w:val="14"/>
          <w:color w:val="262626"/>
        </w:rPr>
      </w:pPr>
    </w:p>
    <w:p>
      <w:pPr>
        <w:jc w:val="both"/>
        <w:ind w:left="1620" w:right="179" w:hanging="344"/>
        <w:spacing w:after="0" w:line="341" w:lineRule="auto"/>
        <w:tabs>
          <w:tab w:leader="none" w:pos="1620" w:val="left"/>
        </w:tabs>
        <w:numPr>
          <w:ilvl w:val="0"/>
          <w:numId w:val="29"/>
        </w:numPr>
        <w:rPr>
          <w:rFonts w:ascii="Arial" w:cs="Arial" w:eastAsia="Arial" w:hAnsi="Arial"/>
          <w:sz w:val="14"/>
          <w:szCs w:val="14"/>
          <w:color w:val="262626"/>
        </w:rPr>
      </w:pPr>
      <w:r>
        <w:rPr>
          <w:rFonts w:ascii="Arial" w:cs="Arial" w:eastAsia="Arial" w:hAnsi="Arial"/>
          <w:sz w:val="14"/>
          <w:szCs w:val="14"/>
          <w:color w:val="262626"/>
        </w:rPr>
        <w:t>Represents $12,906 for car service, $21,000 in 401(k) plan employer matching contribution and $1,693,020 in residential and personal security services. For more information, see “</w:t>
      </w:r>
      <w:r>
        <w:rPr>
          <w:rFonts w:ascii="Arial" w:cs="Arial" w:eastAsia="Arial" w:hAnsi="Arial"/>
          <w:sz w:val="14"/>
          <w:szCs w:val="14"/>
          <w:i w:val="1"/>
          <w:iCs w:val="1"/>
          <w:color w:val="262626"/>
        </w:rPr>
        <w:t>Compensation Discussion and Analysis</w:t>
      </w:r>
      <w:r>
        <w:rPr>
          <w:rFonts w:ascii="Arial" w:cs="Arial" w:eastAsia="Arial" w:hAnsi="Arial"/>
          <w:sz w:val="14"/>
          <w:szCs w:val="14"/>
          <w:color w:val="262626"/>
        </w:rPr>
        <w:t xml:space="preserve"> — </w:t>
      </w:r>
      <w:r>
        <w:rPr>
          <w:rFonts w:ascii="Arial" w:cs="Arial" w:eastAsia="Arial" w:hAnsi="Arial"/>
          <w:sz w:val="14"/>
          <w:szCs w:val="14"/>
          <w:i w:val="1"/>
          <w:iCs w:val="1"/>
          <w:color w:val="262626"/>
        </w:rPr>
        <w:t>Additional Compensation</w:t>
      </w:r>
      <w:r>
        <w:rPr>
          <w:rFonts w:ascii="Arial" w:cs="Arial" w:eastAsia="Arial" w:hAnsi="Arial"/>
          <w:sz w:val="14"/>
          <w:szCs w:val="14"/>
          <w:color w:val="262626"/>
        </w:rPr>
        <w:t xml:space="preserve"> </w:t>
      </w:r>
      <w:r>
        <w:rPr>
          <w:rFonts w:ascii="Arial" w:cs="Arial" w:eastAsia="Arial" w:hAnsi="Arial"/>
          <w:sz w:val="14"/>
          <w:szCs w:val="14"/>
          <w:i w:val="1"/>
          <w:iCs w:val="1"/>
          <w:color w:val="262626"/>
        </w:rPr>
        <w:t>Practices and Policies</w:t>
      </w:r>
      <w:r>
        <w:rPr>
          <w:rFonts w:ascii="Arial" w:cs="Arial" w:eastAsia="Arial" w:hAnsi="Arial"/>
          <w:sz w:val="14"/>
          <w:szCs w:val="14"/>
          <w:color w:val="262626"/>
        </w:rPr>
        <w:t>.”</w:t>
      </w:r>
    </w:p>
    <w:p>
      <w:pPr>
        <w:spacing w:after="0" w:line="71" w:lineRule="exact"/>
        <w:rPr>
          <w:sz w:val="20"/>
          <w:szCs w:val="20"/>
          <w:color w:val="auto"/>
        </w:rPr>
      </w:pPr>
    </w:p>
    <w:p>
      <w:pPr>
        <w:jc w:val="right"/>
        <w:ind w:right="159"/>
        <w:spacing w:after="0"/>
        <w:rPr>
          <w:sz w:val="20"/>
          <w:szCs w:val="20"/>
          <w:color w:val="auto"/>
        </w:rPr>
      </w:pPr>
      <w:r>
        <w:rPr>
          <w:rFonts w:ascii="Arial" w:cs="Arial" w:eastAsia="Arial" w:hAnsi="Arial"/>
          <w:sz w:val="15"/>
          <w:szCs w:val="15"/>
          <w:color w:val="262626"/>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FISCAL 2025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161925</wp:posOffset>
            </wp:positionV>
            <wp:extent cx="60337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3770" cy="8255"/>
                    </a:xfrm>
                    <a:prstGeom prst="rect">
                      <a:avLst/>
                    </a:prstGeom>
                    <a:noFill/>
                  </pic:spPr>
                </pic:pic>
              </a:graphicData>
            </a:graphic>
          </wp:anchor>
        </w:drawing>
      </w:r>
    </w:p>
    <w:p>
      <w:pPr>
        <w:spacing w:after="0" w:line="272"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jc w:val="center"/>
              <w:ind w:right="134"/>
              <w:spacing w:after="0"/>
              <w:rPr>
                <w:sz w:val="20"/>
                <w:szCs w:val="20"/>
                <w:color w:val="auto"/>
              </w:rPr>
            </w:pPr>
            <w:r>
              <w:rPr>
                <w:rFonts w:ascii="Arial" w:cs="Arial" w:eastAsia="Arial" w:hAnsi="Arial"/>
                <w:sz w:val="13"/>
                <w:szCs w:val="13"/>
                <w:b w:val="1"/>
                <w:bCs w:val="1"/>
                <w:color w:val="262626"/>
              </w:rPr>
              <w:t>All Other</w:t>
            </w:r>
          </w:p>
        </w:tc>
        <w:tc>
          <w:tcPr>
            <w:tcW w:w="1040" w:type="dxa"/>
            <w:vAlign w:val="bottom"/>
          </w:tcPr>
          <w:p>
            <w:pPr>
              <w:jc w:val="center"/>
              <w:ind w:right="133"/>
              <w:spacing w:after="0"/>
              <w:rPr>
                <w:sz w:val="20"/>
                <w:szCs w:val="20"/>
                <w:color w:val="auto"/>
              </w:rPr>
            </w:pPr>
            <w:r>
              <w:rPr>
                <w:rFonts w:ascii="Arial" w:cs="Arial" w:eastAsia="Arial" w:hAnsi="Arial"/>
                <w:sz w:val="13"/>
                <w:szCs w:val="13"/>
                <w:b w:val="1"/>
                <w:bCs w:val="1"/>
                <w:color w:val="262626"/>
              </w:rPr>
              <w:t>Grant</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4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262626"/>
              </w:rPr>
              <w:t>Estimated Future Payouts</w:t>
            </w:r>
          </w:p>
        </w:tc>
        <w:tc>
          <w:tcPr>
            <w:tcW w:w="2440" w:type="dxa"/>
            <w:vAlign w:val="bottom"/>
            <w:gridSpan w:val="3"/>
            <w:vMerge w:val="restart"/>
          </w:tcPr>
          <w:p>
            <w:pPr>
              <w:jc w:val="center"/>
              <w:ind w:right="73"/>
              <w:spacing w:after="0"/>
              <w:rPr>
                <w:sz w:val="20"/>
                <w:szCs w:val="20"/>
                <w:color w:val="auto"/>
              </w:rPr>
            </w:pPr>
            <w:r>
              <w:rPr>
                <w:rFonts w:ascii="Arial" w:cs="Arial" w:eastAsia="Arial" w:hAnsi="Arial"/>
                <w:sz w:val="13"/>
                <w:szCs w:val="13"/>
                <w:b w:val="1"/>
                <w:bCs w:val="1"/>
                <w:color w:val="262626"/>
              </w:rPr>
              <w:t>Estimated Future Payouts</w:t>
            </w:r>
          </w:p>
        </w:tc>
        <w:tc>
          <w:tcPr>
            <w:tcW w:w="960" w:type="dxa"/>
            <w:vAlign w:val="bottom"/>
          </w:tcPr>
          <w:p>
            <w:pPr>
              <w:jc w:val="center"/>
              <w:ind w:right="134"/>
              <w:spacing w:after="0" w:line="148" w:lineRule="exact"/>
              <w:rPr>
                <w:sz w:val="20"/>
                <w:szCs w:val="20"/>
                <w:color w:val="auto"/>
              </w:rPr>
            </w:pPr>
            <w:r>
              <w:rPr>
                <w:rFonts w:ascii="Arial" w:cs="Arial" w:eastAsia="Arial" w:hAnsi="Arial"/>
                <w:sz w:val="13"/>
                <w:szCs w:val="13"/>
                <w:b w:val="1"/>
                <w:bCs w:val="1"/>
                <w:color w:val="262626"/>
              </w:rPr>
              <w:t>Stock</w:t>
            </w:r>
          </w:p>
        </w:tc>
        <w:tc>
          <w:tcPr>
            <w:tcW w:w="1040" w:type="dxa"/>
            <w:vAlign w:val="bottom"/>
          </w:tcPr>
          <w:p>
            <w:pPr>
              <w:jc w:val="center"/>
              <w:ind w:right="153"/>
              <w:spacing w:after="0" w:line="148" w:lineRule="exact"/>
              <w:rPr>
                <w:sz w:val="20"/>
                <w:szCs w:val="20"/>
                <w:color w:val="auto"/>
              </w:rPr>
            </w:pPr>
            <w:r>
              <w:rPr>
                <w:rFonts w:ascii="Arial" w:cs="Arial" w:eastAsia="Arial" w:hAnsi="Arial"/>
                <w:sz w:val="13"/>
                <w:szCs w:val="13"/>
                <w:b w:val="1"/>
                <w:bCs w:val="1"/>
                <w:color w:val="262626"/>
              </w:rPr>
              <w:t>Date Fair</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40" w:type="dxa"/>
            <w:vAlign w:val="bottom"/>
            <w:gridSpan w:val="4"/>
            <w:vMerge w:val="continue"/>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960" w:type="dxa"/>
            <w:vAlign w:val="bottom"/>
            <w:vMerge w:val="restart"/>
          </w:tcPr>
          <w:p>
            <w:pPr>
              <w:jc w:val="center"/>
              <w:ind w:right="134"/>
              <w:spacing w:after="0"/>
              <w:rPr>
                <w:sz w:val="20"/>
                <w:szCs w:val="20"/>
                <w:color w:val="auto"/>
              </w:rPr>
            </w:pPr>
            <w:r>
              <w:rPr>
                <w:rFonts w:ascii="Arial" w:cs="Arial" w:eastAsia="Arial" w:hAnsi="Arial"/>
                <w:sz w:val="13"/>
                <w:szCs w:val="13"/>
                <w:b w:val="1"/>
                <w:bCs w:val="1"/>
                <w:color w:val="262626"/>
              </w:rPr>
              <w:t>Awards:</w:t>
            </w:r>
          </w:p>
        </w:tc>
        <w:tc>
          <w:tcPr>
            <w:tcW w:w="104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262626"/>
              </w:rPr>
              <w:t>Value of</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40" w:type="dxa"/>
            <w:vAlign w:val="bottom"/>
            <w:gridSpan w:val="4"/>
          </w:tcPr>
          <w:p>
            <w:pPr>
              <w:jc w:val="center"/>
              <w:ind w:right="160"/>
              <w:spacing w:after="0" w:line="136" w:lineRule="exact"/>
              <w:rPr>
                <w:sz w:val="20"/>
                <w:szCs w:val="20"/>
                <w:color w:val="auto"/>
              </w:rPr>
            </w:pPr>
            <w:r>
              <w:rPr>
                <w:rFonts w:ascii="Arial" w:cs="Arial" w:eastAsia="Arial" w:hAnsi="Arial"/>
                <w:sz w:val="13"/>
                <w:szCs w:val="13"/>
                <w:b w:val="1"/>
                <w:bCs w:val="1"/>
                <w:color w:val="262626"/>
              </w:rPr>
              <w:t>Under Non-Equity Incentive</w:t>
            </w:r>
          </w:p>
        </w:tc>
        <w:tc>
          <w:tcPr>
            <w:tcW w:w="2440" w:type="dxa"/>
            <w:vAlign w:val="bottom"/>
            <w:gridSpan w:val="3"/>
          </w:tcPr>
          <w:p>
            <w:pPr>
              <w:jc w:val="center"/>
              <w:ind w:right="73"/>
              <w:spacing w:after="0" w:line="136" w:lineRule="exact"/>
              <w:rPr>
                <w:sz w:val="20"/>
                <w:szCs w:val="20"/>
                <w:color w:val="auto"/>
              </w:rPr>
            </w:pPr>
            <w:r>
              <w:rPr>
                <w:rFonts w:ascii="Arial" w:cs="Arial" w:eastAsia="Arial" w:hAnsi="Arial"/>
                <w:sz w:val="13"/>
                <w:szCs w:val="13"/>
                <w:b w:val="1"/>
                <w:bCs w:val="1"/>
                <w:color w:val="262626"/>
              </w:rPr>
              <w:t>Under Equity Incentive Plan</w:t>
            </w: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40" w:type="dxa"/>
            <w:vAlign w:val="bottom"/>
            <w:gridSpan w:val="4"/>
          </w:tcPr>
          <w:p>
            <w:pPr>
              <w:jc w:val="center"/>
              <w:ind w:right="160"/>
              <w:spacing w:after="0" w:line="148" w:lineRule="exact"/>
              <w:rPr>
                <w:sz w:val="20"/>
                <w:szCs w:val="20"/>
                <w:color w:val="auto"/>
              </w:rPr>
            </w:pPr>
            <w:r>
              <w:rPr>
                <w:rFonts w:ascii="Arial" w:cs="Arial" w:eastAsia="Arial" w:hAnsi="Arial"/>
                <w:sz w:val="12"/>
                <w:szCs w:val="12"/>
                <w:b w:val="1"/>
                <w:bCs w:val="1"/>
                <w:color w:val="262626"/>
              </w:rPr>
              <w:t>Plan Awards</w:t>
            </w:r>
            <w:r>
              <w:rPr>
                <w:rFonts w:ascii="Arial" w:cs="Arial" w:eastAsia="Arial" w:hAnsi="Arial"/>
                <w:sz w:val="17"/>
                <w:szCs w:val="17"/>
                <w:b w:val="1"/>
                <w:bCs w:val="1"/>
                <w:color w:val="262626"/>
                <w:vertAlign w:val="superscript"/>
              </w:rPr>
              <w:t>(1)</w:t>
            </w:r>
          </w:p>
        </w:tc>
        <w:tc>
          <w:tcPr>
            <w:tcW w:w="840" w:type="dxa"/>
            <w:vAlign w:val="bottom"/>
          </w:tcPr>
          <w:p>
            <w:pPr>
              <w:spacing w:after="0"/>
              <w:rPr>
                <w:sz w:val="12"/>
                <w:szCs w:val="12"/>
                <w:color w:val="auto"/>
              </w:rPr>
            </w:pPr>
          </w:p>
        </w:tc>
        <w:tc>
          <w:tcPr>
            <w:tcW w:w="760" w:type="dxa"/>
            <w:vAlign w:val="bottom"/>
          </w:tcPr>
          <w:p>
            <w:pPr>
              <w:jc w:val="center"/>
              <w:ind w:right="54"/>
              <w:spacing w:after="0" w:line="148" w:lineRule="exact"/>
              <w:rPr>
                <w:sz w:val="20"/>
                <w:szCs w:val="20"/>
                <w:color w:val="auto"/>
              </w:rPr>
            </w:pPr>
            <w:r>
              <w:rPr>
                <w:rFonts w:ascii="Arial" w:cs="Arial" w:eastAsia="Arial" w:hAnsi="Arial"/>
                <w:sz w:val="12"/>
                <w:szCs w:val="12"/>
                <w:b w:val="1"/>
                <w:bCs w:val="1"/>
                <w:color w:val="262626"/>
              </w:rPr>
              <w:t>Awards</w:t>
            </w:r>
            <w:r>
              <w:rPr>
                <w:rFonts w:ascii="Arial" w:cs="Arial" w:eastAsia="Arial" w:hAnsi="Arial"/>
                <w:sz w:val="17"/>
                <w:szCs w:val="17"/>
                <w:b w:val="1"/>
                <w:bCs w:val="1"/>
                <w:color w:val="262626"/>
                <w:vertAlign w:val="superscript"/>
              </w:rPr>
              <w:t>(2)</w:t>
            </w:r>
          </w:p>
        </w:tc>
        <w:tc>
          <w:tcPr>
            <w:tcW w:w="840" w:type="dxa"/>
            <w:vAlign w:val="bottom"/>
          </w:tcPr>
          <w:p>
            <w:pPr>
              <w:spacing w:after="0"/>
              <w:rPr>
                <w:sz w:val="12"/>
                <w:szCs w:val="12"/>
                <w:color w:val="auto"/>
              </w:rPr>
            </w:pPr>
          </w:p>
        </w:tc>
        <w:tc>
          <w:tcPr>
            <w:tcW w:w="960" w:type="dxa"/>
            <w:vAlign w:val="bottom"/>
          </w:tcPr>
          <w:p>
            <w:pPr>
              <w:jc w:val="center"/>
              <w:ind w:right="154"/>
              <w:spacing w:after="0" w:line="148" w:lineRule="exact"/>
              <w:rPr>
                <w:sz w:val="20"/>
                <w:szCs w:val="20"/>
                <w:color w:val="auto"/>
              </w:rPr>
            </w:pPr>
            <w:r>
              <w:rPr>
                <w:rFonts w:ascii="Arial" w:cs="Arial" w:eastAsia="Arial" w:hAnsi="Arial"/>
                <w:sz w:val="13"/>
                <w:szCs w:val="13"/>
                <w:b w:val="1"/>
                <w:bCs w:val="1"/>
                <w:color w:val="262626"/>
              </w:rPr>
              <w:t>Number of</w:t>
            </w:r>
          </w:p>
        </w:tc>
        <w:tc>
          <w:tcPr>
            <w:tcW w:w="1040" w:type="dxa"/>
            <w:vAlign w:val="bottom"/>
          </w:tcPr>
          <w:p>
            <w:pPr>
              <w:jc w:val="center"/>
              <w:ind w:right="133"/>
              <w:spacing w:after="0" w:line="148" w:lineRule="exact"/>
              <w:rPr>
                <w:sz w:val="20"/>
                <w:szCs w:val="20"/>
                <w:color w:val="auto"/>
              </w:rPr>
            </w:pPr>
            <w:r>
              <w:rPr>
                <w:rFonts w:ascii="Arial" w:cs="Arial" w:eastAsia="Arial" w:hAnsi="Arial"/>
                <w:sz w:val="13"/>
                <w:szCs w:val="13"/>
                <w:b w:val="1"/>
                <w:bCs w:val="1"/>
                <w:color w:val="262626"/>
              </w:rPr>
              <w:t>Stock</w:t>
            </w:r>
          </w:p>
        </w:tc>
        <w:tc>
          <w:tcPr>
            <w:tcW w:w="0" w:type="dxa"/>
            <w:vAlign w:val="bottom"/>
          </w:tcPr>
          <w:p>
            <w:pPr>
              <w:spacing w:after="0"/>
              <w:rPr>
                <w:sz w:val="1"/>
                <w:szCs w:val="1"/>
                <w:color w:val="auto"/>
              </w:rPr>
            </w:pPr>
          </w:p>
        </w:tc>
      </w:tr>
      <w:tr>
        <w:trPr>
          <w:trHeight w:val="114"/>
        </w:trPr>
        <w:tc>
          <w:tcPr>
            <w:tcW w:w="1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Borders>
              <w:bottom w:val="single" w:sz="8" w:color="7F7F7F"/>
            </w:tcBorders>
          </w:tcPr>
          <w:p>
            <w:pPr>
              <w:spacing w:after="0"/>
              <w:rPr>
                <w:sz w:val="9"/>
                <w:szCs w:val="9"/>
                <w:color w:val="auto"/>
              </w:rPr>
            </w:pPr>
          </w:p>
        </w:tc>
        <w:tc>
          <w:tcPr>
            <w:tcW w:w="600" w:type="dxa"/>
            <w:vAlign w:val="bottom"/>
            <w:tcBorders>
              <w:bottom w:val="single" w:sz="8" w:color="7F7F7F"/>
            </w:tcBorders>
          </w:tcPr>
          <w:p>
            <w:pPr>
              <w:spacing w:after="0"/>
              <w:rPr>
                <w:sz w:val="9"/>
                <w:szCs w:val="9"/>
                <w:color w:val="auto"/>
              </w:rPr>
            </w:pPr>
          </w:p>
        </w:tc>
        <w:tc>
          <w:tcPr>
            <w:tcW w:w="720" w:type="dxa"/>
            <w:vAlign w:val="bottom"/>
            <w:tcBorders>
              <w:bottom w:val="single" w:sz="8" w:color="7F7F7F"/>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Borders>
              <w:bottom w:val="single" w:sz="8" w:color="7F7F7F"/>
            </w:tcBorders>
          </w:tcPr>
          <w:p>
            <w:pPr>
              <w:spacing w:after="0"/>
              <w:rPr>
                <w:sz w:val="9"/>
                <w:szCs w:val="9"/>
                <w:color w:val="auto"/>
              </w:rPr>
            </w:pPr>
          </w:p>
        </w:tc>
        <w:tc>
          <w:tcPr>
            <w:tcW w:w="760" w:type="dxa"/>
            <w:vAlign w:val="bottom"/>
            <w:tcBorders>
              <w:bottom w:val="single" w:sz="8" w:color="7F7F7F"/>
            </w:tcBorders>
          </w:tcPr>
          <w:p>
            <w:pPr>
              <w:spacing w:after="0"/>
              <w:rPr>
                <w:sz w:val="9"/>
                <w:szCs w:val="9"/>
                <w:color w:val="auto"/>
              </w:rPr>
            </w:pPr>
          </w:p>
        </w:tc>
        <w:tc>
          <w:tcPr>
            <w:tcW w:w="840" w:type="dxa"/>
            <w:vAlign w:val="bottom"/>
            <w:tcBorders>
              <w:bottom w:val="single" w:sz="8" w:color="7F7F7F"/>
            </w:tcBorders>
          </w:tcPr>
          <w:p>
            <w:pPr>
              <w:spacing w:after="0"/>
              <w:rPr>
                <w:sz w:val="9"/>
                <w:szCs w:val="9"/>
                <w:color w:val="auto"/>
              </w:rPr>
            </w:pPr>
          </w:p>
        </w:tc>
        <w:tc>
          <w:tcPr>
            <w:tcW w:w="960" w:type="dxa"/>
            <w:vAlign w:val="bottom"/>
          </w:tcPr>
          <w:p>
            <w:pPr>
              <w:jc w:val="center"/>
              <w:ind w:right="154"/>
              <w:spacing w:after="0" w:line="106" w:lineRule="exact"/>
              <w:rPr>
                <w:sz w:val="20"/>
                <w:szCs w:val="20"/>
                <w:color w:val="auto"/>
              </w:rPr>
            </w:pPr>
            <w:r>
              <w:rPr>
                <w:rFonts w:ascii="Arial" w:cs="Arial" w:eastAsia="Arial" w:hAnsi="Arial"/>
                <w:sz w:val="12"/>
                <w:szCs w:val="12"/>
                <w:b w:val="1"/>
                <w:bCs w:val="1"/>
                <w:color w:val="262626"/>
              </w:rPr>
              <w:t>Shares of</w:t>
            </w:r>
          </w:p>
        </w:tc>
        <w:tc>
          <w:tcPr>
            <w:tcW w:w="1040" w:type="dxa"/>
            <w:vAlign w:val="bottom"/>
          </w:tcPr>
          <w:p>
            <w:pPr>
              <w:jc w:val="center"/>
              <w:ind w:right="133"/>
              <w:spacing w:after="0" w:line="106" w:lineRule="exact"/>
              <w:rPr>
                <w:sz w:val="20"/>
                <w:szCs w:val="20"/>
                <w:color w:val="auto"/>
              </w:rPr>
            </w:pPr>
            <w:r>
              <w:rPr>
                <w:rFonts w:ascii="Arial" w:cs="Arial" w:eastAsia="Arial" w:hAnsi="Arial"/>
                <w:sz w:val="12"/>
                <w:szCs w:val="12"/>
                <w:b w:val="1"/>
                <w:bCs w:val="1"/>
                <w:color w:val="262626"/>
              </w:rPr>
              <w:t>and</w:t>
            </w:r>
          </w:p>
        </w:tc>
        <w:tc>
          <w:tcPr>
            <w:tcW w:w="0" w:type="dxa"/>
            <w:vAlign w:val="bottom"/>
          </w:tcPr>
          <w:p>
            <w:pPr>
              <w:spacing w:after="0"/>
              <w:rPr>
                <w:sz w:val="1"/>
                <w:szCs w:val="1"/>
                <w:color w:val="auto"/>
              </w:rPr>
            </w:pPr>
          </w:p>
        </w:tc>
      </w:tr>
      <w:tr>
        <w:trPr>
          <w:trHeight w:val="120"/>
        </w:trPr>
        <w:tc>
          <w:tcPr>
            <w:tcW w:w="1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jc w:val="center"/>
              <w:ind w:right="154"/>
              <w:spacing w:after="0" w:line="119" w:lineRule="exact"/>
              <w:rPr>
                <w:sz w:val="20"/>
                <w:szCs w:val="20"/>
                <w:color w:val="auto"/>
              </w:rPr>
            </w:pPr>
            <w:r>
              <w:rPr>
                <w:rFonts w:ascii="Arial" w:cs="Arial" w:eastAsia="Arial" w:hAnsi="Arial"/>
                <w:sz w:val="13"/>
                <w:szCs w:val="13"/>
                <w:b w:val="1"/>
                <w:bCs w:val="1"/>
                <w:color w:val="262626"/>
              </w:rPr>
              <w:t>Stock or</w:t>
            </w:r>
          </w:p>
        </w:tc>
        <w:tc>
          <w:tcPr>
            <w:tcW w:w="1040" w:type="dxa"/>
            <w:vAlign w:val="bottom"/>
          </w:tcPr>
          <w:p>
            <w:pPr>
              <w:jc w:val="center"/>
              <w:ind w:right="153"/>
              <w:spacing w:after="0" w:line="119" w:lineRule="exact"/>
              <w:rPr>
                <w:sz w:val="20"/>
                <w:szCs w:val="20"/>
                <w:color w:val="auto"/>
              </w:rPr>
            </w:pPr>
            <w:r>
              <w:rPr>
                <w:rFonts w:ascii="Arial" w:cs="Arial" w:eastAsia="Arial" w:hAnsi="Arial"/>
                <w:sz w:val="13"/>
                <w:szCs w:val="13"/>
                <w:b w:val="1"/>
                <w:bCs w:val="1"/>
                <w:color w:val="262626"/>
              </w:rPr>
              <w:t>Option</w:t>
            </w:r>
          </w:p>
        </w:tc>
        <w:tc>
          <w:tcPr>
            <w:tcW w:w="0" w:type="dxa"/>
            <w:vAlign w:val="bottom"/>
          </w:tcPr>
          <w:p>
            <w:pPr>
              <w:spacing w:after="0"/>
              <w:rPr>
                <w:sz w:val="1"/>
                <w:szCs w:val="1"/>
                <w:color w:val="auto"/>
              </w:rPr>
            </w:pPr>
          </w:p>
        </w:tc>
      </w:tr>
      <w:tr>
        <w:trPr>
          <w:trHeight w:val="162"/>
        </w:trPr>
        <w:tc>
          <w:tcPr>
            <w:tcW w:w="1240" w:type="dxa"/>
            <w:vAlign w:val="bottom"/>
            <w:vMerge w:val="restart"/>
          </w:tcPr>
          <w:p>
            <w:pPr>
              <w:spacing w:after="0"/>
              <w:rPr>
                <w:sz w:val="20"/>
                <w:szCs w:val="20"/>
                <w:color w:val="auto"/>
              </w:rPr>
            </w:pPr>
            <w:r>
              <w:rPr>
                <w:rFonts w:ascii="Arial" w:cs="Arial" w:eastAsia="Arial" w:hAnsi="Arial"/>
                <w:sz w:val="13"/>
                <w:szCs w:val="13"/>
                <w:b w:val="1"/>
                <w:bCs w:val="1"/>
                <w:color w:val="262626"/>
              </w:rPr>
              <w:t>Name</w:t>
            </w:r>
          </w:p>
        </w:tc>
        <w:tc>
          <w:tcPr>
            <w:tcW w:w="800" w:type="dxa"/>
            <w:vAlign w:val="bottom"/>
          </w:tcPr>
          <w:p>
            <w:pPr>
              <w:ind w:left="260"/>
              <w:spacing w:after="0"/>
              <w:rPr>
                <w:sz w:val="20"/>
                <w:szCs w:val="20"/>
                <w:color w:val="auto"/>
              </w:rPr>
            </w:pPr>
            <w:r>
              <w:rPr>
                <w:rFonts w:ascii="Arial" w:cs="Arial" w:eastAsia="Arial" w:hAnsi="Arial"/>
                <w:sz w:val="13"/>
                <w:szCs w:val="13"/>
                <w:b w:val="1"/>
                <w:bCs w:val="1"/>
                <w:color w:val="262626"/>
              </w:rPr>
              <w:t>Grant</w:t>
            </w:r>
          </w:p>
        </w:tc>
        <w:tc>
          <w:tcPr>
            <w:tcW w:w="780" w:type="dxa"/>
            <w:vAlign w:val="bottom"/>
          </w:tcPr>
          <w:p>
            <w:pPr>
              <w:jc w:val="right"/>
              <w:ind w:right="113"/>
              <w:spacing w:after="0"/>
              <w:rPr>
                <w:sz w:val="20"/>
                <w:szCs w:val="20"/>
                <w:color w:val="auto"/>
              </w:rPr>
            </w:pPr>
            <w:r>
              <w:rPr>
                <w:rFonts w:ascii="Arial" w:cs="Arial" w:eastAsia="Arial" w:hAnsi="Arial"/>
                <w:sz w:val="13"/>
                <w:szCs w:val="13"/>
                <w:b w:val="1"/>
                <w:bCs w:val="1"/>
                <w:color w:val="262626"/>
              </w:rPr>
              <w:t>Approval</w:t>
            </w:r>
          </w:p>
        </w:tc>
        <w:tc>
          <w:tcPr>
            <w:tcW w:w="760" w:type="dxa"/>
            <w:vAlign w:val="bottom"/>
          </w:tcPr>
          <w:p>
            <w:pPr>
              <w:ind w:left="40"/>
              <w:spacing w:after="0"/>
              <w:rPr>
                <w:sz w:val="20"/>
                <w:szCs w:val="20"/>
                <w:color w:val="auto"/>
              </w:rPr>
            </w:pPr>
            <w:r>
              <w:rPr>
                <w:rFonts w:ascii="Arial" w:cs="Arial" w:eastAsia="Arial" w:hAnsi="Arial"/>
                <w:sz w:val="13"/>
                <w:szCs w:val="13"/>
                <w:b w:val="1"/>
                <w:bCs w:val="1"/>
                <w:color w:val="262626"/>
              </w:rPr>
              <w:t>Threshold</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262626"/>
              </w:rPr>
              <w:t>Target</w:t>
            </w: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262626"/>
              </w:rPr>
              <w:t>Maximum</w:t>
            </w:r>
          </w:p>
        </w:tc>
        <w:tc>
          <w:tcPr>
            <w:tcW w:w="840" w:type="dxa"/>
            <w:vAlign w:val="bottom"/>
          </w:tcPr>
          <w:p>
            <w:pPr>
              <w:jc w:val="right"/>
              <w:ind w:right="93"/>
              <w:spacing w:after="0"/>
              <w:rPr>
                <w:sz w:val="20"/>
                <w:szCs w:val="20"/>
                <w:color w:val="auto"/>
              </w:rPr>
            </w:pPr>
            <w:r>
              <w:rPr>
                <w:rFonts w:ascii="Arial" w:cs="Arial" w:eastAsia="Arial" w:hAnsi="Arial"/>
                <w:sz w:val="13"/>
                <w:szCs w:val="13"/>
                <w:b w:val="1"/>
                <w:bCs w:val="1"/>
                <w:color w:val="262626"/>
              </w:rPr>
              <w:t>Threshold</w:t>
            </w:r>
          </w:p>
        </w:tc>
        <w:tc>
          <w:tcPr>
            <w:tcW w:w="760" w:type="dxa"/>
            <w:vAlign w:val="bottom"/>
          </w:tcPr>
          <w:p>
            <w:pPr>
              <w:jc w:val="center"/>
              <w:ind w:right="54"/>
              <w:spacing w:after="0"/>
              <w:rPr>
                <w:sz w:val="20"/>
                <w:szCs w:val="20"/>
                <w:color w:val="auto"/>
              </w:rPr>
            </w:pPr>
            <w:r>
              <w:rPr>
                <w:rFonts w:ascii="Arial" w:cs="Arial" w:eastAsia="Arial" w:hAnsi="Arial"/>
                <w:sz w:val="13"/>
                <w:szCs w:val="13"/>
                <w:b w:val="1"/>
                <w:bCs w:val="1"/>
                <w:color w:val="262626"/>
              </w:rPr>
              <w:t>Target</w:t>
            </w:r>
          </w:p>
        </w:tc>
        <w:tc>
          <w:tcPr>
            <w:tcW w:w="840" w:type="dxa"/>
            <w:vAlign w:val="bottom"/>
          </w:tcPr>
          <w:p>
            <w:pPr>
              <w:jc w:val="right"/>
              <w:ind w:right="113"/>
              <w:spacing w:after="0"/>
              <w:rPr>
                <w:sz w:val="20"/>
                <w:szCs w:val="20"/>
                <w:color w:val="auto"/>
              </w:rPr>
            </w:pPr>
            <w:r>
              <w:rPr>
                <w:rFonts w:ascii="Arial" w:cs="Arial" w:eastAsia="Arial" w:hAnsi="Arial"/>
                <w:sz w:val="13"/>
                <w:szCs w:val="13"/>
                <w:b w:val="1"/>
                <w:bCs w:val="1"/>
                <w:color w:val="262626"/>
              </w:rPr>
              <w:t>Maximum</w:t>
            </w:r>
          </w:p>
        </w:tc>
        <w:tc>
          <w:tcPr>
            <w:tcW w:w="960" w:type="dxa"/>
            <w:vAlign w:val="bottom"/>
          </w:tcPr>
          <w:p>
            <w:pPr>
              <w:jc w:val="center"/>
              <w:ind w:right="154"/>
              <w:spacing w:after="0" w:line="163" w:lineRule="exact"/>
              <w:rPr>
                <w:sz w:val="20"/>
                <w:szCs w:val="20"/>
                <w:color w:val="auto"/>
              </w:rPr>
            </w:pPr>
            <w:r>
              <w:rPr>
                <w:rFonts w:ascii="Arial" w:cs="Arial" w:eastAsia="Arial" w:hAnsi="Arial"/>
                <w:sz w:val="12"/>
                <w:szCs w:val="12"/>
                <w:b w:val="1"/>
                <w:bCs w:val="1"/>
                <w:color w:val="262626"/>
              </w:rPr>
              <w:t>Units</w:t>
            </w:r>
            <w:r>
              <w:rPr>
                <w:rFonts w:ascii="Arial" w:cs="Arial" w:eastAsia="Arial" w:hAnsi="Arial"/>
                <w:sz w:val="18"/>
                <w:szCs w:val="18"/>
                <w:b w:val="1"/>
                <w:bCs w:val="1"/>
                <w:color w:val="262626"/>
                <w:vertAlign w:val="superscript"/>
              </w:rPr>
              <w:t>(2)</w:t>
            </w:r>
          </w:p>
        </w:tc>
        <w:tc>
          <w:tcPr>
            <w:tcW w:w="1040" w:type="dxa"/>
            <w:vAlign w:val="bottom"/>
          </w:tcPr>
          <w:p>
            <w:pPr>
              <w:jc w:val="center"/>
              <w:ind w:right="133"/>
              <w:spacing w:after="0" w:line="163" w:lineRule="exact"/>
              <w:rPr>
                <w:sz w:val="20"/>
                <w:szCs w:val="20"/>
                <w:color w:val="auto"/>
              </w:rPr>
            </w:pPr>
            <w:r>
              <w:rPr>
                <w:rFonts w:ascii="Arial" w:cs="Arial" w:eastAsia="Arial" w:hAnsi="Arial"/>
                <w:sz w:val="12"/>
                <w:szCs w:val="12"/>
                <w:b w:val="1"/>
                <w:bCs w:val="1"/>
                <w:color w:val="262626"/>
              </w:rPr>
              <w:t>Awards</w:t>
            </w:r>
            <w:r>
              <w:rPr>
                <w:rFonts w:ascii="Arial" w:cs="Arial" w:eastAsia="Arial" w:hAnsi="Arial"/>
                <w:sz w:val="18"/>
                <w:szCs w:val="18"/>
                <w:b w:val="1"/>
                <w:bCs w:val="1"/>
                <w:color w:val="262626"/>
                <w:vertAlign w:val="superscript"/>
              </w:rPr>
              <w:t>(3)</w:t>
            </w:r>
          </w:p>
        </w:tc>
        <w:tc>
          <w:tcPr>
            <w:tcW w:w="0" w:type="dxa"/>
            <w:vAlign w:val="bottom"/>
          </w:tcPr>
          <w:p>
            <w:pPr>
              <w:spacing w:after="0"/>
              <w:rPr>
                <w:sz w:val="1"/>
                <w:szCs w:val="1"/>
                <w:color w:val="auto"/>
              </w:rPr>
            </w:pPr>
          </w:p>
        </w:tc>
      </w:tr>
      <w:tr>
        <w:trPr>
          <w:trHeight w:val="198"/>
        </w:trPr>
        <w:tc>
          <w:tcPr>
            <w:tcW w:w="1240" w:type="dxa"/>
            <w:vAlign w:val="bottom"/>
            <w:vMerge w:val="continue"/>
          </w:tcPr>
          <w:p>
            <w:pPr>
              <w:spacing w:after="0"/>
              <w:rPr>
                <w:sz w:val="17"/>
                <w:szCs w:val="17"/>
                <w:color w:val="auto"/>
              </w:rPr>
            </w:pPr>
          </w:p>
        </w:tc>
        <w:tc>
          <w:tcPr>
            <w:tcW w:w="800" w:type="dxa"/>
            <w:vAlign w:val="bottom"/>
          </w:tcPr>
          <w:p>
            <w:pPr>
              <w:ind w:left="300"/>
              <w:spacing w:after="0"/>
              <w:rPr>
                <w:sz w:val="20"/>
                <w:szCs w:val="20"/>
                <w:color w:val="auto"/>
              </w:rPr>
            </w:pPr>
            <w:r>
              <w:rPr>
                <w:rFonts w:ascii="Arial" w:cs="Arial" w:eastAsia="Arial" w:hAnsi="Arial"/>
                <w:sz w:val="13"/>
                <w:szCs w:val="13"/>
                <w:b w:val="1"/>
                <w:bCs w:val="1"/>
                <w:color w:val="262626"/>
              </w:rPr>
              <w:t>Date</w:t>
            </w:r>
          </w:p>
        </w:tc>
        <w:tc>
          <w:tcPr>
            <w:tcW w:w="780" w:type="dxa"/>
            <w:vAlign w:val="bottom"/>
          </w:tcPr>
          <w:p>
            <w:pPr>
              <w:jc w:val="right"/>
              <w:ind w:right="253"/>
              <w:spacing w:after="0"/>
              <w:rPr>
                <w:sz w:val="20"/>
                <w:szCs w:val="20"/>
                <w:color w:val="auto"/>
              </w:rPr>
            </w:pPr>
            <w:r>
              <w:rPr>
                <w:rFonts w:ascii="Arial" w:cs="Arial" w:eastAsia="Arial" w:hAnsi="Arial"/>
                <w:sz w:val="13"/>
                <w:szCs w:val="13"/>
                <w:b w:val="1"/>
                <w:bCs w:val="1"/>
                <w:color w:val="262626"/>
              </w:rPr>
              <w:t>Date</w:t>
            </w:r>
          </w:p>
        </w:tc>
        <w:tc>
          <w:tcPr>
            <w:tcW w:w="760" w:type="dxa"/>
            <w:vAlign w:val="bottom"/>
          </w:tcPr>
          <w:p>
            <w:pPr>
              <w:ind w:left="280"/>
              <w:spacing w:after="0"/>
              <w:rPr>
                <w:sz w:val="20"/>
                <w:szCs w:val="20"/>
                <w:color w:val="auto"/>
              </w:rPr>
            </w:pPr>
            <w:r>
              <w:rPr>
                <w:rFonts w:ascii="Arial" w:cs="Arial" w:eastAsia="Arial" w:hAnsi="Arial"/>
                <w:sz w:val="13"/>
                <w:szCs w:val="13"/>
                <w:b w:val="1"/>
                <w:bCs w:val="1"/>
                <w:color w:val="262626"/>
              </w:rPr>
              <w: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262626"/>
              </w:rPr>
              <w:t>($)</w:t>
            </w:r>
          </w:p>
        </w:tc>
        <w:tc>
          <w:tcPr>
            <w:tcW w:w="720" w:type="dxa"/>
            <w:vAlign w:val="bottom"/>
          </w:tcPr>
          <w:p>
            <w:pPr>
              <w:jc w:val="right"/>
              <w:ind w:right="213"/>
              <w:spacing w:after="0"/>
              <w:rPr>
                <w:sz w:val="20"/>
                <w:szCs w:val="20"/>
                <w:color w:val="auto"/>
              </w:rPr>
            </w:pPr>
            <w:r>
              <w:rPr>
                <w:rFonts w:ascii="Arial" w:cs="Arial" w:eastAsia="Arial" w:hAnsi="Arial"/>
                <w:sz w:val="13"/>
                <w:szCs w:val="13"/>
                <w:b w:val="1"/>
                <w:bCs w:val="1"/>
                <w:color w:val="262626"/>
              </w:rPr>
              <w:t>($)</w:t>
            </w:r>
          </w:p>
        </w:tc>
        <w:tc>
          <w:tcPr>
            <w:tcW w:w="160" w:type="dxa"/>
            <w:vAlign w:val="bottom"/>
          </w:tcPr>
          <w:p>
            <w:pPr>
              <w:spacing w:after="0"/>
              <w:rPr>
                <w:sz w:val="17"/>
                <w:szCs w:val="17"/>
                <w:color w:val="auto"/>
              </w:rPr>
            </w:pPr>
          </w:p>
        </w:tc>
        <w:tc>
          <w:tcPr>
            <w:tcW w:w="840" w:type="dxa"/>
            <w:vAlign w:val="bottom"/>
          </w:tcPr>
          <w:p>
            <w:pPr>
              <w:jc w:val="right"/>
              <w:ind w:right="333"/>
              <w:spacing w:after="0"/>
              <w:rPr>
                <w:sz w:val="20"/>
                <w:szCs w:val="20"/>
                <w:color w:val="auto"/>
              </w:rPr>
            </w:pPr>
            <w:r>
              <w:rPr>
                <w:rFonts w:ascii="Arial" w:cs="Arial" w:eastAsia="Arial" w:hAnsi="Arial"/>
                <w:sz w:val="13"/>
                <w:szCs w:val="13"/>
                <w:b w:val="1"/>
                <w:bCs w:val="1"/>
                <w:color w:val="262626"/>
              </w:rPr>
              <w:t>(#)</w:t>
            </w:r>
          </w:p>
        </w:tc>
        <w:tc>
          <w:tcPr>
            <w:tcW w:w="760" w:type="dxa"/>
            <w:vAlign w:val="bottom"/>
          </w:tcPr>
          <w:p>
            <w:pPr>
              <w:jc w:val="center"/>
              <w:ind w:right="54"/>
              <w:spacing w:after="0"/>
              <w:rPr>
                <w:sz w:val="20"/>
                <w:szCs w:val="20"/>
                <w:color w:val="auto"/>
              </w:rPr>
            </w:pPr>
            <w:r>
              <w:rPr>
                <w:rFonts w:ascii="Arial" w:cs="Arial" w:eastAsia="Arial" w:hAnsi="Arial"/>
                <w:sz w:val="13"/>
                <w:szCs w:val="13"/>
                <w:b w:val="1"/>
                <w:bCs w:val="1"/>
                <w:color w:val="262626"/>
              </w:rPr>
              <w:t>(#)</w:t>
            </w:r>
          </w:p>
        </w:tc>
        <w:tc>
          <w:tcPr>
            <w:tcW w:w="840" w:type="dxa"/>
            <w:vAlign w:val="bottom"/>
          </w:tcPr>
          <w:p>
            <w:pPr>
              <w:jc w:val="right"/>
              <w:ind w:right="333"/>
              <w:spacing w:after="0"/>
              <w:rPr>
                <w:sz w:val="20"/>
                <w:szCs w:val="20"/>
                <w:color w:val="auto"/>
              </w:rPr>
            </w:pPr>
            <w:r>
              <w:rPr>
                <w:rFonts w:ascii="Arial" w:cs="Arial" w:eastAsia="Arial" w:hAnsi="Arial"/>
                <w:sz w:val="13"/>
                <w:szCs w:val="13"/>
                <w:b w:val="1"/>
                <w:bCs w:val="1"/>
                <w:color w:val="262626"/>
              </w:rPr>
              <w:t>(#)</w:t>
            </w:r>
          </w:p>
        </w:tc>
        <w:tc>
          <w:tcPr>
            <w:tcW w:w="960" w:type="dxa"/>
            <w:vAlign w:val="bottom"/>
          </w:tcPr>
          <w:p>
            <w:pPr>
              <w:jc w:val="center"/>
              <w:ind w:right="134"/>
              <w:spacing w:after="0"/>
              <w:rPr>
                <w:sz w:val="20"/>
                <w:szCs w:val="20"/>
                <w:color w:val="auto"/>
              </w:rPr>
            </w:pPr>
            <w:r>
              <w:rPr>
                <w:rFonts w:ascii="Arial" w:cs="Arial" w:eastAsia="Arial" w:hAnsi="Arial"/>
                <w:sz w:val="13"/>
                <w:szCs w:val="13"/>
                <w:b w:val="1"/>
                <w:bCs w:val="1"/>
                <w:color w:val="262626"/>
              </w:rPr>
              <w:t>(#)</w:t>
            </w:r>
          </w:p>
        </w:tc>
        <w:tc>
          <w:tcPr>
            <w:tcW w:w="1040" w:type="dxa"/>
            <w:vAlign w:val="bottom"/>
          </w:tcPr>
          <w:p>
            <w:pPr>
              <w:jc w:val="center"/>
              <w:ind w:right="133"/>
              <w:spacing w:after="0"/>
              <w:rPr>
                <w:sz w:val="20"/>
                <w:szCs w:val="20"/>
                <w:color w:val="auto"/>
              </w:rPr>
            </w:pPr>
            <w:r>
              <w:rPr>
                <w:rFonts w:ascii="Arial" w:cs="Arial" w:eastAsia="Arial" w:hAnsi="Arial"/>
                <w:sz w:val="13"/>
                <w:szCs w:val="13"/>
                <w:b w:val="1"/>
                <w:bCs w:val="1"/>
                <w:color w:val="262626"/>
              </w:rPr>
              <w:t>($)</w:t>
            </w:r>
          </w:p>
        </w:tc>
        <w:tc>
          <w:tcPr>
            <w:tcW w:w="0" w:type="dxa"/>
            <w:vAlign w:val="bottom"/>
          </w:tcPr>
          <w:p>
            <w:pPr>
              <w:spacing w:after="0"/>
              <w:rPr>
                <w:sz w:val="1"/>
                <w:szCs w:val="1"/>
                <w:color w:val="auto"/>
              </w:rPr>
            </w:pPr>
          </w:p>
        </w:tc>
      </w:tr>
      <w:tr>
        <w:trPr>
          <w:trHeight w:val="44"/>
        </w:trPr>
        <w:tc>
          <w:tcPr>
            <w:tcW w:w="1240" w:type="dxa"/>
            <w:vAlign w:val="bottom"/>
            <w:tcBorders>
              <w:bottom w:val="single" w:sz="8" w:color="CF0A2C"/>
            </w:tcBorders>
          </w:tcPr>
          <w:p>
            <w:pPr>
              <w:spacing w:after="0"/>
              <w:rPr>
                <w:sz w:val="3"/>
                <w:szCs w:val="3"/>
                <w:color w:val="auto"/>
              </w:rPr>
            </w:pPr>
          </w:p>
        </w:tc>
        <w:tc>
          <w:tcPr>
            <w:tcW w:w="800" w:type="dxa"/>
            <w:vAlign w:val="bottom"/>
            <w:tcBorders>
              <w:bottom w:val="single" w:sz="8" w:color="CF0A2C"/>
            </w:tcBorders>
          </w:tcPr>
          <w:p>
            <w:pPr>
              <w:spacing w:after="0"/>
              <w:rPr>
                <w:sz w:val="3"/>
                <w:szCs w:val="3"/>
                <w:color w:val="auto"/>
              </w:rPr>
            </w:pPr>
          </w:p>
        </w:tc>
        <w:tc>
          <w:tcPr>
            <w:tcW w:w="780" w:type="dxa"/>
            <w:vAlign w:val="bottom"/>
            <w:tcBorders>
              <w:bottom w:val="single" w:sz="8" w:color="CF0A2C"/>
            </w:tcBorders>
          </w:tcPr>
          <w:p>
            <w:pPr>
              <w:spacing w:after="0"/>
              <w:rPr>
                <w:sz w:val="3"/>
                <w:szCs w:val="3"/>
                <w:color w:val="auto"/>
              </w:rPr>
            </w:pPr>
          </w:p>
        </w:tc>
        <w:tc>
          <w:tcPr>
            <w:tcW w:w="760" w:type="dxa"/>
            <w:vAlign w:val="bottom"/>
            <w:tcBorders>
              <w:bottom w:val="single" w:sz="8" w:color="CF0A2C"/>
            </w:tcBorders>
          </w:tcPr>
          <w:p>
            <w:pPr>
              <w:spacing w:after="0"/>
              <w:rPr>
                <w:sz w:val="3"/>
                <w:szCs w:val="3"/>
                <w:color w:val="auto"/>
              </w:rPr>
            </w:pPr>
          </w:p>
        </w:tc>
        <w:tc>
          <w:tcPr>
            <w:tcW w:w="600" w:type="dxa"/>
            <w:vAlign w:val="bottom"/>
            <w:tcBorders>
              <w:bottom w:val="single" w:sz="8" w:color="CF0A2C"/>
            </w:tcBorders>
          </w:tcPr>
          <w:p>
            <w:pPr>
              <w:spacing w:after="0"/>
              <w:rPr>
                <w:sz w:val="3"/>
                <w:szCs w:val="3"/>
                <w:color w:val="auto"/>
              </w:rPr>
            </w:pPr>
          </w:p>
        </w:tc>
        <w:tc>
          <w:tcPr>
            <w:tcW w:w="720" w:type="dxa"/>
            <w:vAlign w:val="bottom"/>
            <w:tcBorders>
              <w:bottom w:val="single" w:sz="8" w:color="CF0A2C"/>
            </w:tcBorders>
          </w:tcPr>
          <w:p>
            <w:pPr>
              <w:spacing w:after="0"/>
              <w:rPr>
                <w:sz w:val="3"/>
                <w:szCs w:val="3"/>
                <w:color w:val="auto"/>
              </w:rPr>
            </w:pPr>
          </w:p>
        </w:tc>
        <w:tc>
          <w:tcPr>
            <w:tcW w:w="160" w:type="dxa"/>
            <w:vAlign w:val="bottom"/>
            <w:tcBorders>
              <w:bottom w:val="single" w:sz="8" w:color="CF0A2C"/>
            </w:tcBorders>
          </w:tcPr>
          <w:p>
            <w:pPr>
              <w:spacing w:after="0"/>
              <w:rPr>
                <w:sz w:val="3"/>
                <w:szCs w:val="3"/>
                <w:color w:val="auto"/>
              </w:rPr>
            </w:pPr>
          </w:p>
        </w:tc>
        <w:tc>
          <w:tcPr>
            <w:tcW w:w="840" w:type="dxa"/>
            <w:vAlign w:val="bottom"/>
            <w:tcBorders>
              <w:bottom w:val="single" w:sz="8" w:color="CF0A2C"/>
            </w:tcBorders>
          </w:tcPr>
          <w:p>
            <w:pPr>
              <w:spacing w:after="0"/>
              <w:rPr>
                <w:sz w:val="3"/>
                <w:szCs w:val="3"/>
                <w:color w:val="auto"/>
              </w:rPr>
            </w:pPr>
          </w:p>
        </w:tc>
        <w:tc>
          <w:tcPr>
            <w:tcW w:w="760" w:type="dxa"/>
            <w:vAlign w:val="bottom"/>
            <w:tcBorders>
              <w:bottom w:val="single" w:sz="8" w:color="CF0A2C"/>
            </w:tcBorders>
          </w:tcPr>
          <w:p>
            <w:pPr>
              <w:spacing w:after="0"/>
              <w:rPr>
                <w:sz w:val="3"/>
                <w:szCs w:val="3"/>
                <w:color w:val="auto"/>
              </w:rPr>
            </w:pPr>
          </w:p>
        </w:tc>
        <w:tc>
          <w:tcPr>
            <w:tcW w:w="840" w:type="dxa"/>
            <w:vAlign w:val="bottom"/>
            <w:tcBorders>
              <w:bottom w:val="single" w:sz="8" w:color="CF0A2C"/>
            </w:tcBorders>
          </w:tcPr>
          <w:p>
            <w:pPr>
              <w:spacing w:after="0"/>
              <w:rPr>
                <w:sz w:val="3"/>
                <w:szCs w:val="3"/>
                <w:color w:val="auto"/>
              </w:rPr>
            </w:pPr>
          </w:p>
        </w:tc>
        <w:tc>
          <w:tcPr>
            <w:tcW w:w="960" w:type="dxa"/>
            <w:vAlign w:val="bottom"/>
            <w:tcBorders>
              <w:bottom w:val="single" w:sz="8" w:color="CF0A2C"/>
            </w:tcBorders>
          </w:tcPr>
          <w:p>
            <w:pPr>
              <w:spacing w:after="0"/>
              <w:rPr>
                <w:sz w:val="3"/>
                <w:szCs w:val="3"/>
                <w:color w:val="auto"/>
              </w:rPr>
            </w:pPr>
          </w:p>
        </w:tc>
        <w:tc>
          <w:tcPr>
            <w:tcW w:w="1040" w:type="dxa"/>
            <w:vAlign w:val="bottom"/>
            <w:tcBorders>
              <w:bottom w:val="single" w:sz="8" w:color="CF0A2C"/>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3"/>
                <w:szCs w:val="13"/>
                <w:color w:val="262626"/>
              </w:rPr>
              <w:t>Hock E. Tan</w:t>
            </w:r>
          </w:p>
        </w:tc>
        <w:tc>
          <w:tcPr>
            <w:tcW w:w="800" w:type="dxa"/>
            <w:vAlign w:val="bottom"/>
          </w:tcPr>
          <w:p>
            <w:pPr>
              <w:ind w:left="100"/>
              <w:spacing w:after="0"/>
              <w:rPr>
                <w:sz w:val="20"/>
                <w:szCs w:val="20"/>
                <w:color w:val="auto"/>
              </w:rPr>
            </w:pPr>
            <w:r>
              <w:rPr>
                <w:rFonts w:ascii="Arial" w:cs="Arial" w:eastAsia="Arial" w:hAnsi="Arial"/>
                <w:sz w:val="13"/>
                <w:szCs w:val="13"/>
                <w:color w:val="262626"/>
              </w:rPr>
              <w:t>APB Plan</w:t>
            </w: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1240" w:type="dxa"/>
            <w:vAlign w:val="bottom"/>
            <w:tcBorders>
              <w:bottom w:val="single" w:sz="8" w:color="CF0A2C"/>
            </w:tcBorders>
          </w:tcPr>
          <w:p>
            <w:pPr>
              <w:spacing w:after="0"/>
              <w:rPr>
                <w:sz w:val="24"/>
                <w:szCs w:val="24"/>
                <w:color w:val="auto"/>
              </w:rPr>
            </w:pPr>
          </w:p>
        </w:tc>
        <w:tc>
          <w:tcPr>
            <w:tcW w:w="800" w:type="dxa"/>
            <w:vAlign w:val="bottom"/>
            <w:tcBorders>
              <w:bottom w:val="single" w:sz="8" w:color="CF0A2C"/>
            </w:tcBorders>
          </w:tcPr>
          <w:p>
            <w:pPr>
              <w:ind w:left="100"/>
              <w:spacing w:after="0"/>
              <w:rPr>
                <w:sz w:val="20"/>
                <w:szCs w:val="20"/>
                <w:color w:val="auto"/>
              </w:rPr>
            </w:pPr>
            <w:r>
              <w:rPr>
                <w:rFonts w:ascii="Arial" w:cs="Arial" w:eastAsia="Arial" w:hAnsi="Arial"/>
                <w:sz w:val="13"/>
                <w:szCs w:val="13"/>
                <w:color w:val="262626"/>
              </w:rPr>
              <w:t>09/03/2025</w:t>
            </w:r>
          </w:p>
        </w:tc>
        <w:tc>
          <w:tcPr>
            <w:tcW w:w="780" w:type="dxa"/>
            <w:vAlign w:val="bottom"/>
            <w:tcBorders>
              <w:bottom w:val="single" w:sz="8" w:color="CF0A2C"/>
            </w:tcBorders>
          </w:tcPr>
          <w:p>
            <w:pPr>
              <w:spacing w:after="0"/>
              <w:rPr>
                <w:sz w:val="24"/>
                <w:szCs w:val="24"/>
                <w:color w:val="auto"/>
              </w:rPr>
            </w:pPr>
          </w:p>
        </w:tc>
        <w:tc>
          <w:tcPr>
            <w:tcW w:w="760" w:type="dxa"/>
            <w:vAlign w:val="bottom"/>
            <w:tcBorders>
              <w:bottom w:val="single" w:sz="8" w:color="CF0A2C"/>
            </w:tcBorders>
          </w:tcPr>
          <w:p>
            <w:pPr>
              <w:spacing w:after="0"/>
              <w:rPr>
                <w:sz w:val="24"/>
                <w:szCs w:val="24"/>
                <w:color w:val="auto"/>
              </w:rPr>
            </w:pPr>
          </w:p>
        </w:tc>
        <w:tc>
          <w:tcPr>
            <w:tcW w:w="600" w:type="dxa"/>
            <w:vAlign w:val="bottom"/>
            <w:tcBorders>
              <w:bottom w:val="single" w:sz="8" w:color="CF0A2C"/>
            </w:tcBorders>
          </w:tcPr>
          <w:p>
            <w:pPr>
              <w:spacing w:after="0"/>
              <w:rPr>
                <w:sz w:val="24"/>
                <w:szCs w:val="24"/>
                <w:color w:val="auto"/>
              </w:rPr>
            </w:pPr>
          </w:p>
        </w:tc>
        <w:tc>
          <w:tcPr>
            <w:tcW w:w="720" w:type="dxa"/>
            <w:vAlign w:val="bottom"/>
            <w:tcBorders>
              <w:bottom w:val="single" w:sz="8" w:color="CF0A2C"/>
            </w:tcBorders>
          </w:tcPr>
          <w:p>
            <w:pPr>
              <w:spacing w:after="0"/>
              <w:rPr>
                <w:sz w:val="24"/>
                <w:szCs w:val="24"/>
                <w:color w:val="auto"/>
              </w:rPr>
            </w:pPr>
          </w:p>
        </w:tc>
        <w:tc>
          <w:tcPr>
            <w:tcW w:w="160" w:type="dxa"/>
            <w:vAlign w:val="bottom"/>
            <w:tcBorders>
              <w:bottom w:val="single" w:sz="8" w:color="CF0A2C"/>
            </w:tcBorders>
          </w:tcPr>
          <w:p>
            <w:pPr>
              <w:spacing w:after="0"/>
              <w:rPr>
                <w:sz w:val="24"/>
                <w:szCs w:val="24"/>
                <w:color w:val="auto"/>
              </w:rPr>
            </w:pPr>
          </w:p>
        </w:tc>
        <w:tc>
          <w:tcPr>
            <w:tcW w:w="2440" w:type="dxa"/>
            <w:vAlign w:val="bottom"/>
            <w:tcBorders>
              <w:bottom w:val="single" w:sz="8" w:color="CF0A2C"/>
            </w:tcBorders>
            <w:gridSpan w:val="3"/>
          </w:tcPr>
          <w:p>
            <w:pPr>
              <w:jc w:val="right"/>
              <w:spacing w:after="0"/>
              <w:rPr>
                <w:sz w:val="20"/>
                <w:szCs w:val="20"/>
                <w:color w:val="auto"/>
              </w:rPr>
            </w:pPr>
            <w:r>
              <w:rPr>
                <w:rFonts w:ascii="Arial" w:cs="Arial" w:eastAsia="Arial" w:hAnsi="Arial"/>
                <w:sz w:val="13"/>
                <w:szCs w:val="13"/>
                <w:color w:val="262626"/>
              </w:rPr>
              <w:t>—</w:t>
            </w:r>
            <w:r>
              <w:rPr>
                <w:rFonts w:ascii="Arial" w:cs="Arial" w:eastAsia="Arial" w:hAnsi="Arial"/>
                <w:sz w:val="20"/>
                <w:szCs w:val="20"/>
                <w:color w:val="262626"/>
                <w:vertAlign w:val="superscript"/>
              </w:rPr>
              <w:t>(4)</w:t>
            </w:r>
            <w:r>
              <w:rPr>
                <w:rFonts w:ascii="Arial" w:cs="Arial" w:eastAsia="Arial" w:hAnsi="Arial"/>
                <w:sz w:val="13"/>
                <w:szCs w:val="13"/>
                <w:color w:val="262626"/>
              </w:rPr>
              <w:t xml:space="preserve">   610,521</w:t>
            </w:r>
            <w:r>
              <w:rPr>
                <w:rFonts w:ascii="Arial" w:cs="Arial" w:eastAsia="Arial" w:hAnsi="Arial"/>
                <w:sz w:val="20"/>
                <w:szCs w:val="20"/>
                <w:color w:val="262626"/>
                <w:vertAlign w:val="superscript"/>
              </w:rPr>
              <w:t>(4)</w:t>
            </w:r>
            <w:r>
              <w:rPr>
                <w:rFonts w:ascii="Arial" w:cs="Arial" w:eastAsia="Arial" w:hAnsi="Arial"/>
                <w:sz w:val="13"/>
                <w:szCs w:val="13"/>
                <w:color w:val="262626"/>
              </w:rPr>
              <w:t xml:space="preserve">   1,831,563</w:t>
            </w:r>
            <w:r>
              <w:rPr>
                <w:rFonts w:ascii="Arial" w:cs="Arial" w:eastAsia="Arial" w:hAnsi="Arial"/>
                <w:sz w:val="20"/>
                <w:szCs w:val="20"/>
                <w:color w:val="262626"/>
                <w:vertAlign w:val="superscript"/>
              </w:rPr>
              <w:t>(4)</w:t>
            </w:r>
          </w:p>
        </w:tc>
        <w:tc>
          <w:tcPr>
            <w:tcW w:w="960" w:type="dxa"/>
            <w:vAlign w:val="bottom"/>
            <w:tcBorders>
              <w:bottom w:val="single" w:sz="8" w:color="CF0A2C"/>
            </w:tcBorders>
          </w:tcPr>
          <w:p>
            <w:pPr>
              <w:spacing w:after="0"/>
              <w:rPr>
                <w:sz w:val="24"/>
                <w:szCs w:val="24"/>
                <w:color w:val="auto"/>
              </w:rPr>
            </w:pPr>
          </w:p>
        </w:tc>
        <w:tc>
          <w:tcPr>
            <w:tcW w:w="1040" w:type="dxa"/>
            <w:vAlign w:val="bottom"/>
            <w:tcBorders>
              <w:bottom w:val="single" w:sz="8" w:color="CF0A2C"/>
            </w:tcBorders>
          </w:tcPr>
          <w:p>
            <w:pPr>
              <w:jc w:val="right"/>
              <w:ind w:right="33"/>
              <w:spacing w:after="0"/>
              <w:rPr>
                <w:sz w:val="20"/>
                <w:szCs w:val="20"/>
                <w:color w:val="auto"/>
              </w:rPr>
            </w:pPr>
            <w:r>
              <w:rPr>
                <w:rFonts w:ascii="Arial" w:cs="Arial" w:eastAsia="Arial" w:hAnsi="Arial"/>
                <w:sz w:val="13"/>
                <w:szCs w:val="13"/>
                <w:color w:val="262626"/>
              </w:rPr>
              <w:t>202,351,080</w:t>
            </w:r>
            <w:r>
              <w:rPr>
                <w:rFonts w:ascii="Arial" w:cs="Arial" w:eastAsia="Arial" w:hAnsi="Arial"/>
                <w:sz w:val="20"/>
                <w:szCs w:val="20"/>
                <w:color w:val="262626"/>
                <w:vertAlign w:val="superscript"/>
              </w:rPr>
              <w:t>(5)</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3"/>
                <w:szCs w:val="13"/>
                <w:color w:val="262626"/>
              </w:rPr>
              <w:t>Kirsten M. Spears</w:t>
            </w:r>
          </w:p>
        </w:tc>
        <w:tc>
          <w:tcPr>
            <w:tcW w:w="800" w:type="dxa"/>
            <w:vAlign w:val="bottom"/>
          </w:tcPr>
          <w:p>
            <w:pPr>
              <w:ind w:left="100"/>
              <w:spacing w:after="0"/>
              <w:rPr>
                <w:sz w:val="20"/>
                <w:szCs w:val="20"/>
                <w:color w:val="auto"/>
              </w:rPr>
            </w:pPr>
            <w:r>
              <w:rPr>
                <w:rFonts w:ascii="Arial" w:cs="Arial" w:eastAsia="Arial" w:hAnsi="Arial"/>
                <w:sz w:val="13"/>
                <w:szCs w:val="13"/>
                <w:color w:val="262626"/>
              </w:rPr>
              <w:t>APB Plan</w:t>
            </w:r>
          </w:p>
        </w:tc>
        <w:tc>
          <w:tcPr>
            <w:tcW w:w="780" w:type="dxa"/>
            <w:vAlign w:val="bottom"/>
          </w:tcPr>
          <w:p>
            <w:pPr>
              <w:spacing w:after="0"/>
              <w:rPr>
                <w:sz w:val="22"/>
                <w:szCs w:val="22"/>
                <w:color w:val="auto"/>
              </w:rPr>
            </w:pPr>
          </w:p>
        </w:tc>
        <w:tc>
          <w:tcPr>
            <w:tcW w:w="760" w:type="dxa"/>
            <w:vAlign w:val="bottom"/>
          </w:tcPr>
          <w:p>
            <w:pPr>
              <w:ind w:left="280"/>
              <w:spacing w:after="0"/>
              <w:rPr>
                <w:sz w:val="20"/>
                <w:szCs w:val="20"/>
                <w:color w:val="auto"/>
              </w:rPr>
            </w:pPr>
            <w:r>
              <w:rPr>
                <w:rFonts w:ascii="Arial" w:cs="Arial" w:eastAsia="Arial" w:hAnsi="Arial"/>
                <w:sz w:val="13"/>
                <w:szCs w:val="13"/>
                <w:color w:val="262626"/>
              </w:rPr>
              <w:t>25,750</w:t>
            </w:r>
          </w:p>
        </w:tc>
        <w:tc>
          <w:tcPr>
            <w:tcW w:w="600" w:type="dxa"/>
            <w:vAlign w:val="bottom"/>
          </w:tcPr>
          <w:p>
            <w:pPr>
              <w:jc w:val="right"/>
              <w:spacing w:after="0"/>
              <w:rPr>
                <w:sz w:val="20"/>
                <w:szCs w:val="20"/>
                <w:color w:val="auto"/>
              </w:rPr>
            </w:pPr>
            <w:r>
              <w:rPr>
                <w:rFonts w:ascii="Arial" w:cs="Arial" w:eastAsia="Arial" w:hAnsi="Arial"/>
                <w:sz w:val="13"/>
                <w:szCs w:val="13"/>
                <w:color w:val="262626"/>
              </w:rPr>
              <w:t>412,000</w:t>
            </w:r>
          </w:p>
        </w:tc>
        <w:tc>
          <w:tcPr>
            <w:tcW w:w="720" w:type="dxa"/>
            <w:vAlign w:val="bottom"/>
          </w:tcPr>
          <w:p>
            <w:pPr>
              <w:jc w:val="right"/>
              <w:spacing w:after="0"/>
              <w:rPr>
                <w:sz w:val="20"/>
                <w:szCs w:val="20"/>
                <w:color w:val="auto"/>
              </w:rPr>
            </w:pPr>
            <w:r>
              <w:rPr>
                <w:rFonts w:ascii="Arial" w:cs="Arial" w:eastAsia="Arial" w:hAnsi="Arial"/>
                <w:sz w:val="13"/>
                <w:szCs w:val="13"/>
                <w:color w:val="262626"/>
              </w:rPr>
              <w:t>834,300</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124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262626"/>
              </w:rPr>
              <w:t>03/15/25</w:t>
            </w:r>
          </w:p>
        </w:tc>
        <w:tc>
          <w:tcPr>
            <w:tcW w:w="780" w:type="dxa"/>
            <w:vAlign w:val="bottom"/>
          </w:tcPr>
          <w:p>
            <w:pPr>
              <w:jc w:val="right"/>
              <w:spacing w:after="0"/>
              <w:rPr>
                <w:sz w:val="20"/>
                <w:szCs w:val="20"/>
                <w:color w:val="auto"/>
              </w:rPr>
            </w:pPr>
            <w:r>
              <w:rPr>
                <w:rFonts w:ascii="Arial" w:cs="Arial" w:eastAsia="Arial" w:hAnsi="Arial"/>
                <w:sz w:val="13"/>
                <w:szCs w:val="13"/>
                <w:color w:val="262626"/>
              </w:rPr>
              <w:t>03/04/25</w:t>
            </w:r>
            <w:r>
              <w:rPr>
                <w:rFonts w:ascii="Arial" w:cs="Arial" w:eastAsia="Arial" w:hAnsi="Arial"/>
                <w:sz w:val="20"/>
                <w:szCs w:val="20"/>
                <w:color w:val="262626"/>
                <w:vertAlign w:val="superscript"/>
              </w:rPr>
              <w:t>(6)</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262626"/>
              </w:rPr>
              <w:t>3,750</w:t>
            </w:r>
            <w:r>
              <w:rPr>
                <w:rFonts w:ascii="Arial" w:cs="Arial" w:eastAsia="Arial" w:hAnsi="Arial"/>
                <w:sz w:val="20"/>
                <w:szCs w:val="20"/>
                <w:color w:val="262626"/>
                <w:vertAlign w:val="superscript"/>
              </w:rPr>
              <w:t>(7)</w:t>
            </w:r>
          </w:p>
        </w:tc>
        <w:tc>
          <w:tcPr>
            <w:tcW w:w="760" w:type="dxa"/>
            <w:vAlign w:val="bottom"/>
          </w:tcPr>
          <w:p>
            <w:pPr>
              <w:jc w:val="right"/>
              <w:spacing w:after="0"/>
              <w:rPr>
                <w:sz w:val="20"/>
                <w:szCs w:val="20"/>
                <w:color w:val="auto"/>
              </w:rPr>
            </w:pPr>
            <w:r>
              <w:rPr>
                <w:rFonts w:ascii="Arial" w:cs="Arial" w:eastAsia="Arial" w:hAnsi="Arial"/>
                <w:sz w:val="13"/>
                <w:szCs w:val="13"/>
                <w:color w:val="262626"/>
              </w:rPr>
              <w:t>30,000</w:t>
            </w:r>
            <w:r>
              <w:rPr>
                <w:rFonts w:ascii="Arial" w:cs="Arial" w:eastAsia="Arial" w:hAnsi="Arial"/>
                <w:sz w:val="20"/>
                <w:szCs w:val="20"/>
                <w:color w:val="262626"/>
                <w:vertAlign w:val="superscript"/>
              </w:rPr>
              <w:t>(7)</w:t>
            </w:r>
          </w:p>
        </w:tc>
        <w:tc>
          <w:tcPr>
            <w:tcW w:w="840" w:type="dxa"/>
            <w:vAlign w:val="bottom"/>
          </w:tcPr>
          <w:p>
            <w:pPr>
              <w:jc w:val="right"/>
              <w:spacing w:after="0"/>
              <w:rPr>
                <w:sz w:val="20"/>
                <w:szCs w:val="20"/>
                <w:color w:val="auto"/>
              </w:rPr>
            </w:pPr>
            <w:r>
              <w:rPr>
                <w:rFonts w:ascii="Arial" w:cs="Arial" w:eastAsia="Arial" w:hAnsi="Arial"/>
                <w:sz w:val="13"/>
                <w:szCs w:val="13"/>
                <w:color w:val="262626"/>
              </w:rPr>
              <w:t>60,000</w:t>
            </w:r>
            <w:r>
              <w:rPr>
                <w:rFonts w:ascii="Arial" w:cs="Arial" w:eastAsia="Arial" w:hAnsi="Arial"/>
                <w:sz w:val="20"/>
                <w:szCs w:val="20"/>
                <w:color w:val="262626"/>
                <w:vertAlign w:val="superscript"/>
              </w:rPr>
              <w:t>(7)</w:t>
            </w:r>
          </w:p>
        </w:tc>
        <w:tc>
          <w:tcPr>
            <w:tcW w:w="96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262626"/>
              </w:rPr>
              <w:t>7,598,550</w:t>
            </w:r>
            <w:r>
              <w:rPr>
                <w:rFonts w:ascii="Arial" w:cs="Arial" w:eastAsia="Arial" w:hAnsi="Arial"/>
                <w:sz w:val="20"/>
                <w:szCs w:val="20"/>
                <w:color w:val="262626"/>
                <w:vertAlign w:val="superscript"/>
              </w:rPr>
              <w:t>(8)</w:t>
            </w:r>
          </w:p>
        </w:tc>
        <w:tc>
          <w:tcPr>
            <w:tcW w:w="0" w:type="dxa"/>
            <w:vAlign w:val="bottom"/>
          </w:tcPr>
          <w:p>
            <w:pPr>
              <w:spacing w:after="0"/>
              <w:rPr>
                <w:sz w:val="1"/>
                <w:szCs w:val="1"/>
                <w:color w:val="auto"/>
              </w:rPr>
            </w:pPr>
          </w:p>
        </w:tc>
      </w:tr>
      <w:tr>
        <w:trPr>
          <w:trHeight w:val="268"/>
        </w:trPr>
        <w:tc>
          <w:tcPr>
            <w:tcW w:w="124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262626"/>
              </w:rPr>
              <w:t>03/15/25</w:t>
            </w:r>
          </w:p>
        </w:tc>
        <w:tc>
          <w:tcPr>
            <w:tcW w:w="780" w:type="dxa"/>
            <w:vAlign w:val="bottom"/>
          </w:tcPr>
          <w:p>
            <w:pPr>
              <w:jc w:val="right"/>
              <w:spacing w:after="0"/>
              <w:rPr>
                <w:sz w:val="20"/>
                <w:szCs w:val="20"/>
                <w:color w:val="auto"/>
              </w:rPr>
            </w:pPr>
            <w:r>
              <w:rPr>
                <w:rFonts w:ascii="Arial" w:cs="Arial" w:eastAsia="Arial" w:hAnsi="Arial"/>
                <w:sz w:val="13"/>
                <w:szCs w:val="13"/>
                <w:color w:val="262626"/>
              </w:rPr>
              <w:t>03/04/25</w:t>
            </w:r>
            <w:r>
              <w:rPr>
                <w:rFonts w:ascii="Arial" w:cs="Arial" w:eastAsia="Arial" w:hAnsi="Arial"/>
                <w:sz w:val="20"/>
                <w:szCs w:val="20"/>
                <w:color w:val="262626"/>
                <w:vertAlign w:val="superscript"/>
              </w:rPr>
              <w:t>(9)</w:t>
            </w: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262626"/>
              </w:rPr>
              <w:t>3,750</w:t>
            </w:r>
            <w:r>
              <w:rPr>
                <w:rFonts w:ascii="Arial" w:cs="Arial" w:eastAsia="Arial" w:hAnsi="Arial"/>
                <w:sz w:val="20"/>
                <w:szCs w:val="20"/>
                <w:color w:val="262626"/>
                <w:vertAlign w:val="superscript"/>
              </w:rPr>
              <w:t>(7)</w:t>
            </w:r>
          </w:p>
        </w:tc>
        <w:tc>
          <w:tcPr>
            <w:tcW w:w="760" w:type="dxa"/>
            <w:vAlign w:val="bottom"/>
          </w:tcPr>
          <w:p>
            <w:pPr>
              <w:jc w:val="right"/>
              <w:spacing w:after="0"/>
              <w:rPr>
                <w:sz w:val="20"/>
                <w:szCs w:val="20"/>
                <w:color w:val="auto"/>
              </w:rPr>
            </w:pPr>
            <w:r>
              <w:rPr>
                <w:rFonts w:ascii="Arial" w:cs="Arial" w:eastAsia="Arial" w:hAnsi="Arial"/>
                <w:sz w:val="13"/>
                <w:szCs w:val="13"/>
                <w:color w:val="262626"/>
              </w:rPr>
              <w:t>30,000</w:t>
            </w:r>
            <w:r>
              <w:rPr>
                <w:rFonts w:ascii="Arial" w:cs="Arial" w:eastAsia="Arial" w:hAnsi="Arial"/>
                <w:sz w:val="20"/>
                <w:szCs w:val="20"/>
                <w:color w:val="262626"/>
                <w:vertAlign w:val="superscript"/>
              </w:rPr>
              <w:t>(7)</w:t>
            </w:r>
          </w:p>
        </w:tc>
        <w:tc>
          <w:tcPr>
            <w:tcW w:w="840" w:type="dxa"/>
            <w:vAlign w:val="bottom"/>
          </w:tcPr>
          <w:p>
            <w:pPr>
              <w:jc w:val="right"/>
              <w:spacing w:after="0"/>
              <w:rPr>
                <w:sz w:val="20"/>
                <w:szCs w:val="20"/>
                <w:color w:val="auto"/>
              </w:rPr>
            </w:pPr>
            <w:r>
              <w:rPr>
                <w:rFonts w:ascii="Arial" w:cs="Arial" w:eastAsia="Arial" w:hAnsi="Arial"/>
                <w:sz w:val="13"/>
                <w:szCs w:val="13"/>
                <w:color w:val="262626"/>
              </w:rPr>
              <w:t>60,000</w:t>
            </w:r>
            <w:r>
              <w:rPr>
                <w:rFonts w:ascii="Arial" w:cs="Arial" w:eastAsia="Arial" w:hAnsi="Arial"/>
                <w:sz w:val="20"/>
                <w:szCs w:val="20"/>
                <w:color w:val="262626"/>
                <w:vertAlign w:val="superscript"/>
              </w:rPr>
              <w:t>(7)</w:t>
            </w:r>
          </w:p>
        </w:tc>
        <w:tc>
          <w:tcPr>
            <w:tcW w:w="96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262626"/>
              </w:rPr>
              <w:t>8,088,750</w:t>
            </w:r>
            <w:r>
              <w:rPr>
                <w:rFonts w:ascii="Arial" w:cs="Arial" w:eastAsia="Arial" w:hAnsi="Arial"/>
                <w:sz w:val="20"/>
                <w:szCs w:val="20"/>
                <w:color w:val="262626"/>
                <w:vertAlign w:val="superscript"/>
              </w:rPr>
              <w:t>(8)</w:t>
            </w:r>
          </w:p>
        </w:tc>
        <w:tc>
          <w:tcPr>
            <w:tcW w:w="0" w:type="dxa"/>
            <w:vAlign w:val="bottom"/>
          </w:tcPr>
          <w:p>
            <w:pPr>
              <w:spacing w:after="0"/>
              <w:rPr>
                <w:sz w:val="1"/>
                <w:szCs w:val="1"/>
                <w:color w:val="auto"/>
              </w:rPr>
            </w:pPr>
          </w:p>
        </w:tc>
      </w:tr>
      <w:tr>
        <w:trPr>
          <w:trHeight w:val="268"/>
        </w:trPr>
        <w:tc>
          <w:tcPr>
            <w:tcW w:w="124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262626"/>
              </w:rPr>
              <w:t>03/15/25</w:t>
            </w:r>
          </w:p>
        </w:tc>
        <w:tc>
          <w:tcPr>
            <w:tcW w:w="780" w:type="dxa"/>
            <w:vAlign w:val="bottom"/>
          </w:tcPr>
          <w:p>
            <w:pPr>
              <w:jc w:val="right"/>
              <w:spacing w:after="0"/>
              <w:rPr>
                <w:sz w:val="20"/>
                <w:szCs w:val="20"/>
                <w:color w:val="auto"/>
              </w:rPr>
            </w:pPr>
            <w:r>
              <w:rPr>
                <w:rFonts w:ascii="Arial" w:cs="Arial" w:eastAsia="Arial" w:hAnsi="Arial"/>
                <w:sz w:val="13"/>
                <w:szCs w:val="13"/>
                <w:color w:val="262626"/>
              </w:rPr>
              <w:t>03/04/25</w:t>
            </w:r>
            <w:r>
              <w:rPr>
                <w:rFonts w:ascii="Arial" w:cs="Arial" w:eastAsia="Arial" w:hAnsi="Arial"/>
                <w:sz w:val="20"/>
                <w:szCs w:val="20"/>
                <w:color w:val="262626"/>
                <w:vertAlign w:val="superscript"/>
              </w:rPr>
              <w:t>(6)</w:t>
            </w: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60" w:type="dxa"/>
            <w:vAlign w:val="bottom"/>
          </w:tcPr>
          <w:p>
            <w:pPr>
              <w:ind w:left="300"/>
              <w:spacing w:after="0"/>
              <w:rPr>
                <w:sz w:val="20"/>
                <w:szCs w:val="20"/>
                <w:color w:val="auto"/>
              </w:rPr>
            </w:pPr>
            <w:r>
              <w:rPr>
                <w:rFonts w:ascii="Arial" w:cs="Arial" w:eastAsia="Arial" w:hAnsi="Arial"/>
                <w:sz w:val="13"/>
                <w:szCs w:val="13"/>
                <w:color w:val="262626"/>
              </w:rPr>
              <w:t>30,000</w:t>
            </w:r>
            <w:r>
              <w:rPr>
                <w:rFonts w:ascii="Arial" w:cs="Arial" w:eastAsia="Arial" w:hAnsi="Arial"/>
                <w:sz w:val="20"/>
                <w:szCs w:val="20"/>
                <w:color w:val="262626"/>
                <w:vertAlign w:val="superscript"/>
              </w:rPr>
              <w:t>(10)</w:t>
            </w:r>
          </w:p>
        </w:tc>
        <w:tc>
          <w:tcPr>
            <w:tcW w:w="1040" w:type="dxa"/>
            <w:vAlign w:val="bottom"/>
          </w:tcPr>
          <w:p>
            <w:pPr>
              <w:jc w:val="right"/>
              <w:ind w:right="33"/>
              <w:spacing w:after="0"/>
              <w:rPr>
                <w:sz w:val="20"/>
                <w:szCs w:val="20"/>
                <w:color w:val="auto"/>
              </w:rPr>
            </w:pPr>
            <w:r>
              <w:rPr>
                <w:rFonts w:ascii="Arial" w:cs="Arial" w:eastAsia="Arial" w:hAnsi="Arial"/>
                <w:sz w:val="13"/>
                <w:szCs w:val="13"/>
                <w:color w:val="262626"/>
              </w:rPr>
              <w:t>5,698,800</w:t>
            </w:r>
            <w:r>
              <w:rPr>
                <w:rFonts w:ascii="Arial" w:cs="Arial" w:eastAsia="Arial" w:hAnsi="Arial"/>
                <w:sz w:val="20"/>
                <w:szCs w:val="20"/>
                <w:color w:val="262626"/>
                <w:vertAlign w:val="superscript"/>
              </w:rPr>
              <w:t>(8)</w:t>
            </w:r>
          </w:p>
        </w:tc>
        <w:tc>
          <w:tcPr>
            <w:tcW w:w="0" w:type="dxa"/>
            <w:vAlign w:val="bottom"/>
          </w:tcPr>
          <w:p>
            <w:pPr>
              <w:spacing w:after="0"/>
              <w:rPr>
                <w:sz w:val="1"/>
                <w:szCs w:val="1"/>
                <w:color w:val="auto"/>
              </w:rPr>
            </w:pPr>
          </w:p>
        </w:tc>
      </w:tr>
      <w:tr>
        <w:trPr>
          <w:trHeight w:val="268"/>
        </w:trPr>
        <w:tc>
          <w:tcPr>
            <w:tcW w:w="124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262626"/>
              </w:rPr>
              <w:t>03/15/25</w:t>
            </w:r>
          </w:p>
        </w:tc>
        <w:tc>
          <w:tcPr>
            <w:tcW w:w="780" w:type="dxa"/>
            <w:vAlign w:val="bottom"/>
          </w:tcPr>
          <w:p>
            <w:pPr>
              <w:jc w:val="right"/>
              <w:spacing w:after="0"/>
              <w:rPr>
                <w:sz w:val="20"/>
                <w:szCs w:val="20"/>
                <w:color w:val="auto"/>
              </w:rPr>
            </w:pPr>
            <w:r>
              <w:rPr>
                <w:rFonts w:ascii="Arial" w:cs="Arial" w:eastAsia="Arial" w:hAnsi="Arial"/>
                <w:sz w:val="13"/>
                <w:szCs w:val="13"/>
                <w:color w:val="262626"/>
              </w:rPr>
              <w:t>03/04/25</w:t>
            </w:r>
            <w:r>
              <w:rPr>
                <w:rFonts w:ascii="Arial" w:cs="Arial" w:eastAsia="Arial" w:hAnsi="Arial"/>
                <w:sz w:val="20"/>
                <w:szCs w:val="20"/>
                <w:color w:val="262626"/>
                <w:vertAlign w:val="superscript"/>
              </w:rPr>
              <w:t>(9)</w:t>
            </w: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60" w:type="dxa"/>
            <w:vAlign w:val="bottom"/>
          </w:tcPr>
          <w:p>
            <w:pPr>
              <w:ind w:left="300"/>
              <w:spacing w:after="0"/>
              <w:rPr>
                <w:sz w:val="20"/>
                <w:szCs w:val="20"/>
                <w:color w:val="auto"/>
              </w:rPr>
            </w:pPr>
            <w:r>
              <w:rPr>
                <w:rFonts w:ascii="Arial" w:cs="Arial" w:eastAsia="Arial" w:hAnsi="Arial"/>
                <w:sz w:val="13"/>
                <w:szCs w:val="13"/>
                <w:color w:val="262626"/>
              </w:rPr>
              <w:t>30,000</w:t>
            </w:r>
            <w:r>
              <w:rPr>
                <w:rFonts w:ascii="Arial" w:cs="Arial" w:eastAsia="Arial" w:hAnsi="Arial"/>
                <w:sz w:val="20"/>
                <w:szCs w:val="20"/>
                <w:color w:val="262626"/>
                <w:vertAlign w:val="superscript"/>
              </w:rPr>
              <w:t>(11)</w:t>
            </w:r>
          </w:p>
        </w:tc>
        <w:tc>
          <w:tcPr>
            <w:tcW w:w="1040" w:type="dxa"/>
            <w:vAlign w:val="bottom"/>
          </w:tcPr>
          <w:p>
            <w:pPr>
              <w:jc w:val="right"/>
              <w:ind w:right="33"/>
              <w:spacing w:after="0"/>
              <w:rPr>
                <w:sz w:val="20"/>
                <w:szCs w:val="20"/>
                <w:color w:val="auto"/>
              </w:rPr>
            </w:pPr>
            <w:r>
              <w:rPr>
                <w:rFonts w:ascii="Arial" w:cs="Arial" w:eastAsia="Arial" w:hAnsi="Arial"/>
                <w:sz w:val="13"/>
                <w:szCs w:val="13"/>
                <w:color w:val="262626"/>
              </w:rPr>
              <w:t>5,635,500</w:t>
            </w:r>
            <w:r>
              <w:rPr>
                <w:rFonts w:ascii="Arial" w:cs="Arial" w:eastAsia="Arial" w:hAnsi="Arial"/>
                <w:sz w:val="20"/>
                <w:szCs w:val="20"/>
                <w:color w:val="262626"/>
                <w:vertAlign w:val="superscript"/>
              </w:rPr>
              <w:t>(8)</w:t>
            </w:r>
          </w:p>
        </w:tc>
        <w:tc>
          <w:tcPr>
            <w:tcW w:w="0" w:type="dxa"/>
            <w:vAlign w:val="bottom"/>
          </w:tcPr>
          <w:p>
            <w:pPr>
              <w:spacing w:after="0"/>
              <w:rPr>
                <w:sz w:val="1"/>
                <w:szCs w:val="1"/>
                <w:color w:val="auto"/>
              </w:rPr>
            </w:pPr>
          </w:p>
        </w:tc>
      </w:tr>
      <w:tr>
        <w:trPr>
          <w:trHeight w:val="227"/>
        </w:trPr>
        <w:tc>
          <w:tcPr>
            <w:tcW w:w="1240" w:type="dxa"/>
            <w:vAlign w:val="bottom"/>
            <w:tcBorders>
              <w:bottom w:val="single" w:sz="8" w:color="CF0A2C"/>
            </w:tcBorders>
          </w:tcPr>
          <w:p>
            <w:pPr>
              <w:spacing w:after="0"/>
              <w:rPr>
                <w:sz w:val="19"/>
                <w:szCs w:val="19"/>
                <w:color w:val="auto"/>
              </w:rPr>
            </w:pPr>
          </w:p>
        </w:tc>
        <w:tc>
          <w:tcPr>
            <w:tcW w:w="800" w:type="dxa"/>
            <w:vAlign w:val="bottom"/>
            <w:tcBorders>
              <w:bottom w:val="single" w:sz="8" w:color="CF0A2C"/>
            </w:tcBorders>
          </w:tcPr>
          <w:p>
            <w:pPr>
              <w:ind w:left="100"/>
              <w:spacing w:after="0"/>
              <w:rPr>
                <w:sz w:val="20"/>
                <w:szCs w:val="20"/>
                <w:color w:val="auto"/>
              </w:rPr>
            </w:pPr>
            <w:r>
              <w:rPr>
                <w:rFonts w:ascii="Arial" w:cs="Arial" w:eastAsia="Arial" w:hAnsi="Arial"/>
                <w:sz w:val="13"/>
                <w:szCs w:val="13"/>
                <w:color w:val="262626"/>
              </w:rPr>
              <w:t>N/A</w:t>
            </w:r>
          </w:p>
        </w:tc>
        <w:tc>
          <w:tcPr>
            <w:tcW w:w="780" w:type="dxa"/>
            <w:vAlign w:val="bottom"/>
            <w:tcBorders>
              <w:bottom w:val="single" w:sz="8" w:color="CF0A2C"/>
            </w:tcBorders>
          </w:tcPr>
          <w:p>
            <w:pPr>
              <w:spacing w:after="0"/>
              <w:rPr>
                <w:sz w:val="19"/>
                <w:szCs w:val="19"/>
                <w:color w:val="auto"/>
              </w:rPr>
            </w:pPr>
          </w:p>
        </w:tc>
        <w:tc>
          <w:tcPr>
            <w:tcW w:w="760" w:type="dxa"/>
            <w:vAlign w:val="bottom"/>
            <w:tcBorders>
              <w:bottom w:val="single" w:sz="8" w:color="CF0A2C"/>
            </w:tcBorders>
          </w:tcPr>
          <w:p>
            <w:pPr>
              <w:spacing w:after="0"/>
              <w:rPr>
                <w:sz w:val="19"/>
                <w:szCs w:val="19"/>
                <w:color w:val="auto"/>
              </w:rPr>
            </w:pPr>
          </w:p>
        </w:tc>
        <w:tc>
          <w:tcPr>
            <w:tcW w:w="600" w:type="dxa"/>
            <w:vAlign w:val="bottom"/>
            <w:tcBorders>
              <w:bottom w:val="single" w:sz="8" w:color="CF0A2C"/>
            </w:tcBorders>
          </w:tcPr>
          <w:p>
            <w:pPr>
              <w:spacing w:after="0"/>
              <w:rPr>
                <w:sz w:val="19"/>
                <w:szCs w:val="19"/>
                <w:color w:val="auto"/>
              </w:rPr>
            </w:pPr>
          </w:p>
        </w:tc>
        <w:tc>
          <w:tcPr>
            <w:tcW w:w="720" w:type="dxa"/>
            <w:vAlign w:val="bottom"/>
            <w:tcBorders>
              <w:bottom w:val="single" w:sz="8" w:color="CF0A2C"/>
            </w:tcBorders>
          </w:tcPr>
          <w:p>
            <w:pPr>
              <w:spacing w:after="0"/>
              <w:rPr>
                <w:sz w:val="19"/>
                <w:szCs w:val="19"/>
                <w:color w:val="auto"/>
              </w:rPr>
            </w:pPr>
          </w:p>
        </w:tc>
        <w:tc>
          <w:tcPr>
            <w:tcW w:w="160" w:type="dxa"/>
            <w:vAlign w:val="bottom"/>
            <w:tcBorders>
              <w:bottom w:val="single" w:sz="8" w:color="CF0A2C"/>
            </w:tcBorders>
          </w:tcPr>
          <w:p>
            <w:pPr>
              <w:spacing w:after="0"/>
              <w:rPr>
                <w:sz w:val="19"/>
                <w:szCs w:val="19"/>
                <w:color w:val="auto"/>
              </w:rPr>
            </w:pPr>
          </w:p>
        </w:tc>
        <w:tc>
          <w:tcPr>
            <w:tcW w:w="840" w:type="dxa"/>
            <w:vAlign w:val="bottom"/>
            <w:tcBorders>
              <w:bottom w:val="single" w:sz="8" w:color="CF0A2C"/>
            </w:tcBorders>
          </w:tcPr>
          <w:p>
            <w:pPr>
              <w:spacing w:after="0"/>
              <w:rPr>
                <w:sz w:val="19"/>
                <w:szCs w:val="19"/>
                <w:color w:val="auto"/>
              </w:rPr>
            </w:pPr>
          </w:p>
        </w:tc>
        <w:tc>
          <w:tcPr>
            <w:tcW w:w="760" w:type="dxa"/>
            <w:vAlign w:val="bottom"/>
            <w:tcBorders>
              <w:bottom w:val="single" w:sz="8" w:color="CF0A2C"/>
            </w:tcBorders>
          </w:tcPr>
          <w:p>
            <w:pPr>
              <w:spacing w:after="0"/>
              <w:rPr>
                <w:sz w:val="19"/>
                <w:szCs w:val="19"/>
                <w:color w:val="auto"/>
              </w:rPr>
            </w:pPr>
          </w:p>
        </w:tc>
        <w:tc>
          <w:tcPr>
            <w:tcW w:w="840" w:type="dxa"/>
            <w:vAlign w:val="bottom"/>
            <w:tcBorders>
              <w:bottom w:val="single" w:sz="8" w:color="CF0A2C"/>
            </w:tcBorders>
          </w:tcPr>
          <w:p>
            <w:pPr>
              <w:spacing w:after="0"/>
              <w:rPr>
                <w:sz w:val="19"/>
                <w:szCs w:val="19"/>
                <w:color w:val="auto"/>
              </w:rPr>
            </w:pPr>
          </w:p>
        </w:tc>
        <w:tc>
          <w:tcPr>
            <w:tcW w:w="960" w:type="dxa"/>
            <w:vAlign w:val="bottom"/>
            <w:tcBorders>
              <w:bottom w:val="single" w:sz="8" w:color="CF0A2C"/>
            </w:tcBorders>
          </w:tcPr>
          <w:p>
            <w:pPr>
              <w:spacing w:after="0"/>
              <w:rPr>
                <w:sz w:val="19"/>
                <w:szCs w:val="19"/>
                <w:color w:val="auto"/>
              </w:rPr>
            </w:pPr>
          </w:p>
        </w:tc>
        <w:tc>
          <w:tcPr>
            <w:tcW w:w="1040" w:type="dxa"/>
            <w:vAlign w:val="bottom"/>
            <w:tcBorders>
              <w:bottom w:val="single" w:sz="8" w:color="CF0A2C"/>
            </w:tcBorders>
          </w:tcPr>
          <w:p>
            <w:pPr>
              <w:jc w:val="right"/>
              <w:spacing w:after="0" w:line="228" w:lineRule="exact"/>
              <w:rPr>
                <w:sz w:val="20"/>
                <w:szCs w:val="20"/>
                <w:color w:val="auto"/>
              </w:rPr>
            </w:pPr>
            <w:r>
              <w:rPr>
                <w:rFonts w:ascii="Arial" w:cs="Arial" w:eastAsia="Arial" w:hAnsi="Arial"/>
                <w:sz w:val="13"/>
                <w:szCs w:val="13"/>
                <w:color w:val="262626"/>
              </w:rPr>
              <w:t>114,814</w:t>
            </w:r>
            <w:r>
              <w:rPr>
                <w:rFonts w:ascii="Arial" w:cs="Arial" w:eastAsia="Arial" w:hAnsi="Arial"/>
                <w:sz w:val="20"/>
                <w:szCs w:val="20"/>
                <w:color w:val="262626"/>
                <w:vertAlign w:val="superscript"/>
              </w:rPr>
              <w:t>(12)</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3"/>
                <w:szCs w:val="13"/>
                <w:color w:val="262626"/>
              </w:rPr>
              <w:t>Mark D. Brazeal</w:t>
            </w:r>
          </w:p>
        </w:tc>
        <w:tc>
          <w:tcPr>
            <w:tcW w:w="800" w:type="dxa"/>
            <w:vAlign w:val="bottom"/>
          </w:tcPr>
          <w:p>
            <w:pPr>
              <w:ind w:left="100"/>
              <w:spacing w:after="0"/>
              <w:rPr>
                <w:sz w:val="20"/>
                <w:szCs w:val="20"/>
                <w:color w:val="auto"/>
              </w:rPr>
            </w:pPr>
            <w:r>
              <w:rPr>
                <w:rFonts w:ascii="Arial" w:cs="Arial" w:eastAsia="Arial" w:hAnsi="Arial"/>
                <w:sz w:val="13"/>
                <w:szCs w:val="13"/>
                <w:color w:val="262626"/>
              </w:rPr>
              <w:t>APB Plan</w:t>
            </w:r>
          </w:p>
        </w:tc>
        <w:tc>
          <w:tcPr>
            <w:tcW w:w="780" w:type="dxa"/>
            <w:vAlign w:val="bottom"/>
          </w:tcPr>
          <w:p>
            <w:pPr>
              <w:spacing w:after="0"/>
              <w:rPr>
                <w:sz w:val="22"/>
                <w:szCs w:val="22"/>
                <w:color w:val="auto"/>
              </w:rPr>
            </w:pPr>
          </w:p>
        </w:tc>
        <w:tc>
          <w:tcPr>
            <w:tcW w:w="760" w:type="dxa"/>
            <w:vAlign w:val="bottom"/>
          </w:tcPr>
          <w:p>
            <w:pPr>
              <w:ind w:left="280"/>
              <w:spacing w:after="0"/>
              <w:rPr>
                <w:sz w:val="20"/>
                <w:szCs w:val="20"/>
                <w:color w:val="auto"/>
              </w:rPr>
            </w:pPr>
            <w:r>
              <w:rPr>
                <w:rFonts w:ascii="Arial" w:cs="Arial" w:eastAsia="Arial" w:hAnsi="Arial"/>
                <w:sz w:val="13"/>
                <w:szCs w:val="13"/>
                <w:color w:val="262626"/>
              </w:rPr>
              <w:t>32,187</w:t>
            </w:r>
          </w:p>
        </w:tc>
        <w:tc>
          <w:tcPr>
            <w:tcW w:w="600" w:type="dxa"/>
            <w:vAlign w:val="bottom"/>
          </w:tcPr>
          <w:p>
            <w:pPr>
              <w:jc w:val="right"/>
              <w:spacing w:after="0"/>
              <w:rPr>
                <w:sz w:val="20"/>
                <w:szCs w:val="20"/>
                <w:color w:val="auto"/>
              </w:rPr>
            </w:pPr>
            <w:r>
              <w:rPr>
                <w:rFonts w:ascii="Arial" w:cs="Arial" w:eastAsia="Arial" w:hAnsi="Arial"/>
                <w:sz w:val="13"/>
                <w:szCs w:val="13"/>
                <w:color w:val="262626"/>
              </w:rPr>
              <w:t>515,000</w:t>
            </w:r>
          </w:p>
        </w:tc>
        <w:tc>
          <w:tcPr>
            <w:tcW w:w="720" w:type="dxa"/>
            <w:vAlign w:val="bottom"/>
          </w:tcPr>
          <w:p>
            <w:pPr>
              <w:jc w:val="right"/>
              <w:spacing w:after="0"/>
              <w:rPr>
                <w:sz w:val="20"/>
                <w:szCs w:val="20"/>
                <w:color w:val="auto"/>
              </w:rPr>
            </w:pPr>
            <w:r>
              <w:rPr>
                <w:rFonts w:ascii="Arial" w:cs="Arial" w:eastAsia="Arial" w:hAnsi="Arial"/>
                <w:sz w:val="13"/>
                <w:szCs w:val="13"/>
                <w:color w:val="262626"/>
              </w:rPr>
              <w:t>1,042,875</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124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262626"/>
              </w:rPr>
              <w:t>03/15/25</w:t>
            </w:r>
          </w:p>
        </w:tc>
        <w:tc>
          <w:tcPr>
            <w:tcW w:w="780" w:type="dxa"/>
            <w:vAlign w:val="bottom"/>
          </w:tcPr>
          <w:p>
            <w:pPr>
              <w:jc w:val="right"/>
              <w:spacing w:after="0"/>
              <w:rPr>
                <w:sz w:val="20"/>
                <w:szCs w:val="20"/>
                <w:color w:val="auto"/>
              </w:rPr>
            </w:pPr>
            <w:r>
              <w:rPr>
                <w:rFonts w:ascii="Arial" w:cs="Arial" w:eastAsia="Arial" w:hAnsi="Arial"/>
                <w:sz w:val="13"/>
                <w:szCs w:val="13"/>
                <w:color w:val="262626"/>
              </w:rPr>
              <w:t>03/04/25</w:t>
            </w:r>
            <w:r>
              <w:rPr>
                <w:rFonts w:ascii="Arial" w:cs="Arial" w:eastAsia="Arial" w:hAnsi="Arial"/>
                <w:sz w:val="20"/>
                <w:szCs w:val="20"/>
                <w:color w:val="262626"/>
                <w:vertAlign w:val="superscript"/>
              </w:rPr>
              <w:t>(6)</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262626"/>
              </w:rPr>
              <w:t>3,750</w:t>
            </w:r>
            <w:r>
              <w:rPr>
                <w:rFonts w:ascii="Arial" w:cs="Arial" w:eastAsia="Arial" w:hAnsi="Arial"/>
                <w:sz w:val="20"/>
                <w:szCs w:val="20"/>
                <w:color w:val="262626"/>
                <w:vertAlign w:val="superscript"/>
              </w:rPr>
              <w:t>(7)</w:t>
            </w:r>
          </w:p>
        </w:tc>
        <w:tc>
          <w:tcPr>
            <w:tcW w:w="760" w:type="dxa"/>
            <w:vAlign w:val="bottom"/>
          </w:tcPr>
          <w:p>
            <w:pPr>
              <w:jc w:val="right"/>
              <w:spacing w:after="0"/>
              <w:rPr>
                <w:sz w:val="20"/>
                <w:szCs w:val="20"/>
                <w:color w:val="auto"/>
              </w:rPr>
            </w:pPr>
            <w:r>
              <w:rPr>
                <w:rFonts w:ascii="Arial" w:cs="Arial" w:eastAsia="Arial" w:hAnsi="Arial"/>
                <w:sz w:val="13"/>
                <w:szCs w:val="13"/>
                <w:color w:val="262626"/>
              </w:rPr>
              <w:t>30,000</w:t>
            </w:r>
            <w:r>
              <w:rPr>
                <w:rFonts w:ascii="Arial" w:cs="Arial" w:eastAsia="Arial" w:hAnsi="Arial"/>
                <w:sz w:val="20"/>
                <w:szCs w:val="20"/>
                <w:color w:val="262626"/>
                <w:vertAlign w:val="superscript"/>
              </w:rPr>
              <w:t>(7)</w:t>
            </w:r>
          </w:p>
        </w:tc>
        <w:tc>
          <w:tcPr>
            <w:tcW w:w="840" w:type="dxa"/>
            <w:vAlign w:val="bottom"/>
          </w:tcPr>
          <w:p>
            <w:pPr>
              <w:jc w:val="right"/>
              <w:spacing w:after="0"/>
              <w:rPr>
                <w:sz w:val="20"/>
                <w:szCs w:val="20"/>
                <w:color w:val="auto"/>
              </w:rPr>
            </w:pPr>
            <w:r>
              <w:rPr>
                <w:rFonts w:ascii="Arial" w:cs="Arial" w:eastAsia="Arial" w:hAnsi="Arial"/>
                <w:sz w:val="13"/>
                <w:szCs w:val="13"/>
                <w:color w:val="262626"/>
              </w:rPr>
              <w:t>60,000</w:t>
            </w:r>
            <w:r>
              <w:rPr>
                <w:rFonts w:ascii="Arial" w:cs="Arial" w:eastAsia="Arial" w:hAnsi="Arial"/>
                <w:sz w:val="20"/>
                <w:szCs w:val="20"/>
                <w:color w:val="262626"/>
                <w:vertAlign w:val="superscript"/>
              </w:rPr>
              <w:t>(7)</w:t>
            </w:r>
          </w:p>
        </w:tc>
        <w:tc>
          <w:tcPr>
            <w:tcW w:w="96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262626"/>
              </w:rPr>
              <w:t>7,598,550</w:t>
            </w:r>
            <w:r>
              <w:rPr>
                <w:rFonts w:ascii="Arial" w:cs="Arial" w:eastAsia="Arial" w:hAnsi="Arial"/>
                <w:sz w:val="20"/>
                <w:szCs w:val="20"/>
                <w:color w:val="262626"/>
                <w:vertAlign w:val="superscript"/>
              </w:rPr>
              <w:t>(8)</w:t>
            </w:r>
          </w:p>
        </w:tc>
        <w:tc>
          <w:tcPr>
            <w:tcW w:w="0" w:type="dxa"/>
            <w:vAlign w:val="bottom"/>
          </w:tcPr>
          <w:p>
            <w:pPr>
              <w:spacing w:after="0"/>
              <w:rPr>
                <w:sz w:val="1"/>
                <w:szCs w:val="1"/>
                <w:color w:val="auto"/>
              </w:rPr>
            </w:pPr>
          </w:p>
        </w:tc>
      </w:tr>
      <w:tr>
        <w:trPr>
          <w:trHeight w:val="268"/>
        </w:trPr>
        <w:tc>
          <w:tcPr>
            <w:tcW w:w="124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262626"/>
              </w:rPr>
              <w:t>03/15/25</w:t>
            </w:r>
          </w:p>
        </w:tc>
        <w:tc>
          <w:tcPr>
            <w:tcW w:w="780" w:type="dxa"/>
            <w:vAlign w:val="bottom"/>
          </w:tcPr>
          <w:p>
            <w:pPr>
              <w:jc w:val="right"/>
              <w:spacing w:after="0"/>
              <w:rPr>
                <w:sz w:val="20"/>
                <w:szCs w:val="20"/>
                <w:color w:val="auto"/>
              </w:rPr>
            </w:pPr>
            <w:r>
              <w:rPr>
                <w:rFonts w:ascii="Arial" w:cs="Arial" w:eastAsia="Arial" w:hAnsi="Arial"/>
                <w:sz w:val="13"/>
                <w:szCs w:val="13"/>
                <w:color w:val="262626"/>
              </w:rPr>
              <w:t>03/04/25</w:t>
            </w:r>
            <w:r>
              <w:rPr>
                <w:rFonts w:ascii="Arial" w:cs="Arial" w:eastAsia="Arial" w:hAnsi="Arial"/>
                <w:sz w:val="20"/>
                <w:szCs w:val="20"/>
                <w:color w:val="262626"/>
                <w:vertAlign w:val="superscript"/>
              </w:rPr>
              <w:t>(9)</w:t>
            </w: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262626"/>
              </w:rPr>
              <w:t>3,750</w:t>
            </w:r>
            <w:r>
              <w:rPr>
                <w:rFonts w:ascii="Arial" w:cs="Arial" w:eastAsia="Arial" w:hAnsi="Arial"/>
                <w:sz w:val="20"/>
                <w:szCs w:val="20"/>
                <w:color w:val="262626"/>
                <w:vertAlign w:val="superscript"/>
              </w:rPr>
              <w:t>(7)</w:t>
            </w:r>
          </w:p>
        </w:tc>
        <w:tc>
          <w:tcPr>
            <w:tcW w:w="760" w:type="dxa"/>
            <w:vAlign w:val="bottom"/>
          </w:tcPr>
          <w:p>
            <w:pPr>
              <w:jc w:val="right"/>
              <w:spacing w:after="0"/>
              <w:rPr>
                <w:sz w:val="20"/>
                <w:szCs w:val="20"/>
                <w:color w:val="auto"/>
              </w:rPr>
            </w:pPr>
            <w:r>
              <w:rPr>
                <w:rFonts w:ascii="Arial" w:cs="Arial" w:eastAsia="Arial" w:hAnsi="Arial"/>
                <w:sz w:val="13"/>
                <w:szCs w:val="13"/>
                <w:color w:val="262626"/>
              </w:rPr>
              <w:t>30,000</w:t>
            </w:r>
            <w:r>
              <w:rPr>
                <w:rFonts w:ascii="Arial" w:cs="Arial" w:eastAsia="Arial" w:hAnsi="Arial"/>
                <w:sz w:val="20"/>
                <w:szCs w:val="20"/>
                <w:color w:val="262626"/>
                <w:vertAlign w:val="superscript"/>
              </w:rPr>
              <w:t>(7)</w:t>
            </w:r>
          </w:p>
        </w:tc>
        <w:tc>
          <w:tcPr>
            <w:tcW w:w="840" w:type="dxa"/>
            <w:vAlign w:val="bottom"/>
          </w:tcPr>
          <w:p>
            <w:pPr>
              <w:jc w:val="right"/>
              <w:spacing w:after="0"/>
              <w:rPr>
                <w:sz w:val="20"/>
                <w:szCs w:val="20"/>
                <w:color w:val="auto"/>
              </w:rPr>
            </w:pPr>
            <w:r>
              <w:rPr>
                <w:rFonts w:ascii="Arial" w:cs="Arial" w:eastAsia="Arial" w:hAnsi="Arial"/>
                <w:sz w:val="13"/>
                <w:szCs w:val="13"/>
                <w:color w:val="262626"/>
              </w:rPr>
              <w:t>60,000</w:t>
            </w:r>
            <w:r>
              <w:rPr>
                <w:rFonts w:ascii="Arial" w:cs="Arial" w:eastAsia="Arial" w:hAnsi="Arial"/>
                <w:sz w:val="20"/>
                <w:szCs w:val="20"/>
                <w:color w:val="262626"/>
                <w:vertAlign w:val="superscript"/>
              </w:rPr>
              <w:t>(7)</w:t>
            </w:r>
          </w:p>
        </w:tc>
        <w:tc>
          <w:tcPr>
            <w:tcW w:w="96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262626"/>
              </w:rPr>
              <w:t>8,088,750</w:t>
            </w:r>
            <w:r>
              <w:rPr>
                <w:rFonts w:ascii="Arial" w:cs="Arial" w:eastAsia="Arial" w:hAnsi="Arial"/>
                <w:sz w:val="20"/>
                <w:szCs w:val="20"/>
                <w:color w:val="262626"/>
                <w:vertAlign w:val="superscript"/>
              </w:rPr>
              <w:t>(8)</w:t>
            </w:r>
          </w:p>
        </w:tc>
        <w:tc>
          <w:tcPr>
            <w:tcW w:w="0" w:type="dxa"/>
            <w:vAlign w:val="bottom"/>
          </w:tcPr>
          <w:p>
            <w:pPr>
              <w:spacing w:after="0"/>
              <w:rPr>
                <w:sz w:val="1"/>
                <w:szCs w:val="1"/>
                <w:color w:val="auto"/>
              </w:rPr>
            </w:pPr>
          </w:p>
        </w:tc>
      </w:tr>
      <w:tr>
        <w:trPr>
          <w:trHeight w:val="268"/>
        </w:trPr>
        <w:tc>
          <w:tcPr>
            <w:tcW w:w="124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262626"/>
              </w:rPr>
              <w:t>03/15/25</w:t>
            </w:r>
          </w:p>
        </w:tc>
        <w:tc>
          <w:tcPr>
            <w:tcW w:w="780" w:type="dxa"/>
            <w:vAlign w:val="bottom"/>
          </w:tcPr>
          <w:p>
            <w:pPr>
              <w:jc w:val="right"/>
              <w:spacing w:after="0"/>
              <w:rPr>
                <w:sz w:val="20"/>
                <w:szCs w:val="20"/>
                <w:color w:val="auto"/>
              </w:rPr>
            </w:pPr>
            <w:r>
              <w:rPr>
                <w:rFonts w:ascii="Arial" w:cs="Arial" w:eastAsia="Arial" w:hAnsi="Arial"/>
                <w:sz w:val="13"/>
                <w:szCs w:val="13"/>
                <w:color w:val="262626"/>
              </w:rPr>
              <w:t>03/04/25</w:t>
            </w:r>
            <w:r>
              <w:rPr>
                <w:rFonts w:ascii="Arial" w:cs="Arial" w:eastAsia="Arial" w:hAnsi="Arial"/>
                <w:sz w:val="20"/>
                <w:szCs w:val="20"/>
                <w:color w:val="262626"/>
                <w:vertAlign w:val="superscript"/>
              </w:rPr>
              <w:t>(6)</w:t>
            </w: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60" w:type="dxa"/>
            <w:vAlign w:val="bottom"/>
          </w:tcPr>
          <w:p>
            <w:pPr>
              <w:ind w:left="300"/>
              <w:spacing w:after="0"/>
              <w:rPr>
                <w:sz w:val="20"/>
                <w:szCs w:val="20"/>
                <w:color w:val="auto"/>
              </w:rPr>
            </w:pPr>
            <w:r>
              <w:rPr>
                <w:rFonts w:ascii="Arial" w:cs="Arial" w:eastAsia="Arial" w:hAnsi="Arial"/>
                <w:sz w:val="13"/>
                <w:szCs w:val="13"/>
                <w:color w:val="262626"/>
              </w:rPr>
              <w:t>30,000</w:t>
            </w:r>
            <w:r>
              <w:rPr>
                <w:rFonts w:ascii="Arial" w:cs="Arial" w:eastAsia="Arial" w:hAnsi="Arial"/>
                <w:sz w:val="20"/>
                <w:szCs w:val="20"/>
                <w:color w:val="262626"/>
                <w:vertAlign w:val="superscript"/>
              </w:rPr>
              <w:t>(10)</w:t>
            </w:r>
          </w:p>
        </w:tc>
        <w:tc>
          <w:tcPr>
            <w:tcW w:w="1040" w:type="dxa"/>
            <w:vAlign w:val="bottom"/>
          </w:tcPr>
          <w:p>
            <w:pPr>
              <w:jc w:val="right"/>
              <w:ind w:right="33"/>
              <w:spacing w:after="0"/>
              <w:rPr>
                <w:sz w:val="20"/>
                <w:szCs w:val="20"/>
                <w:color w:val="auto"/>
              </w:rPr>
            </w:pPr>
            <w:r>
              <w:rPr>
                <w:rFonts w:ascii="Arial" w:cs="Arial" w:eastAsia="Arial" w:hAnsi="Arial"/>
                <w:sz w:val="13"/>
                <w:szCs w:val="13"/>
                <w:color w:val="262626"/>
              </w:rPr>
              <w:t>5,698,800</w:t>
            </w:r>
            <w:r>
              <w:rPr>
                <w:rFonts w:ascii="Arial" w:cs="Arial" w:eastAsia="Arial" w:hAnsi="Arial"/>
                <w:sz w:val="20"/>
                <w:szCs w:val="20"/>
                <w:color w:val="262626"/>
                <w:vertAlign w:val="superscript"/>
              </w:rPr>
              <w:t>(8)</w:t>
            </w:r>
          </w:p>
        </w:tc>
        <w:tc>
          <w:tcPr>
            <w:tcW w:w="0" w:type="dxa"/>
            <w:vAlign w:val="bottom"/>
          </w:tcPr>
          <w:p>
            <w:pPr>
              <w:spacing w:after="0"/>
              <w:rPr>
                <w:sz w:val="1"/>
                <w:szCs w:val="1"/>
                <w:color w:val="auto"/>
              </w:rPr>
            </w:pPr>
          </w:p>
        </w:tc>
      </w:tr>
      <w:tr>
        <w:trPr>
          <w:trHeight w:val="268"/>
        </w:trPr>
        <w:tc>
          <w:tcPr>
            <w:tcW w:w="124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262626"/>
              </w:rPr>
              <w:t>03/15/25</w:t>
            </w:r>
          </w:p>
        </w:tc>
        <w:tc>
          <w:tcPr>
            <w:tcW w:w="780" w:type="dxa"/>
            <w:vAlign w:val="bottom"/>
          </w:tcPr>
          <w:p>
            <w:pPr>
              <w:jc w:val="right"/>
              <w:spacing w:after="0"/>
              <w:rPr>
                <w:sz w:val="20"/>
                <w:szCs w:val="20"/>
                <w:color w:val="auto"/>
              </w:rPr>
            </w:pPr>
            <w:r>
              <w:rPr>
                <w:rFonts w:ascii="Arial" w:cs="Arial" w:eastAsia="Arial" w:hAnsi="Arial"/>
                <w:sz w:val="13"/>
                <w:szCs w:val="13"/>
                <w:color w:val="262626"/>
              </w:rPr>
              <w:t>03/04/25</w:t>
            </w:r>
            <w:r>
              <w:rPr>
                <w:rFonts w:ascii="Arial" w:cs="Arial" w:eastAsia="Arial" w:hAnsi="Arial"/>
                <w:sz w:val="20"/>
                <w:szCs w:val="20"/>
                <w:color w:val="262626"/>
                <w:vertAlign w:val="superscript"/>
              </w:rPr>
              <w:t>(9)</w:t>
            </w: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60" w:type="dxa"/>
            <w:vAlign w:val="bottom"/>
          </w:tcPr>
          <w:p>
            <w:pPr>
              <w:ind w:left="300"/>
              <w:spacing w:after="0"/>
              <w:rPr>
                <w:sz w:val="20"/>
                <w:szCs w:val="20"/>
                <w:color w:val="auto"/>
              </w:rPr>
            </w:pPr>
            <w:r>
              <w:rPr>
                <w:rFonts w:ascii="Arial" w:cs="Arial" w:eastAsia="Arial" w:hAnsi="Arial"/>
                <w:sz w:val="13"/>
                <w:szCs w:val="13"/>
                <w:color w:val="262626"/>
              </w:rPr>
              <w:t>30,000</w:t>
            </w:r>
            <w:r>
              <w:rPr>
                <w:rFonts w:ascii="Arial" w:cs="Arial" w:eastAsia="Arial" w:hAnsi="Arial"/>
                <w:sz w:val="20"/>
                <w:szCs w:val="20"/>
                <w:color w:val="262626"/>
                <w:vertAlign w:val="superscript"/>
              </w:rPr>
              <w:t>(11)</w:t>
            </w:r>
          </w:p>
        </w:tc>
        <w:tc>
          <w:tcPr>
            <w:tcW w:w="1040" w:type="dxa"/>
            <w:vAlign w:val="bottom"/>
          </w:tcPr>
          <w:p>
            <w:pPr>
              <w:jc w:val="right"/>
              <w:ind w:right="33"/>
              <w:spacing w:after="0"/>
              <w:rPr>
                <w:sz w:val="20"/>
                <w:szCs w:val="20"/>
                <w:color w:val="auto"/>
              </w:rPr>
            </w:pPr>
            <w:r>
              <w:rPr>
                <w:rFonts w:ascii="Arial" w:cs="Arial" w:eastAsia="Arial" w:hAnsi="Arial"/>
                <w:sz w:val="13"/>
                <w:szCs w:val="13"/>
                <w:color w:val="262626"/>
              </w:rPr>
              <w:t>5,635,500</w:t>
            </w:r>
            <w:r>
              <w:rPr>
                <w:rFonts w:ascii="Arial" w:cs="Arial" w:eastAsia="Arial" w:hAnsi="Arial"/>
                <w:sz w:val="20"/>
                <w:szCs w:val="20"/>
                <w:color w:val="262626"/>
                <w:vertAlign w:val="superscript"/>
              </w:rPr>
              <w:t>(8)</w:t>
            </w:r>
          </w:p>
        </w:tc>
        <w:tc>
          <w:tcPr>
            <w:tcW w:w="0" w:type="dxa"/>
            <w:vAlign w:val="bottom"/>
          </w:tcPr>
          <w:p>
            <w:pPr>
              <w:spacing w:after="0"/>
              <w:rPr>
                <w:sz w:val="1"/>
                <w:szCs w:val="1"/>
                <w:color w:val="auto"/>
              </w:rPr>
            </w:pPr>
          </w:p>
        </w:tc>
      </w:tr>
      <w:tr>
        <w:trPr>
          <w:trHeight w:val="227"/>
        </w:trPr>
        <w:tc>
          <w:tcPr>
            <w:tcW w:w="1240" w:type="dxa"/>
            <w:vAlign w:val="bottom"/>
            <w:tcBorders>
              <w:bottom w:val="single" w:sz="8" w:color="CF0A2C"/>
            </w:tcBorders>
          </w:tcPr>
          <w:p>
            <w:pPr>
              <w:spacing w:after="0"/>
              <w:rPr>
                <w:sz w:val="19"/>
                <w:szCs w:val="19"/>
                <w:color w:val="auto"/>
              </w:rPr>
            </w:pPr>
          </w:p>
        </w:tc>
        <w:tc>
          <w:tcPr>
            <w:tcW w:w="800" w:type="dxa"/>
            <w:vAlign w:val="bottom"/>
            <w:tcBorders>
              <w:bottom w:val="single" w:sz="8" w:color="CF0A2C"/>
            </w:tcBorders>
          </w:tcPr>
          <w:p>
            <w:pPr>
              <w:ind w:left="100"/>
              <w:spacing w:after="0"/>
              <w:rPr>
                <w:sz w:val="20"/>
                <w:szCs w:val="20"/>
                <w:color w:val="auto"/>
              </w:rPr>
            </w:pPr>
            <w:r>
              <w:rPr>
                <w:rFonts w:ascii="Arial" w:cs="Arial" w:eastAsia="Arial" w:hAnsi="Arial"/>
                <w:sz w:val="13"/>
                <w:szCs w:val="13"/>
                <w:color w:val="262626"/>
              </w:rPr>
              <w:t>N/A</w:t>
            </w:r>
          </w:p>
        </w:tc>
        <w:tc>
          <w:tcPr>
            <w:tcW w:w="780" w:type="dxa"/>
            <w:vAlign w:val="bottom"/>
            <w:tcBorders>
              <w:bottom w:val="single" w:sz="8" w:color="CF0A2C"/>
            </w:tcBorders>
          </w:tcPr>
          <w:p>
            <w:pPr>
              <w:spacing w:after="0"/>
              <w:rPr>
                <w:sz w:val="19"/>
                <w:szCs w:val="19"/>
                <w:color w:val="auto"/>
              </w:rPr>
            </w:pPr>
          </w:p>
        </w:tc>
        <w:tc>
          <w:tcPr>
            <w:tcW w:w="760" w:type="dxa"/>
            <w:vAlign w:val="bottom"/>
            <w:tcBorders>
              <w:bottom w:val="single" w:sz="8" w:color="CF0A2C"/>
            </w:tcBorders>
          </w:tcPr>
          <w:p>
            <w:pPr>
              <w:spacing w:after="0"/>
              <w:rPr>
                <w:sz w:val="19"/>
                <w:szCs w:val="19"/>
                <w:color w:val="auto"/>
              </w:rPr>
            </w:pPr>
          </w:p>
        </w:tc>
        <w:tc>
          <w:tcPr>
            <w:tcW w:w="600" w:type="dxa"/>
            <w:vAlign w:val="bottom"/>
            <w:tcBorders>
              <w:bottom w:val="single" w:sz="8" w:color="CF0A2C"/>
            </w:tcBorders>
          </w:tcPr>
          <w:p>
            <w:pPr>
              <w:spacing w:after="0"/>
              <w:rPr>
                <w:sz w:val="19"/>
                <w:szCs w:val="19"/>
                <w:color w:val="auto"/>
              </w:rPr>
            </w:pPr>
          </w:p>
        </w:tc>
        <w:tc>
          <w:tcPr>
            <w:tcW w:w="720" w:type="dxa"/>
            <w:vAlign w:val="bottom"/>
            <w:tcBorders>
              <w:bottom w:val="single" w:sz="8" w:color="CF0A2C"/>
            </w:tcBorders>
          </w:tcPr>
          <w:p>
            <w:pPr>
              <w:spacing w:after="0"/>
              <w:rPr>
                <w:sz w:val="19"/>
                <w:szCs w:val="19"/>
                <w:color w:val="auto"/>
              </w:rPr>
            </w:pPr>
          </w:p>
        </w:tc>
        <w:tc>
          <w:tcPr>
            <w:tcW w:w="160" w:type="dxa"/>
            <w:vAlign w:val="bottom"/>
            <w:tcBorders>
              <w:bottom w:val="single" w:sz="8" w:color="CF0A2C"/>
            </w:tcBorders>
          </w:tcPr>
          <w:p>
            <w:pPr>
              <w:spacing w:after="0"/>
              <w:rPr>
                <w:sz w:val="19"/>
                <w:szCs w:val="19"/>
                <w:color w:val="auto"/>
              </w:rPr>
            </w:pPr>
          </w:p>
        </w:tc>
        <w:tc>
          <w:tcPr>
            <w:tcW w:w="840" w:type="dxa"/>
            <w:vAlign w:val="bottom"/>
            <w:tcBorders>
              <w:bottom w:val="single" w:sz="8" w:color="CF0A2C"/>
            </w:tcBorders>
          </w:tcPr>
          <w:p>
            <w:pPr>
              <w:spacing w:after="0"/>
              <w:rPr>
                <w:sz w:val="19"/>
                <w:szCs w:val="19"/>
                <w:color w:val="auto"/>
              </w:rPr>
            </w:pPr>
          </w:p>
        </w:tc>
        <w:tc>
          <w:tcPr>
            <w:tcW w:w="760" w:type="dxa"/>
            <w:vAlign w:val="bottom"/>
            <w:tcBorders>
              <w:bottom w:val="single" w:sz="8" w:color="CF0A2C"/>
            </w:tcBorders>
          </w:tcPr>
          <w:p>
            <w:pPr>
              <w:spacing w:after="0"/>
              <w:rPr>
                <w:sz w:val="19"/>
                <w:szCs w:val="19"/>
                <w:color w:val="auto"/>
              </w:rPr>
            </w:pPr>
          </w:p>
        </w:tc>
        <w:tc>
          <w:tcPr>
            <w:tcW w:w="840" w:type="dxa"/>
            <w:vAlign w:val="bottom"/>
            <w:tcBorders>
              <w:bottom w:val="single" w:sz="8" w:color="CF0A2C"/>
            </w:tcBorders>
          </w:tcPr>
          <w:p>
            <w:pPr>
              <w:spacing w:after="0"/>
              <w:rPr>
                <w:sz w:val="19"/>
                <w:szCs w:val="19"/>
                <w:color w:val="auto"/>
              </w:rPr>
            </w:pPr>
          </w:p>
        </w:tc>
        <w:tc>
          <w:tcPr>
            <w:tcW w:w="960" w:type="dxa"/>
            <w:vAlign w:val="bottom"/>
            <w:tcBorders>
              <w:bottom w:val="single" w:sz="8" w:color="CF0A2C"/>
            </w:tcBorders>
          </w:tcPr>
          <w:p>
            <w:pPr>
              <w:spacing w:after="0"/>
              <w:rPr>
                <w:sz w:val="19"/>
                <w:szCs w:val="19"/>
                <w:color w:val="auto"/>
              </w:rPr>
            </w:pPr>
          </w:p>
        </w:tc>
        <w:tc>
          <w:tcPr>
            <w:tcW w:w="1040" w:type="dxa"/>
            <w:vAlign w:val="bottom"/>
            <w:tcBorders>
              <w:bottom w:val="single" w:sz="8" w:color="CF0A2C"/>
            </w:tcBorders>
          </w:tcPr>
          <w:p>
            <w:pPr>
              <w:jc w:val="right"/>
              <w:spacing w:after="0" w:line="228" w:lineRule="exact"/>
              <w:rPr>
                <w:sz w:val="20"/>
                <w:szCs w:val="20"/>
                <w:color w:val="auto"/>
              </w:rPr>
            </w:pPr>
            <w:r>
              <w:rPr>
                <w:rFonts w:ascii="Arial" w:cs="Arial" w:eastAsia="Arial" w:hAnsi="Arial"/>
                <w:sz w:val="13"/>
                <w:szCs w:val="13"/>
                <w:color w:val="262626"/>
              </w:rPr>
              <w:t>192,348</w:t>
            </w:r>
            <w:r>
              <w:rPr>
                <w:rFonts w:ascii="Arial" w:cs="Arial" w:eastAsia="Arial" w:hAnsi="Arial"/>
                <w:sz w:val="20"/>
                <w:szCs w:val="20"/>
                <w:color w:val="262626"/>
                <w:vertAlign w:val="superscript"/>
              </w:rPr>
              <w:t>(12)</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3"/>
                <w:szCs w:val="13"/>
                <w:color w:val="262626"/>
              </w:rPr>
              <w:t>Charlie B. Kawwas,</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240" w:type="dxa"/>
            <w:vAlign w:val="bottom"/>
          </w:tcPr>
          <w:p>
            <w:pPr>
              <w:ind w:left="120"/>
              <w:spacing w:after="0"/>
              <w:rPr>
                <w:sz w:val="20"/>
                <w:szCs w:val="20"/>
                <w:color w:val="auto"/>
              </w:rPr>
            </w:pPr>
            <w:r>
              <w:rPr>
                <w:rFonts w:ascii="Arial" w:cs="Arial" w:eastAsia="Arial" w:hAnsi="Arial"/>
                <w:sz w:val="13"/>
                <w:szCs w:val="13"/>
                <w:color w:val="262626"/>
              </w:rPr>
              <w:t>Ph.D.</w:t>
            </w:r>
          </w:p>
        </w:tc>
        <w:tc>
          <w:tcPr>
            <w:tcW w:w="800" w:type="dxa"/>
            <w:vAlign w:val="bottom"/>
          </w:tcPr>
          <w:p>
            <w:pPr>
              <w:ind w:left="100"/>
              <w:spacing w:after="0"/>
              <w:rPr>
                <w:sz w:val="20"/>
                <w:szCs w:val="20"/>
                <w:color w:val="auto"/>
              </w:rPr>
            </w:pPr>
            <w:r>
              <w:rPr>
                <w:rFonts w:ascii="Arial" w:cs="Arial" w:eastAsia="Arial" w:hAnsi="Arial"/>
                <w:sz w:val="13"/>
                <w:szCs w:val="13"/>
                <w:color w:val="262626"/>
              </w:rPr>
              <w:t>APB Plan</w:t>
            </w:r>
          </w:p>
        </w:tc>
        <w:tc>
          <w:tcPr>
            <w:tcW w:w="780" w:type="dxa"/>
            <w:vAlign w:val="bottom"/>
          </w:tcPr>
          <w:p>
            <w:pPr>
              <w:spacing w:after="0"/>
              <w:rPr>
                <w:sz w:val="22"/>
                <w:szCs w:val="22"/>
                <w:color w:val="auto"/>
              </w:rPr>
            </w:pPr>
          </w:p>
        </w:tc>
        <w:tc>
          <w:tcPr>
            <w:tcW w:w="760" w:type="dxa"/>
            <w:vAlign w:val="bottom"/>
          </w:tcPr>
          <w:p>
            <w:pPr>
              <w:ind w:left="280"/>
              <w:spacing w:after="0"/>
              <w:rPr>
                <w:sz w:val="20"/>
                <w:szCs w:val="20"/>
                <w:color w:val="auto"/>
              </w:rPr>
            </w:pPr>
            <w:r>
              <w:rPr>
                <w:rFonts w:ascii="Arial" w:cs="Arial" w:eastAsia="Arial" w:hAnsi="Arial"/>
                <w:sz w:val="13"/>
                <w:szCs w:val="13"/>
                <w:color w:val="262626"/>
              </w:rPr>
              <w:t>90,125</w:t>
            </w:r>
          </w:p>
        </w:tc>
        <w:tc>
          <w:tcPr>
            <w:tcW w:w="600" w:type="dxa"/>
            <w:vAlign w:val="bottom"/>
          </w:tcPr>
          <w:p>
            <w:pPr>
              <w:jc w:val="right"/>
              <w:spacing w:after="0"/>
              <w:rPr>
                <w:sz w:val="20"/>
                <w:szCs w:val="20"/>
                <w:color w:val="auto"/>
              </w:rPr>
            </w:pPr>
            <w:r>
              <w:rPr>
                <w:rFonts w:ascii="Arial" w:cs="Arial" w:eastAsia="Arial" w:hAnsi="Arial"/>
                <w:sz w:val="13"/>
                <w:szCs w:val="13"/>
                <w:color w:val="262626"/>
              </w:rPr>
              <w:t>721,000</w:t>
            </w:r>
          </w:p>
        </w:tc>
        <w:tc>
          <w:tcPr>
            <w:tcW w:w="720" w:type="dxa"/>
            <w:vAlign w:val="bottom"/>
          </w:tcPr>
          <w:p>
            <w:pPr>
              <w:jc w:val="right"/>
              <w:spacing w:after="0"/>
              <w:rPr>
                <w:sz w:val="20"/>
                <w:szCs w:val="20"/>
                <w:color w:val="auto"/>
              </w:rPr>
            </w:pPr>
            <w:r>
              <w:rPr>
                <w:rFonts w:ascii="Arial" w:cs="Arial" w:eastAsia="Arial" w:hAnsi="Arial"/>
                <w:sz w:val="13"/>
                <w:szCs w:val="13"/>
                <w:color w:val="262626"/>
              </w:rPr>
              <w:t>1,622,250</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8"/>
        </w:trPr>
        <w:tc>
          <w:tcPr>
            <w:tcW w:w="124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262626"/>
              </w:rPr>
              <w:t>N/A</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262626"/>
              </w:rPr>
              <w:t>21,750</w:t>
            </w:r>
            <w:r>
              <w:rPr>
                <w:rFonts w:ascii="Arial" w:cs="Arial" w:eastAsia="Arial" w:hAnsi="Arial"/>
                <w:sz w:val="20"/>
                <w:szCs w:val="20"/>
                <w:color w:val="262626"/>
                <w:vertAlign w:val="superscript"/>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54610</wp:posOffset>
            </wp:positionV>
            <wp:extent cx="4343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138" w:lineRule="exact"/>
        <w:rPr>
          <w:sz w:val="20"/>
          <w:szCs w:val="20"/>
          <w:color w:val="auto"/>
        </w:rPr>
      </w:pPr>
    </w:p>
    <w:p>
      <w:pPr>
        <w:jc w:val="both"/>
        <w:ind w:left="1620" w:right="800" w:hanging="344"/>
        <w:spacing w:after="0" w:line="325" w:lineRule="auto"/>
        <w:tabs>
          <w:tab w:leader="none" w:pos="1620" w:val="left"/>
        </w:tabs>
        <w:numPr>
          <w:ilvl w:val="0"/>
          <w:numId w:val="30"/>
        </w:numPr>
        <w:rPr>
          <w:rFonts w:ascii="Arial" w:cs="Arial" w:eastAsia="Arial" w:hAnsi="Arial"/>
          <w:sz w:val="14"/>
          <w:szCs w:val="14"/>
          <w:color w:val="262626"/>
        </w:rPr>
      </w:pPr>
      <w:r>
        <w:rPr>
          <w:rFonts w:ascii="Arial" w:cs="Arial" w:eastAsia="Arial" w:hAnsi="Arial"/>
          <w:sz w:val="14"/>
          <w:szCs w:val="14"/>
          <w:color w:val="262626"/>
        </w:rPr>
        <w:t>Represents potential payouts under the APB Plan for fiscal 2025. Target bonus amounts were 100% as a percentage of eligible earnings for each of Ms. Spears, Mr. Brazeal and Dr. Kawwas. The threshold amount for Dr. Kawwas was 12.5% of his target bonus amounts, calculated based on the achievement of a single corporate financial goal at 50% of target and an individual performance multiplier of 50%. The threshold amount for each of Ms. Spears and Mr. Brazeal was 6.25% of their respective target bonus amounts, calculated based on the achievement of a single corporate financial goal or division financial and strategic goal at 25% of target and an individual performance multiplier of 50%. The maximum amount for Dr. Kawwas was 225% of target, which assumes maximum (150%) performance for each corporate financial goal and an individual performance multiplier of 150%. The maximum amount for each of Ms. Spears and Mr. Brazeal was 202.5% of target, which assumes maximum (150%) performance for each corporate financial goal, maximum (120%) performance for their division financial and strategic goals and an individual performance multiplier of 150%.</w:t>
      </w:r>
    </w:p>
    <w:p>
      <w:pPr>
        <w:spacing w:after="0" w:line="265" w:lineRule="exact"/>
        <w:rPr>
          <w:rFonts w:ascii="Arial" w:cs="Arial" w:eastAsia="Arial" w:hAnsi="Arial"/>
          <w:sz w:val="14"/>
          <w:szCs w:val="14"/>
          <w:color w:val="262626"/>
        </w:rPr>
      </w:pPr>
    </w:p>
    <w:p>
      <w:pPr>
        <w:ind w:left="1620" w:hanging="344"/>
        <w:spacing w:after="0"/>
        <w:tabs>
          <w:tab w:leader="none" w:pos="1620" w:val="left"/>
        </w:tabs>
        <w:numPr>
          <w:ilvl w:val="0"/>
          <w:numId w:val="30"/>
        </w:numPr>
        <w:rPr>
          <w:rFonts w:ascii="Arial" w:cs="Arial" w:eastAsia="Arial" w:hAnsi="Arial"/>
          <w:sz w:val="14"/>
          <w:szCs w:val="14"/>
          <w:color w:val="262626"/>
        </w:rPr>
      </w:pPr>
      <w:r>
        <w:rPr>
          <w:rFonts w:ascii="Arial" w:cs="Arial" w:eastAsia="Arial" w:hAnsi="Arial"/>
          <w:sz w:val="14"/>
          <w:szCs w:val="14"/>
          <w:color w:val="262626"/>
        </w:rPr>
        <w:t>All equity awards were granted under the Broadcom Inc. 2012 Stock Incentive Plan (the “2012 Plan”).</w:t>
      </w:r>
    </w:p>
    <w:p>
      <w:pPr>
        <w:spacing w:after="0" w:line="134" w:lineRule="exact"/>
        <w:rPr>
          <w:rFonts w:ascii="Arial" w:cs="Arial" w:eastAsia="Arial" w:hAnsi="Arial"/>
          <w:sz w:val="14"/>
          <w:szCs w:val="14"/>
          <w:color w:val="262626"/>
        </w:rPr>
      </w:pPr>
    </w:p>
    <w:p>
      <w:pPr>
        <w:jc w:val="both"/>
        <w:ind w:left="1620" w:right="820" w:hanging="344"/>
        <w:spacing w:after="0" w:line="341" w:lineRule="auto"/>
        <w:tabs>
          <w:tab w:leader="none" w:pos="1620" w:val="left"/>
        </w:tabs>
        <w:numPr>
          <w:ilvl w:val="0"/>
          <w:numId w:val="30"/>
        </w:numPr>
        <w:rPr>
          <w:rFonts w:ascii="Arial" w:cs="Arial" w:eastAsia="Arial" w:hAnsi="Arial"/>
          <w:sz w:val="14"/>
          <w:szCs w:val="14"/>
          <w:color w:val="262626"/>
        </w:rPr>
      </w:pPr>
      <w:r>
        <w:rPr>
          <w:rFonts w:ascii="Arial" w:cs="Arial" w:eastAsia="Arial" w:hAnsi="Arial"/>
          <w:sz w:val="14"/>
          <w:szCs w:val="14"/>
          <w:color w:val="262626"/>
        </w:rPr>
        <w:t>Represents the grant date fair value of the equity awards calculated in accordance with ASC 718. These amounts do not reflect compensation actually received by the NEOs or the actual value that may be recognized by the NEOs. For information on the valuation assumptions used in the calculations, see Note 2 to the Consolidated Financial Statements in our 2025 Annual Report.</w:t>
      </w:r>
    </w:p>
    <w:p>
      <w:pPr>
        <w:spacing w:after="0" w:line="38" w:lineRule="exact"/>
        <w:rPr>
          <w:rFonts w:ascii="Arial" w:cs="Arial" w:eastAsia="Arial" w:hAnsi="Arial"/>
          <w:sz w:val="14"/>
          <w:szCs w:val="14"/>
          <w:color w:val="262626"/>
        </w:rPr>
      </w:pPr>
    </w:p>
    <w:p>
      <w:pPr>
        <w:jc w:val="both"/>
        <w:ind w:left="1620" w:right="820" w:hanging="344"/>
        <w:spacing w:after="0" w:line="327" w:lineRule="auto"/>
        <w:tabs>
          <w:tab w:leader="none" w:pos="1620" w:val="left"/>
        </w:tabs>
        <w:numPr>
          <w:ilvl w:val="0"/>
          <w:numId w:val="30"/>
        </w:numPr>
        <w:rPr>
          <w:rFonts w:ascii="Arial" w:cs="Arial" w:eastAsia="Arial" w:hAnsi="Arial"/>
          <w:sz w:val="14"/>
          <w:szCs w:val="14"/>
          <w:color w:val="262626"/>
        </w:rPr>
      </w:pPr>
      <w:r>
        <w:rPr>
          <w:rFonts w:ascii="Arial" w:cs="Arial" w:eastAsia="Arial" w:hAnsi="Arial"/>
          <w:sz w:val="14"/>
          <w:szCs w:val="14"/>
          <w:color w:val="262626"/>
        </w:rPr>
        <w:t>Represents the 2025 Tan PSU Award with vesting contingent on both attainment of AI Revenue targets during the Performance Period and continued employment through the Vesting Date. No portion of the PSU award will be earned if the Applicable AI Revenue is less than or equal to the Threshold Achievement Level (and accordingly, no threshold payout amount is disclosed). The actual number of shares earned on the Vesting Date will be the product of multiplying the Payout Percentage by the Target PSUs. If the Applicable AI Revenue is between two Achievement Levels, the number of shares earned will be determined using linear interpolation. Mr. Tan may earn up to 300% of the Target PSUs. Any shares earned during the Performance Period but prior to the Vesting Date will be subject to continued employment through the Vesting Date.</w:t>
      </w:r>
    </w:p>
    <w:p>
      <w:pPr>
        <w:spacing w:after="0" w:line="48" w:lineRule="exact"/>
        <w:rPr>
          <w:rFonts w:ascii="Arial" w:cs="Arial" w:eastAsia="Arial" w:hAnsi="Arial"/>
          <w:sz w:val="14"/>
          <w:szCs w:val="14"/>
          <w:color w:val="262626"/>
        </w:rPr>
      </w:pPr>
    </w:p>
    <w:p>
      <w:pPr>
        <w:ind w:left="1620" w:right="800" w:hanging="344"/>
        <w:spacing w:after="0" w:line="362" w:lineRule="auto"/>
        <w:tabs>
          <w:tab w:leader="none" w:pos="1620" w:val="left"/>
        </w:tabs>
        <w:numPr>
          <w:ilvl w:val="0"/>
          <w:numId w:val="30"/>
        </w:numPr>
        <w:rPr>
          <w:rFonts w:ascii="Arial" w:cs="Arial" w:eastAsia="Arial" w:hAnsi="Arial"/>
          <w:sz w:val="14"/>
          <w:szCs w:val="14"/>
          <w:color w:val="262626"/>
        </w:rPr>
      </w:pPr>
      <w:r>
        <w:rPr>
          <w:rFonts w:ascii="Arial" w:cs="Arial" w:eastAsia="Arial" w:hAnsi="Arial"/>
          <w:sz w:val="14"/>
          <w:szCs w:val="14"/>
          <w:color w:val="262626"/>
        </w:rPr>
        <w:t>Represents the grant date fair value for the 2025 Tan PSU Award at the target attainment level calculated in accordance with ASC 718.</w:t>
      </w:r>
    </w:p>
    <w:p>
      <w:pPr>
        <w:spacing w:after="0" w:line="24" w:lineRule="exact"/>
        <w:rPr>
          <w:rFonts w:ascii="Arial" w:cs="Arial" w:eastAsia="Arial" w:hAnsi="Arial"/>
          <w:sz w:val="14"/>
          <w:szCs w:val="14"/>
          <w:color w:val="262626"/>
        </w:rPr>
      </w:pPr>
    </w:p>
    <w:p>
      <w:pPr>
        <w:ind w:left="1620" w:hanging="344"/>
        <w:spacing w:after="0"/>
        <w:tabs>
          <w:tab w:leader="none" w:pos="1620" w:val="left"/>
        </w:tabs>
        <w:numPr>
          <w:ilvl w:val="0"/>
          <w:numId w:val="30"/>
        </w:numPr>
        <w:rPr>
          <w:rFonts w:ascii="Arial" w:cs="Arial" w:eastAsia="Arial" w:hAnsi="Arial"/>
          <w:sz w:val="14"/>
          <w:szCs w:val="14"/>
          <w:color w:val="262626"/>
        </w:rPr>
      </w:pPr>
      <w:r>
        <w:rPr>
          <w:rFonts w:ascii="Arial" w:cs="Arial" w:eastAsia="Arial" w:hAnsi="Arial"/>
          <w:sz w:val="14"/>
          <w:szCs w:val="14"/>
          <w:color w:val="262626"/>
        </w:rPr>
        <w:t>Equity awards have a vesting start date of March 15, 2025.</w:t>
      </w:r>
    </w:p>
    <w:p>
      <w:pPr>
        <w:sectPr>
          <w:pgSz w:w="11900" w:h="16838" w:orient="portrait"/>
          <w:cols w:equalWidth="0" w:num="1">
            <w:col w:w="10780"/>
          </w:cols>
          <w:pgMar w:left="320" w:top="480" w:right="799" w:bottom="1440" w:gutter="0" w:footer="0" w:header="0"/>
        </w:sectPr>
      </w:pP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850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780"/>
          </w:cols>
          <w:pgMar w:left="320" w:top="480" w:right="7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6" w:lineRule="exact"/>
        <w:rPr>
          <w:sz w:val="20"/>
          <w:szCs w:val="20"/>
          <w:color w:val="auto"/>
        </w:rPr>
      </w:pPr>
    </w:p>
    <w:p>
      <w:pPr>
        <w:jc w:val="both"/>
        <w:ind w:left="1620" w:right="159" w:hanging="344"/>
        <w:spacing w:after="0" w:line="325" w:lineRule="auto"/>
        <w:tabs>
          <w:tab w:leader="none" w:pos="1620" w:val="left"/>
        </w:tabs>
        <w:numPr>
          <w:ilvl w:val="0"/>
          <w:numId w:val="31"/>
        </w:numPr>
        <w:rPr>
          <w:rFonts w:ascii="Arial" w:cs="Arial" w:eastAsia="Arial" w:hAnsi="Arial"/>
          <w:sz w:val="14"/>
          <w:szCs w:val="14"/>
          <w:color w:val="262626"/>
        </w:rPr>
      </w:pPr>
      <w:r>
        <w:rPr>
          <w:rFonts w:ascii="Arial" w:cs="Arial" w:eastAsia="Arial" w:hAnsi="Arial"/>
          <w:sz w:val="14"/>
          <w:szCs w:val="14"/>
          <w:color w:val="262626"/>
        </w:rPr>
        <w:t>Represents a PSU award that vests at a rate of 25% per year on each anniversary of the applicable vesting start date, subject to continued employment through the applicable vesting date and achievement of specified performance goals based on the Relative TSR over four overlapping performance periods beginning on March 2nd immediately prior to the applicable vesting start date and ending on March 1st of the first, second, third and fourth years following the performance period commencement date. The number of shares that may be earned is capped at 25% of the target number of shares subject to the PSU award for each of the first three performance periods. In the aggregate, the NEO may earn up to 200% of the total target number of shares subject to the PSU award if, for the fourth performance period, the Relative TSR is at or above the 75th percentile of the S&amp;P 500 and our absolute TSR is not negative. If the minimum performance criteria is not met, no shares of common stock will be issued and the PSU award will be cancelled.</w:t>
      </w:r>
    </w:p>
    <w:p>
      <w:pPr>
        <w:spacing w:after="0" w:line="51" w:lineRule="exact"/>
        <w:rPr>
          <w:rFonts w:ascii="Arial" w:cs="Arial" w:eastAsia="Arial" w:hAnsi="Arial"/>
          <w:sz w:val="14"/>
          <w:szCs w:val="14"/>
          <w:color w:val="262626"/>
        </w:rPr>
      </w:pPr>
    </w:p>
    <w:p>
      <w:pPr>
        <w:ind w:left="1620" w:right="179" w:hanging="344"/>
        <w:spacing w:after="0" w:line="360" w:lineRule="auto"/>
        <w:tabs>
          <w:tab w:leader="none" w:pos="1620" w:val="left"/>
        </w:tabs>
        <w:numPr>
          <w:ilvl w:val="0"/>
          <w:numId w:val="31"/>
        </w:numPr>
        <w:rPr>
          <w:rFonts w:ascii="Arial" w:cs="Arial" w:eastAsia="Arial" w:hAnsi="Arial"/>
          <w:sz w:val="14"/>
          <w:szCs w:val="14"/>
          <w:color w:val="262626"/>
        </w:rPr>
      </w:pPr>
      <w:r>
        <w:rPr>
          <w:rFonts w:ascii="Arial" w:cs="Arial" w:eastAsia="Arial" w:hAnsi="Arial"/>
          <w:sz w:val="14"/>
          <w:szCs w:val="14"/>
          <w:color w:val="262626"/>
        </w:rPr>
        <w:t>Represents the maximum grant date fair value (using a Monte Carlo simulation model) for the 2025 Spears/Brazeal PSU Awards calculated in accordance with ASC 718.</w:t>
      </w:r>
    </w:p>
    <w:p>
      <w:pPr>
        <w:ind w:left="1620" w:hanging="344"/>
        <w:spacing w:after="0"/>
        <w:tabs>
          <w:tab w:leader="none" w:pos="1620" w:val="left"/>
        </w:tabs>
        <w:numPr>
          <w:ilvl w:val="0"/>
          <w:numId w:val="31"/>
        </w:numPr>
        <w:rPr>
          <w:rFonts w:ascii="Arial" w:cs="Arial" w:eastAsia="Arial" w:hAnsi="Arial"/>
          <w:sz w:val="14"/>
          <w:szCs w:val="14"/>
          <w:color w:val="262626"/>
        </w:rPr>
      </w:pPr>
      <w:r>
        <w:rPr>
          <w:rFonts w:ascii="Arial" w:cs="Arial" w:eastAsia="Arial" w:hAnsi="Arial"/>
          <w:sz w:val="14"/>
          <w:szCs w:val="14"/>
          <w:color w:val="262626"/>
        </w:rPr>
        <w:t>Equity awards have a vesting start date of March 15, 2026.</w:t>
      </w:r>
    </w:p>
    <w:p>
      <w:pPr>
        <w:spacing w:after="0" w:line="107" w:lineRule="exact"/>
        <w:rPr>
          <w:rFonts w:ascii="Arial" w:cs="Arial" w:eastAsia="Arial" w:hAnsi="Arial"/>
          <w:sz w:val="14"/>
          <w:szCs w:val="14"/>
          <w:color w:val="262626"/>
        </w:rPr>
      </w:pPr>
    </w:p>
    <w:p>
      <w:pPr>
        <w:jc w:val="both"/>
        <w:ind w:left="1620" w:right="179" w:hanging="344"/>
        <w:spacing w:after="0" w:line="334" w:lineRule="auto"/>
        <w:tabs>
          <w:tab w:leader="none" w:pos="1620" w:val="left"/>
        </w:tabs>
        <w:numPr>
          <w:ilvl w:val="0"/>
          <w:numId w:val="31"/>
        </w:numPr>
        <w:rPr>
          <w:rFonts w:ascii="Arial" w:cs="Arial" w:eastAsia="Arial" w:hAnsi="Arial"/>
          <w:sz w:val="14"/>
          <w:szCs w:val="14"/>
          <w:color w:val="262626"/>
        </w:rPr>
      </w:pPr>
      <w:r>
        <w:rPr>
          <w:rFonts w:ascii="Arial" w:cs="Arial" w:eastAsia="Arial" w:hAnsi="Arial"/>
          <w:sz w:val="14"/>
          <w:szCs w:val="14"/>
          <w:color w:val="262626"/>
        </w:rPr>
        <w:t>Represents an RSU award, which when granted, vested at a rate of 25% per year on each anniversary of the applicable vesting start date, subject to continued employment on the applicable vesting date. The Compensation Committee in June 2025 modified the vesting schedule from annual to quarterly such that 12.5% of the RSU award vested on September 15, 2025 and the remainder will vest at a rate of 6.25% per quarter, subject to continued employment through the applicable vesting date.</w:t>
      </w:r>
    </w:p>
    <w:p>
      <w:pPr>
        <w:spacing w:after="0" w:line="43" w:lineRule="exact"/>
        <w:rPr>
          <w:rFonts w:ascii="Arial" w:cs="Arial" w:eastAsia="Arial" w:hAnsi="Arial"/>
          <w:sz w:val="14"/>
          <w:szCs w:val="14"/>
          <w:color w:val="262626"/>
        </w:rPr>
      </w:pPr>
    </w:p>
    <w:p>
      <w:pPr>
        <w:jc w:val="both"/>
        <w:ind w:left="1620" w:right="179" w:hanging="344"/>
        <w:spacing w:after="0" w:line="334" w:lineRule="auto"/>
        <w:tabs>
          <w:tab w:leader="none" w:pos="1620" w:val="left"/>
        </w:tabs>
        <w:numPr>
          <w:ilvl w:val="0"/>
          <w:numId w:val="31"/>
        </w:numPr>
        <w:rPr>
          <w:rFonts w:ascii="Arial" w:cs="Arial" w:eastAsia="Arial" w:hAnsi="Arial"/>
          <w:sz w:val="14"/>
          <w:szCs w:val="14"/>
          <w:color w:val="262626"/>
        </w:rPr>
      </w:pPr>
      <w:r>
        <w:rPr>
          <w:rFonts w:ascii="Arial" w:cs="Arial" w:eastAsia="Arial" w:hAnsi="Arial"/>
          <w:sz w:val="14"/>
          <w:szCs w:val="14"/>
          <w:color w:val="262626"/>
        </w:rPr>
        <w:t>Represents an RSU award, which when granted, was to vest at a rate of 25% per year on each anniversary of the applicable vesting start date, subject to continued employment on the applicable vesting date. The Compensation Committee in June 2025 modified the vesting schedule from annual to quarterly and the RSU award will vest at a rate of 6.25% per quarter, subject to continued employment through the applicable vesting date.</w:t>
      </w:r>
    </w:p>
    <w:p>
      <w:pPr>
        <w:spacing w:after="0" w:line="43" w:lineRule="exact"/>
        <w:rPr>
          <w:rFonts w:ascii="Arial" w:cs="Arial" w:eastAsia="Arial" w:hAnsi="Arial"/>
          <w:sz w:val="14"/>
          <w:szCs w:val="14"/>
          <w:color w:val="262626"/>
        </w:rPr>
      </w:pPr>
    </w:p>
    <w:p>
      <w:pPr>
        <w:ind w:left="1620" w:right="179" w:hanging="344"/>
        <w:spacing w:after="0" w:line="362" w:lineRule="auto"/>
        <w:tabs>
          <w:tab w:leader="none" w:pos="1620" w:val="left"/>
        </w:tabs>
        <w:numPr>
          <w:ilvl w:val="0"/>
          <w:numId w:val="31"/>
        </w:numPr>
        <w:rPr>
          <w:rFonts w:ascii="Arial" w:cs="Arial" w:eastAsia="Arial" w:hAnsi="Arial"/>
          <w:sz w:val="14"/>
          <w:szCs w:val="14"/>
          <w:color w:val="262626"/>
        </w:rPr>
      </w:pPr>
      <w:r>
        <w:rPr>
          <w:rFonts w:ascii="Arial" w:cs="Arial" w:eastAsia="Arial" w:hAnsi="Arial"/>
          <w:sz w:val="14"/>
          <w:szCs w:val="14"/>
          <w:color w:val="262626"/>
        </w:rPr>
        <w:t>Represents the incremental grant date fair value of the previously-granted outstanding RSU awards that were modified in June 2025 by the Compensation Committee to reflect a quarterly vesting schedule and calculated in accordance with ASC 718.</w:t>
      </w:r>
    </w:p>
    <w:p>
      <w:pPr>
        <w:spacing w:after="0" w:line="12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FISCAL 2025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161925</wp:posOffset>
            </wp:positionV>
            <wp:extent cx="55225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70" w:lineRule="exact"/>
        <w:rPr>
          <w:sz w:val="20"/>
          <w:szCs w:val="20"/>
          <w:color w:val="auto"/>
        </w:rPr>
      </w:pPr>
    </w:p>
    <w:tbl>
      <w:tblPr>
        <w:tblLayout w:type="fixed"/>
        <w:tblInd w:w="1280" w:type="dxa"/>
        <w:tblCellMar>
          <w:top w:w="0" w:type="dxa"/>
          <w:left w:w="0" w:type="dxa"/>
          <w:bottom w:w="0" w:type="dxa"/>
          <w:right w:w="0" w:type="dxa"/>
        </w:tblCellMar>
      </w:tblPr>
      <w:tr>
        <w:trPr>
          <w:trHeight w:val="219"/>
        </w:trPr>
        <w:tc>
          <w:tcPr>
            <w:tcW w:w="1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Borders>
              <w:bottom w:val="single" w:sz="8" w:color="7F7F7F"/>
            </w:tcBorders>
          </w:tcPr>
          <w:p>
            <w:pPr>
              <w:spacing w:after="0"/>
              <w:rPr>
                <w:sz w:val="19"/>
                <w:szCs w:val="19"/>
                <w:color w:val="auto"/>
              </w:rPr>
            </w:pPr>
          </w:p>
        </w:tc>
        <w:tc>
          <w:tcPr>
            <w:tcW w:w="2500" w:type="dxa"/>
            <w:vAlign w:val="bottom"/>
            <w:tcBorders>
              <w:bottom w:val="single" w:sz="8" w:color="7F7F7F"/>
            </w:tcBorders>
            <w:gridSpan w:val="2"/>
          </w:tcPr>
          <w:p>
            <w:pPr>
              <w:jc w:val="right"/>
              <w:ind w:right="603"/>
              <w:spacing w:after="0"/>
              <w:rPr>
                <w:sz w:val="20"/>
                <w:szCs w:val="20"/>
                <w:color w:val="auto"/>
              </w:rPr>
            </w:pPr>
            <w:r>
              <w:rPr>
                <w:rFonts w:ascii="Arial" w:cs="Arial" w:eastAsia="Arial" w:hAnsi="Arial"/>
                <w:sz w:val="13"/>
                <w:szCs w:val="13"/>
                <w:b w:val="1"/>
                <w:bCs w:val="1"/>
                <w:color w:val="262626"/>
              </w:rPr>
              <w:t>Stock Awards</w:t>
            </w:r>
            <w:r>
              <w:rPr>
                <w:rFonts w:ascii="Arial" w:cs="Arial" w:eastAsia="Arial" w:hAnsi="Arial"/>
                <w:sz w:val="18"/>
                <w:szCs w:val="18"/>
                <w:b w:val="1"/>
                <w:bCs w:val="1"/>
                <w:color w:val="262626"/>
                <w:vertAlign w:val="superscript"/>
              </w:rPr>
              <w:t>(1)</w:t>
            </w:r>
          </w:p>
        </w:tc>
        <w:tc>
          <w:tcPr>
            <w:tcW w:w="1360" w:type="dxa"/>
            <w:vAlign w:val="bottom"/>
            <w:tcBorders>
              <w:bottom w:val="single" w:sz="8" w:color="7F7F7F"/>
            </w:tcBorders>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1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262626"/>
                <w:w w:val="96"/>
              </w:rPr>
              <w:t>Equity Incentive Plan</w:t>
            </w:r>
          </w:p>
        </w:tc>
        <w:tc>
          <w:tcPr>
            <w:tcW w:w="1360" w:type="dxa"/>
            <w:vAlign w:val="bottom"/>
          </w:tcPr>
          <w:p>
            <w:pPr>
              <w:jc w:val="center"/>
              <w:ind w:left="38"/>
              <w:spacing w:after="0"/>
              <w:rPr>
                <w:sz w:val="20"/>
                <w:szCs w:val="20"/>
                <w:color w:val="auto"/>
              </w:rPr>
            </w:pPr>
            <w:r>
              <w:rPr>
                <w:rFonts w:ascii="Arial" w:cs="Arial" w:eastAsia="Arial" w:hAnsi="Arial"/>
                <w:sz w:val="13"/>
                <w:szCs w:val="13"/>
                <w:b w:val="1"/>
                <w:bCs w:val="1"/>
                <w:color w:val="262626"/>
                <w:w w:val="96"/>
              </w:rPr>
              <w:t>Equity Incentive Plan</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262626"/>
                <w:w w:val="95"/>
              </w:rPr>
              <w:t>Number of</w:t>
            </w: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262626"/>
                <w:w w:val="94"/>
              </w:rPr>
              <w:t>Market Value</w:t>
            </w:r>
          </w:p>
        </w:tc>
        <w:tc>
          <w:tcPr>
            <w:tcW w:w="1440" w:type="dxa"/>
            <w:vAlign w:val="bottom"/>
            <w:vMerge w:val="continue"/>
          </w:tcPr>
          <w:p>
            <w:pPr>
              <w:spacing w:after="0"/>
              <w:rPr>
                <w:sz w:val="10"/>
                <w:szCs w:val="10"/>
                <w:color w:val="auto"/>
              </w:rPr>
            </w:pPr>
          </w:p>
        </w:tc>
        <w:tc>
          <w:tcPr>
            <w:tcW w:w="1360" w:type="dxa"/>
            <w:vAlign w:val="bottom"/>
          </w:tcPr>
          <w:p>
            <w:pPr>
              <w:jc w:val="center"/>
              <w:ind w:left="18"/>
              <w:spacing w:after="0" w:line="126" w:lineRule="exact"/>
              <w:rPr>
                <w:sz w:val="20"/>
                <w:szCs w:val="20"/>
                <w:color w:val="auto"/>
              </w:rPr>
            </w:pPr>
            <w:r>
              <w:rPr>
                <w:rFonts w:ascii="Arial" w:cs="Arial" w:eastAsia="Arial" w:hAnsi="Arial"/>
                <w:sz w:val="13"/>
                <w:szCs w:val="13"/>
                <w:b w:val="1"/>
                <w:bCs w:val="1"/>
                <w:color w:val="262626"/>
                <w:w w:val="95"/>
              </w:rPr>
              <w:t>Awards: Market or</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440" w:type="dxa"/>
            <w:vAlign w:val="bottom"/>
          </w:tcPr>
          <w:p>
            <w:pPr>
              <w:jc w:val="center"/>
              <w:spacing w:after="0" w:line="134" w:lineRule="exact"/>
              <w:rPr>
                <w:sz w:val="20"/>
                <w:szCs w:val="20"/>
                <w:color w:val="auto"/>
              </w:rPr>
            </w:pPr>
            <w:r>
              <w:rPr>
                <w:rFonts w:ascii="Arial" w:cs="Arial" w:eastAsia="Arial" w:hAnsi="Arial"/>
                <w:sz w:val="13"/>
                <w:szCs w:val="13"/>
                <w:b w:val="1"/>
                <w:bCs w:val="1"/>
                <w:color w:val="262626"/>
                <w:w w:val="95"/>
              </w:rPr>
              <w:t>Awards: Number of</w:t>
            </w:r>
          </w:p>
        </w:tc>
        <w:tc>
          <w:tcPr>
            <w:tcW w:w="1360" w:type="dxa"/>
            <w:vAlign w:val="bottom"/>
          </w:tcPr>
          <w:p>
            <w:pPr>
              <w:jc w:val="center"/>
              <w:ind w:left="38"/>
              <w:spacing w:after="0" w:line="134" w:lineRule="exact"/>
              <w:rPr>
                <w:sz w:val="20"/>
                <w:szCs w:val="20"/>
                <w:color w:val="auto"/>
              </w:rPr>
            </w:pPr>
            <w:r>
              <w:rPr>
                <w:rFonts w:ascii="Arial" w:cs="Arial" w:eastAsia="Arial" w:hAnsi="Arial"/>
                <w:sz w:val="13"/>
                <w:szCs w:val="13"/>
                <w:b w:val="1"/>
                <w:bCs w:val="1"/>
                <w:color w:val="262626"/>
                <w:w w:val="95"/>
              </w:rPr>
              <w:t>Payout Value</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jc w:val="center"/>
              <w:ind w:right="37"/>
              <w:spacing w:after="0" w:line="134" w:lineRule="exact"/>
              <w:rPr>
                <w:sz w:val="20"/>
                <w:szCs w:val="20"/>
                <w:color w:val="auto"/>
              </w:rPr>
            </w:pPr>
            <w:r>
              <w:rPr>
                <w:rFonts w:ascii="Arial" w:cs="Arial" w:eastAsia="Arial" w:hAnsi="Arial"/>
                <w:sz w:val="13"/>
                <w:szCs w:val="13"/>
                <w:b w:val="1"/>
                <w:bCs w:val="1"/>
                <w:color w:val="262626"/>
                <w:w w:val="96"/>
              </w:rPr>
              <w:t>Shares or</w:t>
            </w:r>
          </w:p>
        </w:tc>
        <w:tc>
          <w:tcPr>
            <w:tcW w:w="1060" w:type="dxa"/>
            <w:vAlign w:val="bottom"/>
          </w:tcPr>
          <w:p>
            <w:pPr>
              <w:jc w:val="center"/>
              <w:spacing w:after="0" w:line="134" w:lineRule="exact"/>
              <w:rPr>
                <w:sz w:val="20"/>
                <w:szCs w:val="20"/>
                <w:color w:val="auto"/>
              </w:rPr>
            </w:pPr>
            <w:r>
              <w:rPr>
                <w:rFonts w:ascii="Arial" w:cs="Arial" w:eastAsia="Arial" w:hAnsi="Arial"/>
                <w:sz w:val="13"/>
                <w:szCs w:val="13"/>
                <w:b w:val="1"/>
                <w:bCs w:val="1"/>
                <w:color w:val="262626"/>
                <w:w w:val="94"/>
              </w:rPr>
              <w:t>of Shares or</w:t>
            </w:r>
          </w:p>
        </w:tc>
        <w:tc>
          <w:tcPr>
            <w:tcW w:w="1440" w:type="dxa"/>
            <w:vAlign w:val="bottom"/>
          </w:tcPr>
          <w:p>
            <w:pPr>
              <w:jc w:val="center"/>
              <w:spacing w:after="0" w:line="134" w:lineRule="exact"/>
              <w:rPr>
                <w:sz w:val="20"/>
                <w:szCs w:val="20"/>
                <w:color w:val="auto"/>
              </w:rPr>
            </w:pPr>
            <w:r>
              <w:rPr>
                <w:rFonts w:ascii="Arial" w:cs="Arial" w:eastAsia="Arial" w:hAnsi="Arial"/>
                <w:sz w:val="13"/>
                <w:szCs w:val="13"/>
                <w:b w:val="1"/>
                <w:bCs w:val="1"/>
                <w:color w:val="262626"/>
                <w:w w:val="95"/>
              </w:rPr>
              <w:t>Unearned Shares,</w:t>
            </w:r>
          </w:p>
        </w:tc>
        <w:tc>
          <w:tcPr>
            <w:tcW w:w="1360" w:type="dxa"/>
            <w:vAlign w:val="bottom"/>
          </w:tcPr>
          <w:p>
            <w:pPr>
              <w:jc w:val="center"/>
              <w:ind w:left="38"/>
              <w:spacing w:after="0" w:line="134" w:lineRule="exact"/>
              <w:rPr>
                <w:sz w:val="20"/>
                <w:szCs w:val="20"/>
                <w:color w:val="auto"/>
              </w:rPr>
            </w:pPr>
            <w:r>
              <w:rPr>
                <w:rFonts w:ascii="Arial" w:cs="Arial" w:eastAsia="Arial" w:hAnsi="Arial"/>
                <w:sz w:val="13"/>
                <w:szCs w:val="13"/>
                <w:b w:val="1"/>
                <w:bCs w:val="1"/>
                <w:color w:val="262626"/>
                <w:w w:val="96"/>
              </w:rPr>
              <w:t>of Unearned Shares,</w:t>
            </w:r>
          </w:p>
        </w:tc>
        <w:tc>
          <w:tcPr>
            <w:tcW w:w="9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262626"/>
              </w:rPr>
              <w:t>Multi-</w:t>
            </w:r>
          </w:p>
        </w:tc>
        <w:tc>
          <w:tcPr>
            <w:tcW w:w="0" w:type="dxa"/>
            <w:vAlign w:val="bottom"/>
          </w:tcPr>
          <w:p>
            <w:pPr>
              <w:spacing w:after="0"/>
              <w:rPr>
                <w:sz w:val="1"/>
                <w:szCs w:val="1"/>
                <w:color w:val="auto"/>
              </w:rPr>
            </w:pPr>
          </w:p>
        </w:tc>
      </w:tr>
      <w:tr>
        <w:trPr>
          <w:trHeight w:val="134"/>
        </w:trPr>
        <w:tc>
          <w:tcPr>
            <w:tcW w:w="1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jc w:val="center"/>
              <w:ind w:right="37"/>
              <w:spacing w:after="0" w:line="134" w:lineRule="exact"/>
              <w:rPr>
                <w:sz w:val="20"/>
                <w:szCs w:val="20"/>
                <w:color w:val="auto"/>
              </w:rPr>
            </w:pPr>
            <w:r>
              <w:rPr>
                <w:rFonts w:ascii="Arial" w:cs="Arial" w:eastAsia="Arial" w:hAnsi="Arial"/>
                <w:sz w:val="13"/>
                <w:szCs w:val="13"/>
                <w:b w:val="1"/>
                <w:bCs w:val="1"/>
                <w:color w:val="262626"/>
                <w:w w:val="98"/>
              </w:rPr>
              <w:t>Units of Stock</w:t>
            </w:r>
          </w:p>
        </w:tc>
        <w:tc>
          <w:tcPr>
            <w:tcW w:w="1060" w:type="dxa"/>
            <w:vAlign w:val="bottom"/>
          </w:tcPr>
          <w:p>
            <w:pPr>
              <w:jc w:val="center"/>
              <w:spacing w:after="0" w:line="134" w:lineRule="exact"/>
              <w:rPr>
                <w:sz w:val="20"/>
                <w:szCs w:val="20"/>
                <w:color w:val="auto"/>
              </w:rPr>
            </w:pPr>
            <w:r>
              <w:rPr>
                <w:rFonts w:ascii="Arial" w:cs="Arial" w:eastAsia="Arial" w:hAnsi="Arial"/>
                <w:sz w:val="13"/>
                <w:szCs w:val="13"/>
                <w:b w:val="1"/>
                <w:bCs w:val="1"/>
                <w:color w:val="262626"/>
                <w:w w:val="96"/>
              </w:rPr>
              <w:t>Units of Stock</w:t>
            </w:r>
          </w:p>
        </w:tc>
        <w:tc>
          <w:tcPr>
            <w:tcW w:w="1440" w:type="dxa"/>
            <w:vAlign w:val="bottom"/>
          </w:tcPr>
          <w:p>
            <w:pPr>
              <w:jc w:val="center"/>
              <w:spacing w:after="0" w:line="134" w:lineRule="exact"/>
              <w:rPr>
                <w:sz w:val="20"/>
                <w:szCs w:val="20"/>
                <w:color w:val="auto"/>
              </w:rPr>
            </w:pPr>
            <w:r>
              <w:rPr>
                <w:rFonts w:ascii="Arial" w:cs="Arial" w:eastAsia="Arial" w:hAnsi="Arial"/>
                <w:sz w:val="13"/>
                <w:szCs w:val="13"/>
                <w:b w:val="1"/>
                <w:bCs w:val="1"/>
                <w:color w:val="262626"/>
                <w:w w:val="95"/>
              </w:rPr>
              <w:t>Units or Other Rights</w:t>
            </w:r>
          </w:p>
        </w:tc>
        <w:tc>
          <w:tcPr>
            <w:tcW w:w="1360" w:type="dxa"/>
            <w:vAlign w:val="bottom"/>
          </w:tcPr>
          <w:p>
            <w:pPr>
              <w:jc w:val="center"/>
              <w:ind w:left="18"/>
              <w:spacing w:after="0" w:line="134" w:lineRule="exact"/>
              <w:rPr>
                <w:sz w:val="20"/>
                <w:szCs w:val="20"/>
                <w:color w:val="auto"/>
              </w:rPr>
            </w:pPr>
            <w:r>
              <w:rPr>
                <w:rFonts w:ascii="Arial" w:cs="Arial" w:eastAsia="Arial" w:hAnsi="Arial"/>
                <w:sz w:val="13"/>
                <w:szCs w:val="13"/>
                <w:b w:val="1"/>
                <w:bCs w:val="1"/>
                <w:color w:val="262626"/>
                <w:w w:val="96"/>
              </w:rPr>
              <w:t>Units or Other</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780" w:type="dxa"/>
            <w:vAlign w:val="bottom"/>
          </w:tcPr>
          <w:p>
            <w:pPr>
              <w:spacing w:after="0"/>
              <w:rPr>
                <w:sz w:val="11"/>
                <w:szCs w:val="11"/>
                <w:color w:val="auto"/>
              </w:rPr>
            </w:pPr>
          </w:p>
        </w:tc>
        <w:tc>
          <w:tcPr>
            <w:tcW w:w="8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62626"/>
              </w:rPr>
              <w:t>Grant</w:t>
            </w:r>
          </w:p>
        </w:tc>
        <w:tc>
          <w:tcPr>
            <w:tcW w:w="1280" w:type="dxa"/>
            <w:vAlign w:val="bottom"/>
          </w:tcPr>
          <w:p>
            <w:pPr>
              <w:jc w:val="center"/>
              <w:ind w:right="37"/>
              <w:spacing w:after="0" w:line="134" w:lineRule="exact"/>
              <w:rPr>
                <w:sz w:val="20"/>
                <w:szCs w:val="20"/>
                <w:color w:val="auto"/>
              </w:rPr>
            </w:pPr>
            <w:r>
              <w:rPr>
                <w:rFonts w:ascii="Arial" w:cs="Arial" w:eastAsia="Arial" w:hAnsi="Arial"/>
                <w:sz w:val="13"/>
                <w:szCs w:val="13"/>
                <w:b w:val="1"/>
                <w:bCs w:val="1"/>
                <w:color w:val="262626"/>
                <w:w w:val="97"/>
              </w:rPr>
              <w:t>that Have Not</w:t>
            </w:r>
          </w:p>
        </w:tc>
        <w:tc>
          <w:tcPr>
            <w:tcW w:w="1060" w:type="dxa"/>
            <w:vAlign w:val="bottom"/>
          </w:tcPr>
          <w:p>
            <w:pPr>
              <w:jc w:val="center"/>
              <w:spacing w:after="0" w:line="134" w:lineRule="exact"/>
              <w:rPr>
                <w:sz w:val="20"/>
                <w:szCs w:val="20"/>
                <w:color w:val="auto"/>
              </w:rPr>
            </w:pPr>
            <w:r>
              <w:rPr>
                <w:rFonts w:ascii="Arial" w:cs="Arial" w:eastAsia="Arial" w:hAnsi="Arial"/>
                <w:sz w:val="13"/>
                <w:szCs w:val="13"/>
                <w:b w:val="1"/>
                <w:bCs w:val="1"/>
                <w:color w:val="262626"/>
                <w:w w:val="95"/>
              </w:rPr>
              <w:t>that Have Not</w:t>
            </w:r>
          </w:p>
        </w:tc>
        <w:tc>
          <w:tcPr>
            <w:tcW w:w="1440" w:type="dxa"/>
            <w:vAlign w:val="bottom"/>
          </w:tcPr>
          <w:p>
            <w:pPr>
              <w:jc w:val="center"/>
              <w:spacing w:after="0" w:line="134" w:lineRule="exact"/>
              <w:rPr>
                <w:sz w:val="20"/>
                <w:szCs w:val="20"/>
                <w:color w:val="auto"/>
              </w:rPr>
            </w:pPr>
            <w:r>
              <w:rPr>
                <w:rFonts w:ascii="Arial" w:cs="Arial" w:eastAsia="Arial" w:hAnsi="Arial"/>
                <w:sz w:val="13"/>
                <w:szCs w:val="13"/>
                <w:b w:val="1"/>
                <w:bCs w:val="1"/>
                <w:color w:val="262626"/>
                <w:w w:val="95"/>
              </w:rPr>
              <w:t>that Have</w:t>
            </w:r>
          </w:p>
        </w:tc>
        <w:tc>
          <w:tcPr>
            <w:tcW w:w="1360" w:type="dxa"/>
            <w:vAlign w:val="bottom"/>
          </w:tcPr>
          <w:p>
            <w:pPr>
              <w:jc w:val="center"/>
              <w:ind w:left="18"/>
              <w:spacing w:after="0" w:line="134" w:lineRule="exact"/>
              <w:rPr>
                <w:sz w:val="20"/>
                <w:szCs w:val="20"/>
                <w:color w:val="auto"/>
              </w:rPr>
            </w:pPr>
            <w:r>
              <w:rPr>
                <w:rFonts w:ascii="Arial" w:cs="Arial" w:eastAsia="Arial" w:hAnsi="Arial"/>
                <w:sz w:val="13"/>
                <w:szCs w:val="13"/>
                <w:b w:val="1"/>
                <w:bCs w:val="1"/>
                <w:color w:val="262626"/>
                <w:w w:val="96"/>
              </w:rPr>
              <w:t>Rights that Have Not</w:t>
            </w:r>
          </w:p>
        </w:tc>
        <w:tc>
          <w:tcPr>
            <w:tcW w:w="900" w:type="dxa"/>
            <w:vAlign w:val="bottom"/>
          </w:tcPr>
          <w:p>
            <w:pPr>
              <w:jc w:val="right"/>
              <w:spacing w:after="0" w:line="134" w:lineRule="exact"/>
              <w:rPr>
                <w:sz w:val="20"/>
                <w:szCs w:val="20"/>
                <w:color w:val="auto"/>
              </w:rPr>
            </w:pPr>
            <w:r>
              <w:rPr>
                <w:rFonts w:ascii="Arial" w:cs="Arial" w:eastAsia="Arial" w:hAnsi="Arial"/>
                <w:sz w:val="13"/>
                <w:szCs w:val="13"/>
                <w:b w:val="1"/>
                <w:bCs w:val="1"/>
                <w:color w:val="262626"/>
              </w:rPr>
              <w:t>Year Equity</w:t>
            </w:r>
          </w:p>
        </w:tc>
        <w:tc>
          <w:tcPr>
            <w:tcW w:w="0" w:type="dxa"/>
            <w:vAlign w:val="bottom"/>
          </w:tcPr>
          <w:p>
            <w:pPr>
              <w:spacing w:after="0"/>
              <w:rPr>
                <w:sz w:val="1"/>
                <w:szCs w:val="1"/>
                <w:color w:val="auto"/>
              </w:rPr>
            </w:pPr>
          </w:p>
        </w:tc>
      </w:tr>
      <w:tr>
        <w:trPr>
          <w:trHeight w:val="134"/>
        </w:trPr>
        <w:tc>
          <w:tcPr>
            <w:tcW w:w="1780" w:type="dxa"/>
            <w:vAlign w:val="bottom"/>
            <w:vMerge w:val="restart"/>
          </w:tcPr>
          <w:p>
            <w:pPr>
              <w:spacing w:after="0"/>
              <w:rPr>
                <w:sz w:val="20"/>
                <w:szCs w:val="20"/>
                <w:color w:val="auto"/>
              </w:rPr>
            </w:pPr>
            <w:r>
              <w:rPr>
                <w:rFonts w:ascii="Arial" w:cs="Arial" w:eastAsia="Arial" w:hAnsi="Arial"/>
                <w:sz w:val="13"/>
                <w:szCs w:val="13"/>
                <w:b w:val="1"/>
                <w:bCs w:val="1"/>
                <w:color w:val="262626"/>
              </w:rPr>
              <w:t>Name</w:t>
            </w:r>
          </w:p>
        </w:tc>
        <w:tc>
          <w:tcPr>
            <w:tcW w:w="880" w:type="dxa"/>
            <w:vAlign w:val="bottom"/>
            <w:vMerge w:val="continue"/>
          </w:tcPr>
          <w:p>
            <w:pPr>
              <w:spacing w:after="0"/>
              <w:rPr>
                <w:sz w:val="11"/>
                <w:szCs w:val="11"/>
                <w:color w:val="auto"/>
              </w:rPr>
            </w:pPr>
          </w:p>
        </w:tc>
        <w:tc>
          <w:tcPr>
            <w:tcW w:w="1280" w:type="dxa"/>
            <w:vAlign w:val="bottom"/>
          </w:tcPr>
          <w:p>
            <w:pPr>
              <w:jc w:val="center"/>
              <w:ind w:right="37"/>
              <w:spacing w:after="0" w:line="134" w:lineRule="exact"/>
              <w:rPr>
                <w:sz w:val="20"/>
                <w:szCs w:val="20"/>
                <w:color w:val="auto"/>
              </w:rPr>
            </w:pPr>
            <w:r>
              <w:rPr>
                <w:rFonts w:ascii="Arial" w:cs="Arial" w:eastAsia="Arial" w:hAnsi="Arial"/>
                <w:sz w:val="13"/>
                <w:szCs w:val="13"/>
                <w:b w:val="1"/>
                <w:bCs w:val="1"/>
                <w:color w:val="262626"/>
                <w:w w:val="98"/>
              </w:rPr>
              <w:t>Vested</w:t>
            </w:r>
          </w:p>
        </w:tc>
        <w:tc>
          <w:tcPr>
            <w:tcW w:w="1060" w:type="dxa"/>
            <w:vAlign w:val="bottom"/>
          </w:tcPr>
          <w:p>
            <w:pPr>
              <w:jc w:val="center"/>
              <w:spacing w:after="0" w:line="134" w:lineRule="exact"/>
              <w:rPr>
                <w:sz w:val="20"/>
                <w:szCs w:val="20"/>
                <w:color w:val="auto"/>
              </w:rPr>
            </w:pPr>
            <w:r>
              <w:rPr>
                <w:rFonts w:ascii="Arial" w:cs="Arial" w:eastAsia="Arial" w:hAnsi="Arial"/>
                <w:sz w:val="11"/>
                <w:szCs w:val="11"/>
                <w:b w:val="1"/>
                <w:bCs w:val="1"/>
                <w:color w:val="262626"/>
              </w:rPr>
              <w:t>Vested</w:t>
            </w:r>
            <w:r>
              <w:rPr>
                <w:rFonts w:ascii="Arial" w:cs="Arial" w:eastAsia="Arial" w:hAnsi="Arial"/>
                <w:sz w:val="15"/>
                <w:szCs w:val="15"/>
                <w:b w:val="1"/>
                <w:bCs w:val="1"/>
                <w:color w:val="262626"/>
                <w:vertAlign w:val="superscript"/>
              </w:rPr>
              <w:t>(2)</w:t>
            </w:r>
          </w:p>
        </w:tc>
        <w:tc>
          <w:tcPr>
            <w:tcW w:w="1440" w:type="dxa"/>
            <w:vAlign w:val="bottom"/>
          </w:tcPr>
          <w:p>
            <w:pPr>
              <w:jc w:val="center"/>
              <w:spacing w:after="0" w:line="134" w:lineRule="exact"/>
              <w:rPr>
                <w:sz w:val="20"/>
                <w:szCs w:val="20"/>
                <w:color w:val="auto"/>
              </w:rPr>
            </w:pPr>
            <w:r>
              <w:rPr>
                <w:rFonts w:ascii="Arial" w:cs="Arial" w:eastAsia="Arial" w:hAnsi="Arial"/>
                <w:sz w:val="13"/>
                <w:szCs w:val="13"/>
                <w:b w:val="1"/>
                <w:bCs w:val="1"/>
                <w:color w:val="262626"/>
                <w:w w:val="97"/>
              </w:rPr>
              <w:t>Not Vested</w:t>
            </w:r>
          </w:p>
        </w:tc>
        <w:tc>
          <w:tcPr>
            <w:tcW w:w="1360" w:type="dxa"/>
            <w:vAlign w:val="bottom"/>
          </w:tcPr>
          <w:p>
            <w:pPr>
              <w:jc w:val="center"/>
              <w:ind w:left="18"/>
              <w:spacing w:after="0" w:line="134" w:lineRule="exact"/>
              <w:rPr>
                <w:sz w:val="20"/>
                <w:szCs w:val="20"/>
                <w:color w:val="auto"/>
              </w:rPr>
            </w:pPr>
            <w:r>
              <w:rPr>
                <w:rFonts w:ascii="Arial" w:cs="Arial" w:eastAsia="Arial" w:hAnsi="Arial"/>
                <w:sz w:val="11"/>
                <w:szCs w:val="11"/>
                <w:b w:val="1"/>
                <w:bCs w:val="1"/>
                <w:color w:val="262626"/>
              </w:rPr>
              <w:t>Vested</w:t>
            </w:r>
            <w:r>
              <w:rPr>
                <w:rFonts w:ascii="Arial" w:cs="Arial" w:eastAsia="Arial" w:hAnsi="Arial"/>
                <w:sz w:val="15"/>
                <w:szCs w:val="15"/>
                <w:b w:val="1"/>
                <w:bCs w:val="1"/>
                <w:color w:val="262626"/>
                <w:vertAlign w:val="superscript"/>
              </w:rPr>
              <w:t>(2)</w:t>
            </w:r>
          </w:p>
        </w:tc>
        <w:tc>
          <w:tcPr>
            <w:tcW w:w="900" w:type="dxa"/>
            <w:vAlign w:val="bottom"/>
          </w:tcPr>
          <w:p>
            <w:pPr>
              <w:jc w:val="right"/>
              <w:spacing w:after="0" w:line="134" w:lineRule="exact"/>
              <w:rPr>
                <w:sz w:val="20"/>
                <w:szCs w:val="20"/>
                <w:color w:val="auto"/>
              </w:rPr>
            </w:pPr>
            <w:r>
              <w:rPr>
                <w:rFonts w:ascii="Arial" w:cs="Arial" w:eastAsia="Arial" w:hAnsi="Arial"/>
                <w:sz w:val="13"/>
                <w:szCs w:val="13"/>
                <w:b w:val="1"/>
                <w:bCs w:val="1"/>
                <w:color w:val="262626"/>
              </w:rPr>
              <w:t>Award Vest</w:t>
            </w:r>
          </w:p>
        </w:tc>
        <w:tc>
          <w:tcPr>
            <w:tcW w:w="0" w:type="dxa"/>
            <w:vAlign w:val="bottom"/>
          </w:tcPr>
          <w:p>
            <w:pPr>
              <w:spacing w:after="0"/>
              <w:rPr>
                <w:sz w:val="1"/>
                <w:szCs w:val="1"/>
                <w:color w:val="auto"/>
              </w:rPr>
            </w:pPr>
          </w:p>
        </w:tc>
      </w:tr>
      <w:tr>
        <w:trPr>
          <w:trHeight w:val="180"/>
        </w:trPr>
        <w:tc>
          <w:tcPr>
            <w:tcW w:w="1780" w:type="dxa"/>
            <w:vAlign w:val="bottom"/>
            <w:vMerge w:val="continue"/>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262626"/>
              </w:rPr>
              <w:t>Date</w:t>
            </w:r>
          </w:p>
        </w:tc>
        <w:tc>
          <w:tcPr>
            <w:tcW w:w="1280" w:type="dxa"/>
            <w:vAlign w:val="bottom"/>
          </w:tcPr>
          <w:p>
            <w:pPr>
              <w:jc w:val="center"/>
              <w:ind w:right="37"/>
              <w:spacing w:after="0"/>
              <w:rPr>
                <w:sz w:val="20"/>
                <w:szCs w:val="20"/>
                <w:color w:val="auto"/>
              </w:rPr>
            </w:pPr>
            <w:r>
              <w:rPr>
                <w:rFonts w:ascii="Arial" w:cs="Arial" w:eastAsia="Arial" w:hAnsi="Arial"/>
                <w:sz w:val="13"/>
                <w:szCs w:val="13"/>
                <w:b w:val="1"/>
                <w:bCs w:val="1"/>
                <w:color w:val="262626"/>
                <w:w w:val="87"/>
              </w:rPr>
              <w:t>(#)</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262626"/>
              </w:rPr>
              <w:t>($)</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262626"/>
                <w:w w:val="87"/>
              </w:rPr>
              <w:t>(#)</w:t>
            </w:r>
          </w:p>
        </w:tc>
        <w:tc>
          <w:tcPr>
            <w:tcW w:w="1360" w:type="dxa"/>
            <w:vAlign w:val="bottom"/>
          </w:tcPr>
          <w:p>
            <w:pPr>
              <w:jc w:val="center"/>
              <w:ind w:left="18"/>
              <w:spacing w:after="0"/>
              <w:rPr>
                <w:sz w:val="20"/>
                <w:szCs w:val="20"/>
                <w:color w:val="auto"/>
              </w:rPr>
            </w:pPr>
            <w:r>
              <w:rPr>
                <w:rFonts w:ascii="Arial" w:cs="Arial" w:eastAsia="Arial" w:hAnsi="Arial"/>
                <w:sz w:val="13"/>
                <w:szCs w:val="13"/>
                <w:b w:val="1"/>
                <w:bCs w:val="1"/>
                <w:color w:val="262626"/>
              </w:rPr>
              <w:t>($)</w:t>
            </w: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262626"/>
              </w:rPr>
              <w:t>Start Date</w:t>
            </w:r>
          </w:p>
        </w:tc>
        <w:tc>
          <w:tcPr>
            <w:tcW w:w="0" w:type="dxa"/>
            <w:vAlign w:val="bottom"/>
          </w:tcPr>
          <w:p>
            <w:pPr>
              <w:spacing w:after="0"/>
              <w:rPr>
                <w:sz w:val="1"/>
                <w:szCs w:val="1"/>
                <w:color w:val="auto"/>
              </w:rPr>
            </w:pPr>
          </w:p>
        </w:tc>
      </w:tr>
      <w:tr>
        <w:trPr>
          <w:trHeight w:val="48"/>
        </w:trPr>
        <w:tc>
          <w:tcPr>
            <w:tcW w:w="1780" w:type="dxa"/>
            <w:vAlign w:val="bottom"/>
            <w:tcBorders>
              <w:bottom w:val="single" w:sz="8" w:color="CF0A2C"/>
            </w:tcBorders>
          </w:tcPr>
          <w:p>
            <w:pPr>
              <w:spacing w:after="0"/>
              <w:rPr>
                <w:sz w:val="4"/>
                <w:szCs w:val="4"/>
                <w:color w:val="auto"/>
              </w:rPr>
            </w:pPr>
          </w:p>
        </w:tc>
        <w:tc>
          <w:tcPr>
            <w:tcW w:w="880" w:type="dxa"/>
            <w:vAlign w:val="bottom"/>
            <w:tcBorders>
              <w:bottom w:val="single" w:sz="8" w:color="CF0A2C"/>
            </w:tcBorders>
          </w:tcPr>
          <w:p>
            <w:pPr>
              <w:spacing w:after="0"/>
              <w:rPr>
                <w:sz w:val="4"/>
                <w:szCs w:val="4"/>
                <w:color w:val="auto"/>
              </w:rPr>
            </w:pPr>
          </w:p>
        </w:tc>
        <w:tc>
          <w:tcPr>
            <w:tcW w:w="1280" w:type="dxa"/>
            <w:vAlign w:val="bottom"/>
            <w:tcBorders>
              <w:bottom w:val="single" w:sz="8" w:color="CF0A2C"/>
            </w:tcBorders>
          </w:tcPr>
          <w:p>
            <w:pPr>
              <w:spacing w:after="0"/>
              <w:rPr>
                <w:sz w:val="4"/>
                <w:szCs w:val="4"/>
                <w:color w:val="auto"/>
              </w:rPr>
            </w:pPr>
          </w:p>
        </w:tc>
        <w:tc>
          <w:tcPr>
            <w:tcW w:w="1060" w:type="dxa"/>
            <w:vAlign w:val="bottom"/>
            <w:tcBorders>
              <w:bottom w:val="single" w:sz="8" w:color="CF0A2C"/>
            </w:tcBorders>
          </w:tcPr>
          <w:p>
            <w:pPr>
              <w:spacing w:after="0"/>
              <w:rPr>
                <w:sz w:val="4"/>
                <w:szCs w:val="4"/>
                <w:color w:val="auto"/>
              </w:rPr>
            </w:pPr>
          </w:p>
        </w:tc>
        <w:tc>
          <w:tcPr>
            <w:tcW w:w="1440" w:type="dxa"/>
            <w:vAlign w:val="bottom"/>
            <w:tcBorders>
              <w:bottom w:val="single" w:sz="8" w:color="CF0A2C"/>
            </w:tcBorders>
          </w:tcPr>
          <w:p>
            <w:pPr>
              <w:spacing w:after="0"/>
              <w:rPr>
                <w:sz w:val="4"/>
                <w:szCs w:val="4"/>
                <w:color w:val="auto"/>
              </w:rPr>
            </w:pPr>
          </w:p>
        </w:tc>
        <w:tc>
          <w:tcPr>
            <w:tcW w:w="1360" w:type="dxa"/>
            <w:vAlign w:val="bottom"/>
            <w:tcBorders>
              <w:bottom w:val="single" w:sz="8" w:color="CF0A2C"/>
            </w:tcBorders>
          </w:tcPr>
          <w:p>
            <w:pPr>
              <w:spacing w:after="0"/>
              <w:rPr>
                <w:sz w:val="4"/>
                <w:szCs w:val="4"/>
                <w:color w:val="auto"/>
              </w:rPr>
            </w:pPr>
          </w:p>
        </w:tc>
        <w:tc>
          <w:tcPr>
            <w:tcW w:w="900" w:type="dxa"/>
            <w:vAlign w:val="bottom"/>
            <w:tcBorders>
              <w:bottom w:val="single" w:sz="8" w:color="CF0A2C"/>
            </w:tcBorders>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1780" w:type="dxa"/>
            <w:vAlign w:val="bottom"/>
          </w:tcPr>
          <w:p>
            <w:pPr>
              <w:spacing w:after="0"/>
              <w:rPr>
                <w:sz w:val="20"/>
                <w:szCs w:val="20"/>
                <w:color w:val="auto"/>
              </w:rPr>
            </w:pPr>
            <w:r>
              <w:rPr>
                <w:rFonts w:ascii="Arial" w:cs="Arial" w:eastAsia="Arial" w:hAnsi="Arial"/>
                <w:sz w:val="13"/>
                <w:szCs w:val="13"/>
                <w:color w:val="262626"/>
              </w:rPr>
              <w:t>Hock E. Tan</w:t>
            </w:r>
          </w:p>
        </w:tc>
        <w:tc>
          <w:tcPr>
            <w:tcW w:w="880" w:type="dxa"/>
            <w:vAlign w:val="bottom"/>
          </w:tcPr>
          <w:p>
            <w:pPr>
              <w:jc w:val="right"/>
              <w:spacing w:after="0"/>
              <w:rPr>
                <w:sz w:val="20"/>
                <w:szCs w:val="20"/>
                <w:color w:val="auto"/>
              </w:rPr>
            </w:pPr>
            <w:r>
              <w:rPr>
                <w:rFonts w:ascii="Arial" w:cs="Arial" w:eastAsia="Arial" w:hAnsi="Arial"/>
                <w:sz w:val="13"/>
                <w:szCs w:val="13"/>
                <w:color w:val="262626"/>
              </w:rPr>
              <w:t>10/31/22</w:t>
            </w:r>
          </w:p>
        </w:tc>
        <w:tc>
          <w:tcPr>
            <w:tcW w:w="1280" w:type="dxa"/>
            <w:vAlign w:val="bottom"/>
          </w:tcPr>
          <w:p>
            <w:pPr>
              <w:jc w:val="right"/>
              <w:ind w:right="197"/>
              <w:spacing w:after="0"/>
              <w:rPr>
                <w:sz w:val="20"/>
                <w:szCs w:val="20"/>
                <w:color w:val="auto"/>
              </w:rPr>
            </w:pPr>
            <w:r>
              <w:rPr>
                <w:rFonts w:ascii="Arial" w:cs="Arial" w:eastAsia="Arial" w:hAnsi="Arial"/>
                <w:sz w:val="13"/>
                <w:szCs w:val="13"/>
                <w:color w:val="262626"/>
              </w:rPr>
              <w:t>—</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w:t>
            </w:r>
          </w:p>
        </w:tc>
        <w:tc>
          <w:tcPr>
            <w:tcW w:w="1440" w:type="dxa"/>
            <w:vAlign w:val="bottom"/>
          </w:tcPr>
          <w:p>
            <w:pPr>
              <w:jc w:val="right"/>
              <w:ind w:right="323"/>
              <w:spacing w:after="0"/>
              <w:rPr>
                <w:sz w:val="20"/>
                <w:szCs w:val="20"/>
                <w:color w:val="auto"/>
              </w:rPr>
            </w:pPr>
            <w:r>
              <w:rPr>
                <w:rFonts w:ascii="Arial" w:cs="Arial" w:eastAsia="Arial" w:hAnsi="Arial"/>
                <w:sz w:val="13"/>
                <w:szCs w:val="13"/>
                <w:color w:val="262626"/>
              </w:rPr>
              <w:t>10,000,000</w:t>
            </w:r>
            <w:r>
              <w:rPr>
                <w:rFonts w:ascii="Arial" w:cs="Arial" w:eastAsia="Arial" w:hAnsi="Arial"/>
                <w:sz w:val="18"/>
                <w:szCs w:val="18"/>
                <w:color w:val="262626"/>
                <w:vertAlign w:val="superscript"/>
              </w:rPr>
              <w:t>(3)</w:t>
            </w:r>
          </w:p>
        </w:tc>
        <w:tc>
          <w:tcPr>
            <w:tcW w:w="1360" w:type="dxa"/>
            <w:vAlign w:val="bottom"/>
          </w:tcPr>
          <w:p>
            <w:pPr>
              <w:jc w:val="center"/>
              <w:ind w:left="18"/>
              <w:spacing w:after="0"/>
              <w:rPr>
                <w:sz w:val="20"/>
                <w:szCs w:val="20"/>
                <w:color w:val="auto"/>
              </w:rPr>
            </w:pPr>
            <w:r>
              <w:rPr>
                <w:rFonts w:ascii="Arial" w:cs="Arial" w:eastAsia="Arial" w:hAnsi="Arial"/>
                <w:sz w:val="13"/>
                <w:szCs w:val="13"/>
                <w:color w:val="262626"/>
                <w:w w:val="97"/>
              </w:rPr>
              <w:t> 3,696,300,000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780" w:type="dxa"/>
            <w:vAlign w:val="bottom"/>
            <w:tcBorders>
              <w:bottom w:val="single" w:sz="8" w:color="CF0A2C"/>
            </w:tcBorders>
          </w:tcPr>
          <w:p>
            <w:pPr>
              <w:spacing w:after="0"/>
              <w:rPr>
                <w:sz w:val="24"/>
                <w:szCs w:val="24"/>
                <w:color w:val="auto"/>
              </w:rPr>
            </w:pPr>
          </w:p>
        </w:tc>
        <w:tc>
          <w:tcPr>
            <w:tcW w:w="880" w:type="dxa"/>
            <w:vAlign w:val="bottom"/>
            <w:tcBorders>
              <w:bottom w:val="single" w:sz="8" w:color="CF0A2C"/>
            </w:tcBorders>
          </w:tcPr>
          <w:p>
            <w:pPr>
              <w:jc w:val="right"/>
              <w:spacing w:after="0"/>
              <w:rPr>
                <w:sz w:val="20"/>
                <w:szCs w:val="20"/>
                <w:color w:val="auto"/>
              </w:rPr>
            </w:pPr>
            <w:r>
              <w:rPr>
                <w:rFonts w:ascii="Arial" w:cs="Arial" w:eastAsia="Arial" w:hAnsi="Arial"/>
                <w:sz w:val="13"/>
                <w:szCs w:val="13"/>
                <w:color w:val="262626"/>
              </w:rPr>
              <w:t>09/03/25</w:t>
            </w:r>
          </w:p>
        </w:tc>
        <w:tc>
          <w:tcPr>
            <w:tcW w:w="1280" w:type="dxa"/>
            <w:vAlign w:val="bottom"/>
            <w:tcBorders>
              <w:bottom w:val="single" w:sz="8" w:color="CF0A2C"/>
            </w:tcBorders>
          </w:tcPr>
          <w:p>
            <w:pPr>
              <w:jc w:val="right"/>
              <w:ind w:right="197"/>
              <w:spacing w:after="0"/>
              <w:rPr>
                <w:sz w:val="20"/>
                <w:szCs w:val="20"/>
                <w:color w:val="auto"/>
              </w:rPr>
            </w:pPr>
            <w:r>
              <w:rPr>
                <w:rFonts w:ascii="Arial" w:cs="Arial" w:eastAsia="Arial" w:hAnsi="Arial"/>
                <w:sz w:val="13"/>
                <w:szCs w:val="13"/>
                <w:color w:val="262626"/>
              </w:rPr>
              <w:t>—</w:t>
            </w:r>
          </w:p>
        </w:tc>
        <w:tc>
          <w:tcPr>
            <w:tcW w:w="1060" w:type="dxa"/>
            <w:vAlign w:val="bottom"/>
            <w:tcBorders>
              <w:bottom w:val="single" w:sz="8" w:color="CF0A2C"/>
            </w:tcBorders>
          </w:tcPr>
          <w:p>
            <w:pPr>
              <w:jc w:val="right"/>
              <w:ind w:right="58"/>
              <w:spacing w:after="0"/>
              <w:rPr>
                <w:sz w:val="20"/>
                <w:szCs w:val="20"/>
                <w:color w:val="auto"/>
              </w:rPr>
            </w:pPr>
            <w:r>
              <w:rPr>
                <w:rFonts w:ascii="Arial" w:cs="Arial" w:eastAsia="Arial" w:hAnsi="Arial"/>
                <w:sz w:val="13"/>
                <w:szCs w:val="13"/>
                <w:color w:val="262626"/>
              </w:rPr>
              <w:t>—</w:t>
            </w:r>
          </w:p>
        </w:tc>
        <w:tc>
          <w:tcPr>
            <w:tcW w:w="1440" w:type="dxa"/>
            <w:vAlign w:val="bottom"/>
            <w:tcBorders>
              <w:bottom w:val="single" w:sz="8" w:color="CF0A2C"/>
            </w:tcBorders>
          </w:tcPr>
          <w:p>
            <w:pPr>
              <w:jc w:val="right"/>
              <w:ind w:right="323"/>
              <w:spacing w:after="0"/>
              <w:rPr>
                <w:sz w:val="20"/>
                <w:szCs w:val="20"/>
                <w:color w:val="auto"/>
              </w:rPr>
            </w:pPr>
            <w:r>
              <w:rPr>
                <w:rFonts w:ascii="Arial" w:cs="Arial" w:eastAsia="Arial" w:hAnsi="Arial"/>
                <w:sz w:val="13"/>
                <w:szCs w:val="13"/>
                <w:color w:val="262626"/>
              </w:rPr>
              <w:t>610,521</w:t>
            </w:r>
            <w:r>
              <w:rPr>
                <w:rFonts w:ascii="Arial" w:cs="Arial" w:eastAsia="Arial" w:hAnsi="Arial"/>
                <w:sz w:val="18"/>
                <w:szCs w:val="18"/>
                <w:color w:val="262626"/>
                <w:vertAlign w:val="superscript"/>
              </w:rPr>
              <w:t>(4)</w:t>
            </w:r>
          </w:p>
        </w:tc>
        <w:tc>
          <w:tcPr>
            <w:tcW w:w="1360" w:type="dxa"/>
            <w:vAlign w:val="bottom"/>
            <w:tcBorders>
              <w:bottom w:val="single" w:sz="8" w:color="CF0A2C"/>
            </w:tcBorders>
          </w:tcPr>
          <w:p>
            <w:pPr>
              <w:jc w:val="center"/>
              <w:ind w:left="18"/>
              <w:spacing w:after="0"/>
              <w:rPr>
                <w:sz w:val="20"/>
                <w:szCs w:val="20"/>
                <w:color w:val="auto"/>
              </w:rPr>
            </w:pPr>
            <w:r>
              <w:rPr>
                <w:rFonts w:ascii="Arial" w:cs="Arial" w:eastAsia="Arial" w:hAnsi="Arial"/>
                <w:sz w:val="13"/>
                <w:szCs w:val="13"/>
                <w:color w:val="262626"/>
                <w:w w:val="91"/>
              </w:rPr>
              <w:t>     225,666,877</w:t>
            </w:r>
          </w:p>
        </w:tc>
        <w:tc>
          <w:tcPr>
            <w:tcW w:w="900" w:type="dxa"/>
            <w:vAlign w:val="bottom"/>
            <w:tcBorders>
              <w:bottom w:val="single" w:sz="8" w:color="CF0A2C"/>
            </w:tcBorders>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780" w:type="dxa"/>
            <w:vAlign w:val="bottom"/>
          </w:tcPr>
          <w:p>
            <w:pPr>
              <w:spacing w:after="0"/>
              <w:rPr>
                <w:sz w:val="20"/>
                <w:szCs w:val="20"/>
                <w:color w:val="auto"/>
              </w:rPr>
            </w:pPr>
            <w:r>
              <w:rPr>
                <w:rFonts w:ascii="Arial" w:cs="Arial" w:eastAsia="Arial" w:hAnsi="Arial"/>
                <w:sz w:val="13"/>
                <w:szCs w:val="13"/>
                <w:color w:val="262626"/>
              </w:rPr>
              <w:t>Kirsten M. Spears</w:t>
            </w:r>
          </w:p>
        </w:tc>
        <w:tc>
          <w:tcPr>
            <w:tcW w:w="880" w:type="dxa"/>
            <w:vAlign w:val="bottom"/>
          </w:tcPr>
          <w:p>
            <w:pPr>
              <w:jc w:val="right"/>
              <w:spacing w:after="0"/>
              <w:rPr>
                <w:sz w:val="20"/>
                <w:szCs w:val="20"/>
                <w:color w:val="auto"/>
              </w:rPr>
            </w:pPr>
            <w:r>
              <w:rPr>
                <w:rFonts w:ascii="Arial" w:cs="Arial" w:eastAsia="Arial" w:hAnsi="Arial"/>
                <w:sz w:val="13"/>
                <w:szCs w:val="13"/>
                <w:color w:val="262626"/>
              </w:rPr>
              <w:t>01/15/19</w:t>
            </w:r>
          </w:p>
        </w:tc>
        <w:tc>
          <w:tcPr>
            <w:tcW w:w="1280" w:type="dxa"/>
            <w:vAlign w:val="bottom"/>
          </w:tcPr>
          <w:p>
            <w:pPr>
              <w:jc w:val="right"/>
              <w:ind w:right="97"/>
              <w:spacing w:after="0"/>
              <w:rPr>
                <w:sz w:val="20"/>
                <w:szCs w:val="20"/>
                <w:color w:val="auto"/>
              </w:rPr>
            </w:pPr>
            <w:r>
              <w:rPr>
                <w:rFonts w:ascii="Arial" w:cs="Arial" w:eastAsia="Arial" w:hAnsi="Arial"/>
                <w:sz w:val="13"/>
                <w:szCs w:val="13"/>
                <w:color w:val="262626"/>
              </w:rPr>
              <w:t>7,813</w:t>
            </w:r>
            <w:r>
              <w:rPr>
                <w:rFonts w:ascii="Arial" w:cs="Arial" w:eastAsia="Arial" w:hAnsi="Arial"/>
                <w:sz w:val="18"/>
                <w:szCs w:val="18"/>
                <w:color w:val="262626"/>
                <w:vertAlign w:val="superscript"/>
              </w:rPr>
              <w:t>(5)</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2,887,919</w:t>
            </w:r>
          </w:p>
        </w:tc>
        <w:tc>
          <w:tcPr>
            <w:tcW w:w="1440" w:type="dxa"/>
            <w:vAlign w:val="bottom"/>
          </w:tcPr>
          <w:p>
            <w:pPr>
              <w:jc w:val="right"/>
              <w:ind w:right="203"/>
              <w:spacing w:after="0"/>
              <w:rPr>
                <w:sz w:val="20"/>
                <w:szCs w:val="20"/>
                <w:color w:val="auto"/>
              </w:rPr>
            </w:pPr>
            <w:r>
              <w:rPr>
                <w:rFonts w:ascii="Arial" w:cs="Arial" w:eastAsia="Arial" w:hAnsi="Arial"/>
                <w:sz w:val="13"/>
                <w:szCs w:val="13"/>
                <w:color w:val="262626"/>
              </w:rPr>
              <w:t>78,140</w:t>
            </w:r>
            <w:r>
              <w:rPr>
                <w:rFonts w:ascii="Arial" w:cs="Arial" w:eastAsia="Arial" w:hAnsi="Arial"/>
                <w:sz w:val="18"/>
                <w:szCs w:val="18"/>
                <w:color w:val="262626"/>
                <w:vertAlign w:val="superscript"/>
              </w:rPr>
              <w:t>(6)(7)</w:t>
            </w:r>
          </w:p>
        </w:tc>
        <w:tc>
          <w:tcPr>
            <w:tcW w:w="1360" w:type="dxa"/>
            <w:vAlign w:val="bottom"/>
          </w:tcPr>
          <w:p>
            <w:pPr>
              <w:jc w:val="center"/>
              <w:ind w:left="18"/>
              <w:spacing w:after="0"/>
              <w:rPr>
                <w:sz w:val="20"/>
                <w:szCs w:val="20"/>
                <w:color w:val="auto"/>
              </w:rPr>
            </w:pPr>
            <w:r>
              <w:rPr>
                <w:rFonts w:ascii="Arial" w:cs="Arial" w:eastAsia="Arial" w:hAnsi="Arial"/>
                <w:sz w:val="13"/>
                <w:szCs w:val="13"/>
                <w:color w:val="262626"/>
                <w:w w:val="91"/>
              </w:rPr>
              <w:t>       28,882,888</w:t>
            </w:r>
          </w:p>
        </w:tc>
        <w:tc>
          <w:tcPr>
            <w:tcW w:w="900" w:type="dxa"/>
            <w:vAlign w:val="bottom"/>
          </w:tcPr>
          <w:p>
            <w:pPr>
              <w:jc w:val="right"/>
              <w:spacing w:after="0"/>
              <w:rPr>
                <w:sz w:val="20"/>
                <w:szCs w:val="20"/>
                <w:color w:val="auto"/>
              </w:rPr>
            </w:pPr>
            <w:r>
              <w:rPr>
                <w:rFonts w:ascii="Arial" w:cs="Arial" w:eastAsia="Arial" w:hAnsi="Arial"/>
                <w:sz w:val="13"/>
                <w:szCs w:val="13"/>
                <w:color w:val="262626"/>
              </w:rPr>
              <w:t>03/15/22</w:t>
            </w:r>
          </w:p>
        </w:tc>
        <w:tc>
          <w:tcPr>
            <w:tcW w:w="0" w:type="dxa"/>
            <w:vAlign w:val="bottom"/>
          </w:tcPr>
          <w:p>
            <w:pPr>
              <w:spacing w:after="0"/>
              <w:rPr>
                <w:sz w:val="1"/>
                <w:szCs w:val="1"/>
                <w:color w:val="auto"/>
              </w:rPr>
            </w:pPr>
          </w:p>
        </w:tc>
      </w:tr>
      <w:tr>
        <w:trPr>
          <w:trHeight w:val="335"/>
        </w:trPr>
        <w:tc>
          <w:tcPr>
            <w:tcW w:w="1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62626"/>
              </w:rPr>
              <w:t>03/15/23</w:t>
            </w:r>
          </w:p>
        </w:tc>
        <w:tc>
          <w:tcPr>
            <w:tcW w:w="1280" w:type="dxa"/>
            <w:vAlign w:val="bottom"/>
          </w:tcPr>
          <w:p>
            <w:pPr>
              <w:jc w:val="right"/>
              <w:ind w:right="97"/>
              <w:spacing w:after="0"/>
              <w:rPr>
                <w:sz w:val="20"/>
                <w:szCs w:val="20"/>
                <w:color w:val="auto"/>
              </w:rPr>
            </w:pPr>
            <w:r>
              <w:rPr>
                <w:rFonts w:ascii="Arial" w:cs="Arial" w:eastAsia="Arial" w:hAnsi="Arial"/>
                <w:sz w:val="13"/>
                <w:szCs w:val="13"/>
                <w:color w:val="262626"/>
              </w:rPr>
              <w:t>18,750</w:t>
            </w:r>
            <w:r>
              <w:rPr>
                <w:rFonts w:ascii="Arial" w:cs="Arial" w:eastAsia="Arial" w:hAnsi="Arial"/>
                <w:sz w:val="18"/>
                <w:szCs w:val="18"/>
                <w:color w:val="262626"/>
                <w:vertAlign w:val="superscript"/>
              </w:rPr>
              <w:t>(8)</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6,930,563</w:t>
            </w:r>
          </w:p>
        </w:tc>
        <w:tc>
          <w:tcPr>
            <w:tcW w:w="1440" w:type="dxa"/>
            <w:vAlign w:val="bottom"/>
          </w:tcPr>
          <w:p>
            <w:pPr>
              <w:jc w:val="right"/>
              <w:ind w:right="203"/>
              <w:spacing w:after="0"/>
              <w:rPr>
                <w:sz w:val="20"/>
                <w:szCs w:val="20"/>
                <w:color w:val="auto"/>
              </w:rPr>
            </w:pPr>
            <w:r>
              <w:rPr>
                <w:rFonts w:ascii="Arial" w:cs="Arial" w:eastAsia="Arial" w:hAnsi="Arial"/>
                <w:sz w:val="25"/>
                <w:szCs w:val="25"/>
                <w:color w:val="262626"/>
                <w:vertAlign w:val="subscript"/>
              </w:rPr>
              <w:t>75,000</w:t>
            </w:r>
            <w:r>
              <w:rPr>
                <w:rFonts w:ascii="Arial" w:cs="Arial" w:eastAsia="Arial" w:hAnsi="Arial"/>
                <w:sz w:val="9"/>
                <w:szCs w:val="9"/>
                <w:color w:val="262626"/>
              </w:rPr>
              <w:t>(9)(7)</w:t>
            </w:r>
          </w:p>
        </w:tc>
        <w:tc>
          <w:tcPr>
            <w:tcW w:w="1360" w:type="dxa"/>
            <w:vAlign w:val="bottom"/>
          </w:tcPr>
          <w:p>
            <w:pPr>
              <w:jc w:val="center"/>
              <w:ind w:left="18"/>
              <w:spacing w:after="0"/>
              <w:rPr>
                <w:sz w:val="20"/>
                <w:szCs w:val="20"/>
                <w:color w:val="auto"/>
              </w:rPr>
            </w:pPr>
            <w:r>
              <w:rPr>
                <w:rFonts w:ascii="Arial" w:cs="Arial" w:eastAsia="Arial" w:hAnsi="Arial"/>
                <w:sz w:val="13"/>
                <w:szCs w:val="13"/>
                <w:color w:val="262626"/>
                <w:w w:val="91"/>
              </w:rPr>
              <w:t>       27,722,250</w:t>
            </w:r>
          </w:p>
        </w:tc>
        <w:tc>
          <w:tcPr>
            <w:tcW w:w="900" w:type="dxa"/>
            <w:vAlign w:val="bottom"/>
          </w:tcPr>
          <w:p>
            <w:pPr>
              <w:jc w:val="right"/>
              <w:spacing w:after="0"/>
              <w:rPr>
                <w:sz w:val="20"/>
                <w:szCs w:val="20"/>
                <w:color w:val="auto"/>
              </w:rPr>
            </w:pPr>
            <w:r>
              <w:rPr>
                <w:rFonts w:ascii="Arial" w:cs="Arial" w:eastAsia="Arial" w:hAnsi="Arial"/>
                <w:sz w:val="13"/>
                <w:szCs w:val="13"/>
                <w:color w:val="262626"/>
              </w:rPr>
              <w:t>03/15/23</w:t>
            </w:r>
          </w:p>
        </w:tc>
        <w:tc>
          <w:tcPr>
            <w:tcW w:w="0" w:type="dxa"/>
            <w:vAlign w:val="bottom"/>
          </w:tcPr>
          <w:p>
            <w:pPr>
              <w:spacing w:after="0"/>
              <w:rPr>
                <w:sz w:val="1"/>
                <w:szCs w:val="1"/>
                <w:color w:val="auto"/>
              </w:rPr>
            </w:pPr>
          </w:p>
        </w:tc>
      </w:tr>
      <w:tr>
        <w:trPr>
          <w:trHeight w:val="295"/>
        </w:trPr>
        <w:tc>
          <w:tcPr>
            <w:tcW w:w="1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62626"/>
              </w:rPr>
              <w:t>03/15/23</w:t>
            </w:r>
          </w:p>
        </w:tc>
        <w:tc>
          <w:tcPr>
            <w:tcW w:w="1280" w:type="dxa"/>
            <w:vAlign w:val="bottom"/>
          </w:tcPr>
          <w:p>
            <w:pPr>
              <w:jc w:val="right"/>
              <w:ind w:right="97"/>
              <w:spacing w:after="0"/>
              <w:rPr>
                <w:sz w:val="20"/>
                <w:szCs w:val="20"/>
                <w:color w:val="auto"/>
              </w:rPr>
            </w:pPr>
            <w:r>
              <w:rPr>
                <w:rFonts w:ascii="Arial" w:cs="Arial" w:eastAsia="Arial" w:hAnsi="Arial"/>
                <w:sz w:val="13"/>
                <w:szCs w:val="13"/>
                <w:color w:val="262626"/>
              </w:rPr>
              <w:t>31,250</w:t>
            </w:r>
            <w:r>
              <w:rPr>
                <w:rFonts w:ascii="Arial" w:cs="Arial" w:eastAsia="Arial" w:hAnsi="Arial"/>
                <w:sz w:val="18"/>
                <w:szCs w:val="18"/>
                <w:color w:val="262626"/>
                <w:vertAlign w:val="superscript"/>
              </w:rPr>
              <w:t>(8)</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11,550,938</w:t>
            </w:r>
          </w:p>
        </w:tc>
        <w:tc>
          <w:tcPr>
            <w:tcW w:w="1440" w:type="dxa"/>
            <w:vAlign w:val="bottom"/>
          </w:tcPr>
          <w:p>
            <w:pPr>
              <w:jc w:val="right"/>
              <w:ind w:right="163"/>
              <w:spacing w:after="0"/>
              <w:rPr>
                <w:sz w:val="20"/>
                <w:szCs w:val="20"/>
                <w:color w:val="auto"/>
              </w:rPr>
            </w:pPr>
            <w:r>
              <w:rPr>
                <w:rFonts w:ascii="Arial" w:cs="Arial" w:eastAsia="Arial" w:hAnsi="Arial"/>
                <w:sz w:val="25"/>
                <w:szCs w:val="25"/>
                <w:color w:val="262626"/>
                <w:vertAlign w:val="subscript"/>
              </w:rPr>
              <w:t>87,500</w:t>
            </w:r>
            <w:r>
              <w:rPr>
                <w:rFonts w:ascii="Arial" w:cs="Arial" w:eastAsia="Arial" w:hAnsi="Arial"/>
                <w:sz w:val="9"/>
                <w:szCs w:val="9"/>
                <w:color w:val="262626"/>
              </w:rPr>
              <w:t>(10)(7)</w:t>
            </w:r>
          </w:p>
        </w:tc>
        <w:tc>
          <w:tcPr>
            <w:tcW w:w="1360" w:type="dxa"/>
            <w:vAlign w:val="bottom"/>
          </w:tcPr>
          <w:p>
            <w:pPr>
              <w:jc w:val="center"/>
              <w:ind w:left="18"/>
              <w:spacing w:after="0"/>
              <w:rPr>
                <w:sz w:val="20"/>
                <w:szCs w:val="20"/>
                <w:color w:val="auto"/>
              </w:rPr>
            </w:pPr>
            <w:r>
              <w:rPr>
                <w:rFonts w:ascii="Arial" w:cs="Arial" w:eastAsia="Arial" w:hAnsi="Arial"/>
                <w:sz w:val="13"/>
                <w:szCs w:val="13"/>
                <w:color w:val="262626"/>
                <w:w w:val="91"/>
              </w:rPr>
              <w:t>       32,342,625</w:t>
            </w:r>
          </w:p>
        </w:tc>
        <w:tc>
          <w:tcPr>
            <w:tcW w:w="900" w:type="dxa"/>
            <w:vAlign w:val="bottom"/>
          </w:tcPr>
          <w:p>
            <w:pPr>
              <w:jc w:val="right"/>
              <w:spacing w:after="0"/>
              <w:rPr>
                <w:sz w:val="20"/>
                <w:szCs w:val="20"/>
                <w:color w:val="auto"/>
              </w:rPr>
            </w:pPr>
            <w:r>
              <w:rPr>
                <w:rFonts w:ascii="Arial" w:cs="Arial" w:eastAsia="Arial" w:hAnsi="Arial"/>
                <w:sz w:val="13"/>
                <w:szCs w:val="13"/>
                <w:color w:val="262626"/>
              </w:rPr>
              <w:t>03/15/24</w:t>
            </w:r>
          </w:p>
        </w:tc>
        <w:tc>
          <w:tcPr>
            <w:tcW w:w="0" w:type="dxa"/>
            <w:vAlign w:val="bottom"/>
          </w:tcPr>
          <w:p>
            <w:pPr>
              <w:spacing w:after="0"/>
              <w:rPr>
                <w:sz w:val="1"/>
                <w:szCs w:val="1"/>
                <w:color w:val="auto"/>
              </w:rPr>
            </w:pPr>
          </w:p>
        </w:tc>
      </w:tr>
      <w:tr>
        <w:trPr>
          <w:trHeight w:val="295"/>
        </w:trPr>
        <w:tc>
          <w:tcPr>
            <w:tcW w:w="1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62626"/>
              </w:rPr>
              <w:t>03/15/25</w:t>
            </w:r>
          </w:p>
        </w:tc>
        <w:tc>
          <w:tcPr>
            <w:tcW w:w="1280" w:type="dxa"/>
            <w:vAlign w:val="bottom"/>
          </w:tcPr>
          <w:p>
            <w:pPr>
              <w:jc w:val="right"/>
              <w:ind w:right="97"/>
              <w:spacing w:after="0"/>
              <w:rPr>
                <w:sz w:val="20"/>
                <w:szCs w:val="20"/>
                <w:color w:val="auto"/>
              </w:rPr>
            </w:pPr>
            <w:r>
              <w:rPr>
                <w:rFonts w:ascii="Arial" w:cs="Arial" w:eastAsia="Arial" w:hAnsi="Arial"/>
                <w:sz w:val="13"/>
                <w:szCs w:val="13"/>
                <w:color w:val="262626"/>
              </w:rPr>
              <w:t>26,250</w:t>
            </w:r>
            <w:r>
              <w:rPr>
                <w:rFonts w:ascii="Arial" w:cs="Arial" w:eastAsia="Arial" w:hAnsi="Arial"/>
                <w:sz w:val="18"/>
                <w:szCs w:val="18"/>
                <w:color w:val="262626"/>
                <w:vertAlign w:val="superscript"/>
              </w:rPr>
              <w:t>(8)</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9,702,788</w:t>
            </w:r>
          </w:p>
        </w:tc>
        <w:tc>
          <w:tcPr>
            <w:tcW w:w="1440" w:type="dxa"/>
            <w:vAlign w:val="bottom"/>
          </w:tcPr>
          <w:p>
            <w:pPr>
              <w:jc w:val="right"/>
              <w:ind w:right="163"/>
              <w:spacing w:after="0"/>
              <w:rPr>
                <w:sz w:val="20"/>
                <w:szCs w:val="20"/>
                <w:color w:val="auto"/>
              </w:rPr>
            </w:pPr>
            <w:r>
              <w:rPr>
                <w:rFonts w:ascii="Arial" w:cs="Arial" w:eastAsia="Arial" w:hAnsi="Arial"/>
                <w:sz w:val="25"/>
                <w:szCs w:val="25"/>
                <w:color w:val="262626"/>
                <w:vertAlign w:val="subscript"/>
              </w:rPr>
              <w:t>60,000</w:t>
            </w:r>
            <w:r>
              <w:rPr>
                <w:rFonts w:ascii="Arial" w:cs="Arial" w:eastAsia="Arial" w:hAnsi="Arial"/>
                <w:sz w:val="9"/>
                <w:szCs w:val="9"/>
                <w:color w:val="262626"/>
              </w:rPr>
              <w:t>(11)(7)</w:t>
            </w:r>
          </w:p>
        </w:tc>
        <w:tc>
          <w:tcPr>
            <w:tcW w:w="1360" w:type="dxa"/>
            <w:vAlign w:val="bottom"/>
          </w:tcPr>
          <w:p>
            <w:pPr>
              <w:jc w:val="center"/>
              <w:ind w:left="18"/>
              <w:spacing w:after="0"/>
              <w:rPr>
                <w:sz w:val="20"/>
                <w:szCs w:val="20"/>
                <w:color w:val="auto"/>
              </w:rPr>
            </w:pPr>
            <w:r>
              <w:rPr>
                <w:rFonts w:ascii="Arial" w:cs="Arial" w:eastAsia="Arial" w:hAnsi="Arial"/>
                <w:sz w:val="13"/>
                <w:szCs w:val="13"/>
                <w:color w:val="262626"/>
                <w:w w:val="91"/>
              </w:rPr>
              <w:t>       22,177,800</w:t>
            </w:r>
          </w:p>
        </w:tc>
        <w:tc>
          <w:tcPr>
            <w:tcW w:w="900" w:type="dxa"/>
            <w:vAlign w:val="bottom"/>
          </w:tcPr>
          <w:p>
            <w:pPr>
              <w:jc w:val="right"/>
              <w:spacing w:after="0"/>
              <w:rPr>
                <w:sz w:val="20"/>
                <w:szCs w:val="20"/>
                <w:color w:val="auto"/>
              </w:rPr>
            </w:pPr>
            <w:r>
              <w:rPr>
                <w:rFonts w:ascii="Arial" w:cs="Arial" w:eastAsia="Arial" w:hAnsi="Arial"/>
                <w:sz w:val="13"/>
                <w:szCs w:val="13"/>
                <w:color w:val="262626"/>
              </w:rPr>
              <w:t>03/15/25</w:t>
            </w:r>
          </w:p>
        </w:tc>
        <w:tc>
          <w:tcPr>
            <w:tcW w:w="0" w:type="dxa"/>
            <w:vAlign w:val="bottom"/>
          </w:tcPr>
          <w:p>
            <w:pPr>
              <w:spacing w:after="0"/>
              <w:rPr>
                <w:sz w:val="1"/>
                <w:szCs w:val="1"/>
                <w:color w:val="auto"/>
              </w:rPr>
            </w:pPr>
          </w:p>
        </w:tc>
      </w:tr>
      <w:tr>
        <w:trPr>
          <w:trHeight w:val="246"/>
        </w:trPr>
        <w:tc>
          <w:tcPr>
            <w:tcW w:w="1780" w:type="dxa"/>
            <w:vAlign w:val="bottom"/>
            <w:tcBorders>
              <w:bottom w:val="single" w:sz="8" w:color="CF0A2C"/>
            </w:tcBorders>
          </w:tcPr>
          <w:p>
            <w:pPr>
              <w:spacing w:after="0"/>
              <w:rPr>
                <w:sz w:val="21"/>
                <w:szCs w:val="21"/>
                <w:color w:val="auto"/>
              </w:rPr>
            </w:pPr>
          </w:p>
        </w:tc>
        <w:tc>
          <w:tcPr>
            <w:tcW w:w="880" w:type="dxa"/>
            <w:vAlign w:val="bottom"/>
            <w:tcBorders>
              <w:bottom w:val="single" w:sz="8" w:color="CF0A2C"/>
            </w:tcBorders>
          </w:tcPr>
          <w:p>
            <w:pPr>
              <w:jc w:val="right"/>
              <w:spacing w:after="0"/>
              <w:rPr>
                <w:sz w:val="20"/>
                <w:szCs w:val="20"/>
                <w:color w:val="auto"/>
              </w:rPr>
            </w:pPr>
            <w:r>
              <w:rPr>
                <w:rFonts w:ascii="Arial" w:cs="Arial" w:eastAsia="Arial" w:hAnsi="Arial"/>
                <w:sz w:val="13"/>
                <w:szCs w:val="13"/>
                <w:color w:val="262626"/>
              </w:rPr>
              <w:t>03/15/25</w:t>
            </w:r>
          </w:p>
        </w:tc>
        <w:tc>
          <w:tcPr>
            <w:tcW w:w="1280" w:type="dxa"/>
            <w:vAlign w:val="bottom"/>
            <w:tcBorders>
              <w:bottom w:val="single" w:sz="8" w:color="CF0A2C"/>
            </w:tcBorders>
          </w:tcPr>
          <w:p>
            <w:pPr>
              <w:jc w:val="right"/>
              <w:ind w:right="37"/>
              <w:spacing w:after="0"/>
              <w:rPr>
                <w:sz w:val="20"/>
                <w:szCs w:val="20"/>
                <w:color w:val="auto"/>
              </w:rPr>
            </w:pPr>
            <w:r>
              <w:rPr>
                <w:rFonts w:ascii="Arial" w:cs="Arial" w:eastAsia="Arial" w:hAnsi="Arial"/>
                <w:sz w:val="13"/>
                <w:szCs w:val="13"/>
                <w:color w:val="262626"/>
              </w:rPr>
              <w:t>30,000</w:t>
            </w:r>
            <w:r>
              <w:rPr>
                <w:rFonts w:ascii="Arial" w:cs="Arial" w:eastAsia="Arial" w:hAnsi="Arial"/>
                <w:sz w:val="18"/>
                <w:szCs w:val="18"/>
                <w:color w:val="262626"/>
                <w:vertAlign w:val="superscript"/>
              </w:rPr>
              <w:t>(12)</w:t>
            </w:r>
          </w:p>
        </w:tc>
        <w:tc>
          <w:tcPr>
            <w:tcW w:w="1060" w:type="dxa"/>
            <w:vAlign w:val="bottom"/>
            <w:tcBorders>
              <w:bottom w:val="single" w:sz="8" w:color="CF0A2C"/>
            </w:tcBorders>
          </w:tcPr>
          <w:p>
            <w:pPr>
              <w:jc w:val="right"/>
              <w:ind w:right="58"/>
              <w:spacing w:after="0"/>
              <w:rPr>
                <w:sz w:val="20"/>
                <w:szCs w:val="20"/>
                <w:color w:val="auto"/>
              </w:rPr>
            </w:pPr>
            <w:r>
              <w:rPr>
                <w:rFonts w:ascii="Arial" w:cs="Arial" w:eastAsia="Arial" w:hAnsi="Arial"/>
                <w:sz w:val="13"/>
                <w:szCs w:val="13"/>
                <w:color w:val="262626"/>
              </w:rPr>
              <w:t>11,088,900</w:t>
            </w:r>
          </w:p>
        </w:tc>
        <w:tc>
          <w:tcPr>
            <w:tcW w:w="1440" w:type="dxa"/>
            <w:vAlign w:val="bottom"/>
            <w:tcBorders>
              <w:bottom w:val="single" w:sz="8" w:color="CF0A2C"/>
            </w:tcBorders>
          </w:tcPr>
          <w:p>
            <w:pPr>
              <w:jc w:val="right"/>
              <w:ind w:right="163"/>
              <w:spacing w:after="0" w:line="246" w:lineRule="exact"/>
              <w:rPr>
                <w:sz w:val="20"/>
                <w:szCs w:val="20"/>
                <w:color w:val="auto"/>
              </w:rPr>
            </w:pPr>
            <w:r>
              <w:rPr>
                <w:rFonts w:ascii="Arial" w:cs="Arial" w:eastAsia="Arial" w:hAnsi="Arial"/>
                <w:sz w:val="25"/>
                <w:szCs w:val="25"/>
                <w:color w:val="262626"/>
                <w:vertAlign w:val="subscript"/>
              </w:rPr>
              <w:t>30,000</w:t>
            </w:r>
            <w:r>
              <w:rPr>
                <w:rFonts w:ascii="Arial" w:cs="Arial" w:eastAsia="Arial" w:hAnsi="Arial"/>
                <w:sz w:val="9"/>
                <w:szCs w:val="9"/>
                <w:color w:val="262626"/>
              </w:rPr>
              <w:t>(13)(7)</w:t>
            </w:r>
          </w:p>
        </w:tc>
        <w:tc>
          <w:tcPr>
            <w:tcW w:w="1360" w:type="dxa"/>
            <w:vAlign w:val="bottom"/>
            <w:tcBorders>
              <w:bottom w:val="single" w:sz="8" w:color="CF0A2C"/>
            </w:tcBorders>
          </w:tcPr>
          <w:p>
            <w:pPr>
              <w:jc w:val="center"/>
              <w:ind w:left="18"/>
              <w:spacing w:after="0"/>
              <w:rPr>
                <w:sz w:val="20"/>
                <w:szCs w:val="20"/>
                <w:color w:val="auto"/>
              </w:rPr>
            </w:pPr>
            <w:r>
              <w:rPr>
                <w:rFonts w:ascii="Arial" w:cs="Arial" w:eastAsia="Arial" w:hAnsi="Arial"/>
                <w:sz w:val="13"/>
                <w:szCs w:val="13"/>
                <w:color w:val="262626"/>
                <w:w w:val="91"/>
              </w:rPr>
              <w:t>       11,088,900</w:t>
            </w:r>
          </w:p>
        </w:tc>
        <w:tc>
          <w:tcPr>
            <w:tcW w:w="900" w:type="dxa"/>
            <w:vAlign w:val="bottom"/>
            <w:tcBorders>
              <w:bottom w:val="single" w:sz="8" w:color="CF0A2C"/>
            </w:tcBorders>
          </w:tcPr>
          <w:p>
            <w:pPr>
              <w:jc w:val="right"/>
              <w:spacing w:after="0"/>
              <w:rPr>
                <w:sz w:val="20"/>
                <w:szCs w:val="20"/>
                <w:color w:val="auto"/>
              </w:rPr>
            </w:pPr>
            <w:r>
              <w:rPr>
                <w:rFonts w:ascii="Arial" w:cs="Arial" w:eastAsia="Arial" w:hAnsi="Arial"/>
                <w:sz w:val="13"/>
                <w:szCs w:val="13"/>
                <w:color w:val="262626"/>
              </w:rPr>
              <w:t>03/15/26</w:t>
            </w:r>
          </w:p>
        </w:tc>
        <w:tc>
          <w:tcPr>
            <w:tcW w:w="0" w:type="dxa"/>
            <w:vAlign w:val="bottom"/>
          </w:tcPr>
          <w:p>
            <w:pPr>
              <w:spacing w:after="0"/>
              <w:rPr>
                <w:sz w:val="1"/>
                <w:szCs w:val="1"/>
                <w:color w:val="auto"/>
              </w:rPr>
            </w:pPr>
          </w:p>
        </w:tc>
      </w:tr>
      <w:tr>
        <w:trPr>
          <w:trHeight w:val="329"/>
        </w:trPr>
        <w:tc>
          <w:tcPr>
            <w:tcW w:w="1780" w:type="dxa"/>
            <w:vAlign w:val="bottom"/>
          </w:tcPr>
          <w:p>
            <w:pPr>
              <w:spacing w:after="0"/>
              <w:rPr>
                <w:sz w:val="20"/>
                <w:szCs w:val="20"/>
                <w:color w:val="auto"/>
              </w:rPr>
            </w:pPr>
            <w:r>
              <w:rPr>
                <w:rFonts w:ascii="Arial" w:cs="Arial" w:eastAsia="Arial" w:hAnsi="Arial"/>
                <w:sz w:val="13"/>
                <w:szCs w:val="13"/>
                <w:color w:val="262626"/>
              </w:rPr>
              <w:t>Mark D. Brazeal</w:t>
            </w:r>
          </w:p>
        </w:tc>
        <w:tc>
          <w:tcPr>
            <w:tcW w:w="880" w:type="dxa"/>
            <w:vAlign w:val="bottom"/>
          </w:tcPr>
          <w:p>
            <w:pPr>
              <w:jc w:val="right"/>
              <w:spacing w:after="0"/>
              <w:rPr>
                <w:sz w:val="20"/>
                <w:szCs w:val="20"/>
                <w:color w:val="auto"/>
              </w:rPr>
            </w:pPr>
            <w:r>
              <w:rPr>
                <w:rFonts w:ascii="Arial" w:cs="Arial" w:eastAsia="Arial" w:hAnsi="Arial"/>
                <w:sz w:val="13"/>
                <w:szCs w:val="13"/>
                <w:color w:val="262626"/>
              </w:rPr>
              <w:t>01/15/19</w:t>
            </w:r>
          </w:p>
        </w:tc>
        <w:tc>
          <w:tcPr>
            <w:tcW w:w="1280" w:type="dxa"/>
            <w:vAlign w:val="bottom"/>
          </w:tcPr>
          <w:p>
            <w:pPr>
              <w:jc w:val="right"/>
              <w:ind w:right="97"/>
              <w:spacing w:after="0"/>
              <w:rPr>
                <w:sz w:val="20"/>
                <w:szCs w:val="20"/>
                <w:color w:val="auto"/>
              </w:rPr>
            </w:pPr>
            <w:r>
              <w:rPr>
                <w:rFonts w:ascii="Arial" w:cs="Arial" w:eastAsia="Arial" w:hAnsi="Arial"/>
                <w:sz w:val="13"/>
                <w:szCs w:val="13"/>
                <w:color w:val="262626"/>
              </w:rPr>
              <w:t>9,375</w:t>
            </w:r>
            <w:r>
              <w:rPr>
                <w:rFonts w:ascii="Arial" w:cs="Arial" w:eastAsia="Arial" w:hAnsi="Arial"/>
                <w:sz w:val="18"/>
                <w:szCs w:val="18"/>
                <w:color w:val="262626"/>
                <w:vertAlign w:val="superscript"/>
              </w:rPr>
              <w:t>(5)</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3,465,281</w:t>
            </w:r>
          </w:p>
        </w:tc>
        <w:tc>
          <w:tcPr>
            <w:tcW w:w="1440" w:type="dxa"/>
            <w:vAlign w:val="bottom"/>
          </w:tcPr>
          <w:p>
            <w:pPr>
              <w:jc w:val="right"/>
              <w:ind w:right="203"/>
              <w:spacing w:after="0"/>
              <w:rPr>
                <w:sz w:val="20"/>
                <w:szCs w:val="20"/>
                <w:color w:val="auto"/>
              </w:rPr>
            </w:pPr>
            <w:r>
              <w:rPr>
                <w:rFonts w:ascii="Arial" w:cs="Arial" w:eastAsia="Arial" w:hAnsi="Arial"/>
                <w:sz w:val="25"/>
                <w:szCs w:val="25"/>
                <w:color w:val="262626"/>
                <w:vertAlign w:val="subscript"/>
              </w:rPr>
              <w:t>93,750</w:t>
            </w:r>
            <w:r>
              <w:rPr>
                <w:rFonts w:ascii="Arial" w:cs="Arial" w:eastAsia="Arial" w:hAnsi="Arial"/>
                <w:sz w:val="9"/>
                <w:szCs w:val="9"/>
                <w:color w:val="262626"/>
              </w:rPr>
              <w:t>(6)(7)</w:t>
            </w:r>
          </w:p>
        </w:tc>
        <w:tc>
          <w:tcPr>
            <w:tcW w:w="1360" w:type="dxa"/>
            <w:vAlign w:val="bottom"/>
          </w:tcPr>
          <w:p>
            <w:pPr>
              <w:jc w:val="center"/>
              <w:ind w:left="18"/>
              <w:spacing w:after="0"/>
              <w:rPr>
                <w:sz w:val="20"/>
                <w:szCs w:val="20"/>
                <w:color w:val="auto"/>
              </w:rPr>
            </w:pPr>
            <w:r>
              <w:rPr>
                <w:rFonts w:ascii="Arial" w:cs="Arial" w:eastAsia="Arial" w:hAnsi="Arial"/>
                <w:sz w:val="13"/>
                <w:szCs w:val="13"/>
                <w:color w:val="262626"/>
                <w:w w:val="91"/>
              </w:rPr>
              <w:t>       34,652,813</w:t>
            </w:r>
          </w:p>
        </w:tc>
        <w:tc>
          <w:tcPr>
            <w:tcW w:w="900" w:type="dxa"/>
            <w:vAlign w:val="bottom"/>
          </w:tcPr>
          <w:p>
            <w:pPr>
              <w:jc w:val="right"/>
              <w:spacing w:after="0"/>
              <w:rPr>
                <w:sz w:val="20"/>
                <w:szCs w:val="20"/>
                <w:color w:val="auto"/>
              </w:rPr>
            </w:pPr>
            <w:r>
              <w:rPr>
                <w:rFonts w:ascii="Arial" w:cs="Arial" w:eastAsia="Arial" w:hAnsi="Arial"/>
                <w:sz w:val="13"/>
                <w:szCs w:val="13"/>
                <w:color w:val="262626"/>
              </w:rPr>
              <w:t>03/15/22</w:t>
            </w: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62626"/>
              </w:rPr>
              <w:t>12/15/21</w:t>
            </w:r>
          </w:p>
        </w:tc>
        <w:tc>
          <w:tcPr>
            <w:tcW w:w="1280" w:type="dxa"/>
            <w:vAlign w:val="bottom"/>
          </w:tcPr>
          <w:p>
            <w:pPr>
              <w:jc w:val="right"/>
              <w:ind w:right="37"/>
              <w:spacing w:after="0"/>
              <w:rPr>
                <w:sz w:val="20"/>
                <w:szCs w:val="20"/>
                <w:color w:val="auto"/>
              </w:rPr>
            </w:pPr>
            <w:r>
              <w:rPr>
                <w:rFonts w:ascii="Arial" w:cs="Arial" w:eastAsia="Arial" w:hAnsi="Arial"/>
                <w:sz w:val="13"/>
                <w:szCs w:val="13"/>
                <w:color w:val="262626"/>
              </w:rPr>
              <w:t>5,000</w:t>
            </w:r>
            <w:r>
              <w:rPr>
                <w:rFonts w:ascii="Arial" w:cs="Arial" w:eastAsia="Arial" w:hAnsi="Arial"/>
                <w:sz w:val="18"/>
                <w:szCs w:val="18"/>
                <w:color w:val="262626"/>
                <w:vertAlign w:val="superscript"/>
              </w:rPr>
              <w:t>(14)</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1,848,150</w:t>
            </w:r>
          </w:p>
        </w:tc>
        <w:tc>
          <w:tcPr>
            <w:tcW w:w="1440" w:type="dxa"/>
            <w:vAlign w:val="bottom"/>
          </w:tcPr>
          <w:p>
            <w:pPr>
              <w:jc w:val="right"/>
              <w:ind w:right="443"/>
              <w:spacing w:after="0"/>
              <w:rPr>
                <w:sz w:val="20"/>
                <w:szCs w:val="20"/>
                <w:color w:val="auto"/>
              </w:rPr>
            </w:pPr>
            <w:r>
              <w:rPr>
                <w:rFonts w:ascii="Arial" w:cs="Arial" w:eastAsia="Arial" w:hAnsi="Arial"/>
                <w:sz w:val="13"/>
                <w:szCs w:val="13"/>
                <w:color w:val="262626"/>
              </w:rPr>
              <w:t>—</w:t>
            </w:r>
          </w:p>
        </w:tc>
        <w:tc>
          <w:tcPr>
            <w:tcW w:w="1360" w:type="dxa"/>
            <w:vAlign w:val="bottom"/>
          </w:tcPr>
          <w:p>
            <w:pPr>
              <w:jc w:val="center"/>
              <w:ind w:left="38"/>
              <w:spacing w:after="0"/>
              <w:rPr>
                <w:sz w:val="20"/>
                <w:szCs w:val="20"/>
                <w:color w:val="auto"/>
              </w:rPr>
            </w:pPr>
            <w:r>
              <w:rPr>
                <w:rFonts w:ascii="Arial" w:cs="Arial" w:eastAsia="Arial" w:hAnsi="Arial"/>
                <w:sz w:val="13"/>
                <w:szCs w:val="13"/>
                <w:color w:val="262626"/>
                <w:w w:val="85"/>
              </w:rPr>
              <w:t>                     —</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62626"/>
              </w:rPr>
              <w:t>12/15/21</w:t>
            </w:r>
          </w:p>
        </w:tc>
        <w:tc>
          <w:tcPr>
            <w:tcW w:w="1280" w:type="dxa"/>
            <w:vAlign w:val="bottom"/>
          </w:tcPr>
          <w:p>
            <w:pPr>
              <w:jc w:val="right"/>
              <w:ind w:right="37"/>
              <w:spacing w:after="0"/>
              <w:rPr>
                <w:sz w:val="20"/>
                <w:szCs w:val="20"/>
                <w:color w:val="auto"/>
              </w:rPr>
            </w:pPr>
            <w:r>
              <w:rPr>
                <w:rFonts w:ascii="Arial" w:cs="Arial" w:eastAsia="Arial" w:hAnsi="Arial"/>
                <w:sz w:val="13"/>
                <w:szCs w:val="13"/>
                <w:color w:val="262626"/>
              </w:rPr>
              <w:t>100,000</w:t>
            </w:r>
            <w:r>
              <w:rPr>
                <w:rFonts w:ascii="Arial" w:cs="Arial" w:eastAsia="Arial" w:hAnsi="Arial"/>
                <w:sz w:val="18"/>
                <w:szCs w:val="18"/>
                <w:color w:val="262626"/>
                <w:vertAlign w:val="superscript"/>
              </w:rPr>
              <w:t>(15)</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36,963,000</w:t>
            </w:r>
          </w:p>
        </w:tc>
        <w:tc>
          <w:tcPr>
            <w:tcW w:w="1440" w:type="dxa"/>
            <w:vAlign w:val="bottom"/>
          </w:tcPr>
          <w:p>
            <w:pPr>
              <w:jc w:val="right"/>
              <w:ind w:right="443"/>
              <w:spacing w:after="0"/>
              <w:rPr>
                <w:sz w:val="20"/>
                <w:szCs w:val="20"/>
                <w:color w:val="auto"/>
              </w:rPr>
            </w:pPr>
            <w:r>
              <w:rPr>
                <w:rFonts w:ascii="Arial" w:cs="Arial" w:eastAsia="Arial" w:hAnsi="Arial"/>
                <w:sz w:val="13"/>
                <w:szCs w:val="13"/>
                <w:color w:val="262626"/>
              </w:rPr>
              <w:t>—</w:t>
            </w:r>
          </w:p>
        </w:tc>
        <w:tc>
          <w:tcPr>
            <w:tcW w:w="1360" w:type="dxa"/>
            <w:vAlign w:val="bottom"/>
          </w:tcPr>
          <w:p>
            <w:pPr>
              <w:jc w:val="center"/>
              <w:ind w:left="38"/>
              <w:spacing w:after="0"/>
              <w:rPr>
                <w:sz w:val="20"/>
                <w:szCs w:val="20"/>
                <w:color w:val="auto"/>
              </w:rPr>
            </w:pPr>
            <w:r>
              <w:rPr>
                <w:rFonts w:ascii="Arial" w:cs="Arial" w:eastAsia="Arial" w:hAnsi="Arial"/>
                <w:sz w:val="13"/>
                <w:szCs w:val="13"/>
                <w:color w:val="262626"/>
                <w:w w:val="83"/>
              </w:rPr>
              <w:t>                     —</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62626"/>
              </w:rPr>
              <w:t>03/15/23</w:t>
            </w:r>
          </w:p>
        </w:tc>
        <w:tc>
          <w:tcPr>
            <w:tcW w:w="1280" w:type="dxa"/>
            <w:vAlign w:val="bottom"/>
          </w:tcPr>
          <w:p>
            <w:pPr>
              <w:jc w:val="right"/>
              <w:ind w:right="97"/>
              <w:spacing w:after="0"/>
              <w:rPr>
                <w:sz w:val="20"/>
                <w:szCs w:val="20"/>
                <w:color w:val="auto"/>
              </w:rPr>
            </w:pPr>
            <w:r>
              <w:rPr>
                <w:rFonts w:ascii="Arial" w:cs="Arial" w:eastAsia="Arial" w:hAnsi="Arial"/>
                <w:sz w:val="13"/>
                <w:szCs w:val="13"/>
                <w:color w:val="262626"/>
              </w:rPr>
              <w:t>18,750</w:t>
            </w:r>
            <w:r>
              <w:rPr>
                <w:rFonts w:ascii="Arial" w:cs="Arial" w:eastAsia="Arial" w:hAnsi="Arial"/>
                <w:sz w:val="18"/>
                <w:szCs w:val="18"/>
                <w:color w:val="262626"/>
                <w:vertAlign w:val="superscript"/>
              </w:rPr>
              <w:t>(8)</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6,930,563</w:t>
            </w:r>
          </w:p>
        </w:tc>
        <w:tc>
          <w:tcPr>
            <w:tcW w:w="1440" w:type="dxa"/>
            <w:vAlign w:val="bottom"/>
          </w:tcPr>
          <w:p>
            <w:pPr>
              <w:jc w:val="right"/>
              <w:ind w:right="203"/>
              <w:spacing w:after="0"/>
              <w:rPr>
                <w:sz w:val="20"/>
                <w:szCs w:val="20"/>
                <w:color w:val="auto"/>
              </w:rPr>
            </w:pPr>
            <w:r>
              <w:rPr>
                <w:rFonts w:ascii="Arial" w:cs="Arial" w:eastAsia="Arial" w:hAnsi="Arial"/>
                <w:sz w:val="13"/>
                <w:szCs w:val="13"/>
                <w:color w:val="262626"/>
              </w:rPr>
              <w:t>75,000</w:t>
            </w:r>
            <w:r>
              <w:rPr>
                <w:rFonts w:ascii="Arial" w:cs="Arial" w:eastAsia="Arial" w:hAnsi="Arial"/>
                <w:sz w:val="18"/>
                <w:szCs w:val="18"/>
                <w:color w:val="262626"/>
                <w:vertAlign w:val="superscript"/>
              </w:rPr>
              <w:t>(9)(7)</w:t>
            </w:r>
          </w:p>
        </w:tc>
        <w:tc>
          <w:tcPr>
            <w:tcW w:w="1360" w:type="dxa"/>
            <w:vAlign w:val="bottom"/>
          </w:tcPr>
          <w:p>
            <w:pPr>
              <w:jc w:val="center"/>
              <w:ind w:left="18"/>
              <w:spacing w:after="0"/>
              <w:rPr>
                <w:sz w:val="20"/>
                <w:szCs w:val="20"/>
                <w:color w:val="auto"/>
              </w:rPr>
            </w:pPr>
            <w:r>
              <w:rPr>
                <w:rFonts w:ascii="Arial" w:cs="Arial" w:eastAsia="Arial" w:hAnsi="Arial"/>
                <w:sz w:val="13"/>
                <w:szCs w:val="13"/>
                <w:color w:val="262626"/>
                <w:w w:val="91"/>
              </w:rPr>
              <w:t>       27,722,250</w:t>
            </w:r>
          </w:p>
        </w:tc>
        <w:tc>
          <w:tcPr>
            <w:tcW w:w="900" w:type="dxa"/>
            <w:vAlign w:val="bottom"/>
          </w:tcPr>
          <w:p>
            <w:pPr>
              <w:jc w:val="right"/>
              <w:spacing w:after="0"/>
              <w:rPr>
                <w:sz w:val="20"/>
                <w:szCs w:val="20"/>
                <w:color w:val="auto"/>
              </w:rPr>
            </w:pPr>
            <w:r>
              <w:rPr>
                <w:rFonts w:ascii="Arial" w:cs="Arial" w:eastAsia="Arial" w:hAnsi="Arial"/>
                <w:sz w:val="13"/>
                <w:szCs w:val="13"/>
                <w:color w:val="262626"/>
              </w:rPr>
              <w:t>03/15/23</w:t>
            </w:r>
          </w:p>
        </w:tc>
        <w:tc>
          <w:tcPr>
            <w:tcW w:w="0" w:type="dxa"/>
            <w:vAlign w:val="bottom"/>
          </w:tcPr>
          <w:p>
            <w:pPr>
              <w:spacing w:after="0"/>
              <w:rPr>
                <w:sz w:val="1"/>
                <w:szCs w:val="1"/>
                <w:color w:val="auto"/>
              </w:rPr>
            </w:pPr>
          </w:p>
        </w:tc>
      </w:tr>
      <w:tr>
        <w:trPr>
          <w:trHeight w:val="335"/>
        </w:trPr>
        <w:tc>
          <w:tcPr>
            <w:tcW w:w="1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62626"/>
              </w:rPr>
              <w:t>03/15/23</w:t>
            </w:r>
          </w:p>
        </w:tc>
        <w:tc>
          <w:tcPr>
            <w:tcW w:w="1280" w:type="dxa"/>
            <w:vAlign w:val="bottom"/>
          </w:tcPr>
          <w:p>
            <w:pPr>
              <w:jc w:val="right"/>
              <w:ind w:right="97"/>
              <w:spacing w:after="0"/>
              <w:rPr>
                <w:sz w:val="20"/>
                <w:szCs w:val="20"/>
                <w:color w:val="auto"/>
              </w:rPr>
            </w:pPr>
            <w:r>
              <w:rPr>
                <w:rFonts w:ascii="Arial" w:cs="Arial" w:eastAsia="Arial" w:hAnsi="Arial"/>
                <w:sz w:val="13"/>
                <w:szCs w:val="13"/>
                <w:color w:val="262626"/>
              </w:rPr>
              <w:t>31,250</w:t>
            </w:r>
            <w:r>
              <w:rPr>
                <w:rFonts w:ascii="Arial" w:cs="Arial" w:eastAsia="Arial" w:hAnsi="Arial"/>
                <w:sz w:val="18"/>
                <w:szCs w:val="18"/>
                <w:color w:val="262626"/>
                <w:vertAlign w:val="superscript"/>
              </w:rPr>
              <w:t>(8)</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11,550,938</w:t>
            </w:r>
          </w:p>
        </w:tc>
        <w:tc>
          <w:tcPr>
            <w:tcW w:w="1440" w:type="dxa"/>
            <w:vAlign w:val="bottom"/>
          </w:tcPr>
          <w:p>
            <w:pPr>
              <w:jc w:val="right"/>
              <w:ind w:right="163"/>
              <w:spacing w:after="0"/>
              <w:rPr>
                <w:sz w:val="20"/>
                <w:szCs w:val="20"/>
                <w:color w:val="auto"/>
              </w:rPr>
            </w:pPr>
            <w:r>
              <w:rPr>
                <w:rFonts w:ascii="Arial" w:cs="Arial" w:eastAsia="Arial" w:hAnsi="Arial"/>
                <w:sz w:val="25"/>
                <w:szCs w:val="25"/>
                <w:color w:val="262626"/>
                <w:vertAlign w:val="subscript"/>
              </w:rPr>
              <w:t>87,500</w:t>
            </w:r>
            <w:r>
              <w:rPr>
                <w:rFonts w:ascii="Arial" w:cs="Arial" w:eastAsia="Arial" w:hAnsi="Arial"/>
                <w:sz w:val="9"/>
                <w:szCs w:val="9"/>
                <w:color w:val="262626"/>
              </w:rPr>
              <w:t>(10)(7)</w:t>
            </w:r>
          </w:p>
        </w:tc>
        <w:tc>
          <w:tcPr>
            <w:tcW w:w="1360" w:type="dxa"/>
            <w:vAlign w:val="bottom"/>
          </w:tcPr>
          <w:p>
            <w:pPr>
              <w:jc w:val="center"/>
              <w:ind w:left="18"/>
              <w:spacing w:after="0"/>
              <w:rPr>
                <w:sz w:val="20"/>
                <w:szCs w:val="20"/>
                <w:color w:val="auto"/>
              </w:rPr>
            </w:pPr>
            <w:r>
              <w:rPr>
                <w:rFonts w:ascii="Arial" w:cs="Arial" w:eastAsia="Arial" w:hAnsi="Arial"/>
                <w:sz w:val="13"/>
                <w:szCs w:val="13"/>
                <w:color w:val="262626"/>
                <w:w w:val="91"/>
              </w:rPr>
              <w:t>       32,342,625</w:t>
            </w:r>
          </w:p>
        </w:tc>
        <w:tc>
          <w:tcPr>
            <w:tcW w:w="900" w:type="dxa"/>
            <w:vAlign w:val="bottom"/>
          </w:tcPr>
          <w:p>
            <w:pPr>
              <w:jc w:val="right"/>
              <w:spacing w:after="0"/>
              <w:rPr>
                <w:sz w:val="20"/>
                <w:szCs w:val="20"/>
                <w:color w:val="auto"/>
              </w:rPr>
            </w:pPr>
            <w:r>
              <w:rPr>
                <w:rFonts w:ascii="Arial" w:cs="Arial" w:eastAsia="Arial" w:hAnsi="Arial"/>
                <w:sz w:val="13"/>
                <w:szCs w:val="13"/>
                <w:color w:val="262626"/>
              </w:rPr>
              <w:t>03/15/24</w:t>
            </w:r>
          </w:p>
        </w:tc>
        <w:tc>
          <w:tcPr>
            <w:tcW w:w="0" w:type="dxa"/>
            <w:vAlign w:val="bottom"/>
          </w:tcPr>
          <w:p>
            <w:pPr>
              <w:spacing w:after="0"/>
              <w:rPr>
                <w:sz w:val="1"/>
                <w:szCs w:val="1"/>
                <w:color w:val="auto"/>
              </w:rPr>
            </w:pPr>
          </w:p>
        </w:tc>
      </w:tr>
      <w:tr>
        <w:trPr>
          <w:trHeight w:val="295"/>
        </w:trPr>
        <w:tc>
          <w:tcPr>
            <w:tcW w:w="1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62626"/>
              </w:rPr>
              <w:t>03/15/24</w:t>
            </w:r>
          </w:p>
        </w:tc>
        <w:tc>
          <w:tcPr>
            <w:tcW w:w="1280" w:type="dxa"/>
            <w:vAlign w:val="bottom"/>
          </w:tcPr>
          <w:p>
            <w:pPr>
              <w:jc w:val="right"/>
              <w:ind w:right="97"/>
              <w:spacing w:after="0"/>
              <w:rPr>
                <w:sz w:val="20"/>
                <w:szCs w:val="20"/>
                <w:color w:val="auto"/>
              </w:rPr>
            </w:pPr>
            <w:r>
              <w:rPr>
                <w:rFonts w:ascii="Arial" w:cs="Arial" w:eastAsia="Arial" w:hAnsi="Arial"/>
                <w:sz w:val="13"/>
                <w:szCs w:val="13"/>
                <w:color w:val="262626"/>
              </w:rPr>
              <w:t>62,500</w:t>
            </w:r>
            <w:r>
              <w:rPr>
                <w:rFonts w:ascii="Arial" w:cs="Arial" w:eastAsia="Arial" w:hAnsi="Arial"/>
                <w:sz w:val="18"/>
                <w:szCs w:val="18"/>
                <w:color w:val="262626"/>
                <w:vertAlign w:val="superscript"/>
              </w:rPr>
              <w:t>(8)</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23,101,875</w:t>
            </w:r>
          </w:p>
        </w:tc>
        <w:tc>
          <w:tcPr>
            <w:tcW w:w="1440" w:type="dxa"/>
            <w:vAlign w:val="bottom"/>
          </w:tcPr>
          <w:p>
            <w:pPr>
              <w:jc w:val="right"/>
              <w:ind w:right="163"/>
              <w:spacing w:after="0"/>
              <w:rPr>
                <w:sz w:val="20"/>
                <w:szCs w:val="20"/>
                <w:color w:val="auto"/>
              </w:rPr>
            </w:pPr>
            <w:r>
              <w:rPr>
                <w:rFonts w:ascii="Arial" w:cs="Arial" w:eastAsia="Arial" w:hAnsi="Arial"/>
                <w:sz w:val="25"/>
                <w:szCs w:val="25"/>
                <w:color w:val="262626"/>
                <w:vertAlign w:val="subscript"/>
              </w:rPr>
              <w:t>175,000</w:t>
            </w:r>
            <w:r>
              <w:rPr>
                <w:rFonts w:ascii="Arial" w:cs="Arial" w:eastAsia="Arial" w:hAnsi="Arial"/>
                <w:sz w:val="9"/>
                <w:szCs w:val="9"/>
                <w:color w:val="262626"/>
              </w:rPr>
              <w:t>(10)(7)</w:t>
            </w:r>
          </w:p>
        </w:tc>
        <w:tc>
          <w:tcPr>
            <w:tcW w:w="1360" w:type="dxa"/>
            <w:vAlign w:val="bottom"/>
          </w:tcPr>
          <w:p>
            <w:pPr>
              <w:jc w:val="center"/>
              <w:ind w:left="18"/>
              <w:spacing w:after="0"/>
              <w:rPr>
                <w:sz w:val="20"/>
                <w:szCs w:val="20"/>
                <w:color w:val="auto"/>
              </w:rPr>
            </w:pPr>
            <w:r>
              <w:rPr>
                <w:rFonts w:ascii="Arial" w:cs="Arial" w:eastAsia="Arial" w:hAnsi="Arial"/>
                <w:sz w:val="13"/>
                <w:szCs w:val="13"/>
                <w:color w:val="262626"/>
                <w:w w:val="91"/>
              </w:rPr>
              <w:t>       64,685,250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62626"/>
              </w:rPr>
              <w:t>03/15/25</w:t>
            </w:r>
          </w:p>
        </w:tc>
        <w:tc>
          <w:tcPr>
            <w:tcW w:w="1280" w:type="dxa"/>
            <w:vAlign w:val="bottom"/>
          </w:tcPr>
          <w:p>
            <w:pPr>
              <w:jc w:val="right"/>
              <w:ind w:right="97"/>
              <w:spacing w:after="0"/>
              <w:rPr>
                <w:sz w:val="20"/>
                <w:szCs w:val="20"/>
                <w:color w:val="auto"/>
              </w:rPr>
            </w:pPr>
            <w:r>
              <w:rPr>
                <w:rFonts w:ascii="Arial" w:cs="Arial" w:eastAsia="Arial" w:hAnsi="Arial"/>
                <w:sz w:val="13"/>
                <w:szCs w:val="13"/>
                <w:color w:val="262626"/>
              </w:rPr>
              <w:t>26,250</w:t>
            </w:r>
            <w:r>
              <w:rPr>
                <w:rFonts w:ascii="Arial" w:cs="Arial" w:eastAsia="Arial" w:hAnsi="Arial"/>
                <w:sz w:val="18"/>
                <w:szCs w:val="18"/>
                <w:color w:val="262626"/>
                <w:vertAlign w:val="superscript"/>
              </w:rPr>
              <w:t>(8)</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9,702,788</w:t>
            </w:r>
          </w:p>
        </w:tc>
        <w:tc>
          <w:tcPr>
            <w:tcW w:w="1440" w:type="dxa"/>
            <w:vAlign w:val="bottom"/>
          </w:tcPr>
          <w:p>
            <w:pPr>
              <w:jc w:val="right"/>
              <w:ind w:right="163"/>
              <w:spacing w:after="0"/>
              <w:rPr>
                <w:sz w:val="20"/>
                <w:szCs w:val="20"/>
                <w:color w:val="auto"/>
              </w:rPr>
            </w:pPr>
            <w:r>
              <w:rPr>
                <w:rFonts w:ascii="Arial" w:cs="Arial" w:eastAsia="Arial" w:hAnsi="Arial"/>
                <w:sz w:val="25"/>
                <w:szCs w:val="25"/>
                <w:color w:val="262626"/>
                <w:vertAlign w:val="subscript"/>
              </w:rPr>
              <w:t>60,000</w:t>
            </w:r>
            <w:r>
              <w:rPr>
                <w:rFonts w:ascii="Arial" w:cs="Arial" w:eastAsia="Arial" w:hAnsi="Arial"/>
                <w:sz w:val="9"/>
                <w:szCs w:val="9"/>
                <w:color w:val="262626"/>
              </w:rPr>
              <w:t>(11)(7)</w:t>
            </w:r>
          </w:p>
        </w:tc>
        <w:tc>
          <w:tcPr>
            <w:tcW w:w="1360" w:type="dxa"/>
            <w:vAlign w:val="bottom"/>
          </w:tcPr>
          <w:p>
            <w:pPr>
              <w:jc w:val="center"/>
              <w:ind w:left="18"/>
              <w:spacing w:after="0"/>
              <w:rPr>
                <w:sz w:val="20"/>
                <w:szCs w:val="20"/>
                <w:color w:val="auto"/>
              </w:rPr>
            </w:pPr>
            <w:r>
              <w:rPr>
                <w:rFonts w:ascii="Arial" w:cs="Arial" w:eastAsia="Arial" w:hAnsi="Arial"/>
                <w:sz w:val="13"/>
                <w:szCs w:val="13"/>
                <w:color w:val="262626"/>
                <w:w w:val="91"/>
              </w:rPr>
              <w:t>       22,177,800</w:t>
            </w:r>
          </w:p>
        </w:tc>
        <w:tc>
          <w:tcPr>
            <w:tcW w:w="900" w:type="dxa"/>
            <w:vAlign w:val="bottom"/>
          </w:tcPr>
          <w:p>
            <w:pPr>
              <w:jc w:val="right"/>
              <w:spacing w:after="0"/>
              <w:rPr>
                <w:sz w:val="20"/>
                <w:szCs w:val="20"/>
                <w:color w:val="auto"/>
              </w:rPr>
            </w:pPr>
            <w:r>
              <w:rPr>
                <w:rFonts w:ascii="Arial" w:cs="Arial" w:eastAsia="Arial" w:hAnsi="Arial"/>
                <w:sz w:val="13"/>
                <w:szCs w:val="13"/>
                <w:color w:val="262626"/>
              </w:rPr>
              <w:t>03/15/25</w:t>
            </w:r>
          </w:p>
        </w:tc>
        <w:tc>
          <w:tcPr>
            <w:tcW w:w="0" w:type="dxa"/>
            <w:vAlign w:val="bottom"/>
          </w:tcPr>
          <w:p>
            <w:pPr>
              <w:spacing w:after="0"/>
              <w:rPr>
                <w:sz w:val="1"/>
                <w:szCs w:val="1"/>
                <w:color w:val="auto"/>
              </w:rPr>
            </w:pPr>
          </w:p>
        </w:tc>
      </w:tr>
      <w:tr>
        <w:trPr>
          <w:trHeight w:val="246"/>
        </w:trPr>
        <w:tc>
          <w:tcPr>
            <w:tcW w:w="1780" w:type="dxa"/>
            <w:vAlign w:val="bottom"/>
            <w:tcBorders>
              <w:bottom w:val="single" w:sz="8" w:color="CF0A2C"/>
            </w:tcBorders>
          </w:tcPr>
          <w:p>
            <w:pPr>
              <w:spacing w:after="0"/>
              <w:rPr>
                <w:sz w:val="21"/>
                <w:szCs w:val="21"/>
                <w:color w:val="auto"/>
              </w:rPr>
            </w:pPr>
          </w:p>
        </w:tc>
        <w:tc>
          <w:tcPr>
            <w:tcW w:w="880" w:type="dxa"/>
            <w:vAlign w:val="bottom"/>
            <w:tcBorders>
              <w:bottom w:val="single" w:sz="8" w:color="CF0A2C"/>
            </w:tcBorders>
          </w:tcPr>
          <w:p>
            <w:pPr>
              <w:jc w:val="right"/>
              <w:spacing w:after="0"/>
              <w:rPr>
                <w:sz w:val="20"/>
                <w:szCs w:val="20"/>
                <w:color w:val="auto"/>
              </w:rPr>
            </w:pPr>
            <w:r>
              <w:rPr>
                <w:rFonts w:ascii="Arial" w:cs="Arial" w:eastAsia="Arial" w:hAnsi="Arial"/>
                <w:sz w:val="13"/>
                <w:szCs w:val="13"/>
                <w:color w:val="262626"/>
              </w:rPr>
              <w:t>03/15/25</w:t>
            </w:r>
          </w:p>
        </w:tc>
        <w:tc>
          <w:tcPr>
            <w:tcW w:w="1280" w:type="dxa"/>
            <w:vAlign w:val="bottom"/>
            <w:tcBorders>
              <w:bottom w:val="single" w:sz="8" w:color="CF0A2C"/>
            </w:tcBorders>
          </w:tcPr>
          <w:p>
            <w:pPr>
              <w:jc w:val="right"/>
              <w:ind w:right="37"/>
              <w:spacing w:after="0"/>
              <w:rPr>
                <w:sz w:val="20"/>
                <w:szCs w:val="20"/>
                <w:color w:val="auto"/>
              </w:rPr>
            </w:pPr>
            <w:r>
              <w:rPr>
                <w:rFonts w:ascii="Arial" w:cs="Arial" w:eastAsia="Arial" w:hAnsi="Arial"/>
                <w:sz w:val="13"/>
                <w:szCs w:val="13"/>
                <w:color w:val="262626"/>
              </w:rPr>
              <w:t>30,000</w:t>
            </w:r>
            <w:r>
              <w:rPr>
                <w:rFonts w:ascii="Arial" w:cs="Arial" w:eastAsia="Arial" w:hAnsi="Arial"/>
                <w:sz w:val="18"/>
                <w:szCs w:val="18"/>
                <w:color w:val="262626"/>
                <w:vertAlign w:val="superscript"/>
              </w:rPr>
              <w:t>(12)</w:t>
            </w:r>
          </w:p>
        </w:tc>
        <w:tc>
          <w:tcPr>
            <w:tcW w:w="1060" w:type="dxa"/>
            <w:vAlign w:val="bottom"/>
            <w:tcBorders>
              <w:bottom w:val="single" w:sz="8" w:color="CF0A2C"/>
            </w:tcBorders>
          </w:tcPr>
          <w:p>
            <w:pPr>
              <w:jc w:val="right"/>
              <w:ind w:right="58"/>
              <w:spacing w:after="0"/>
              <w:rPr>
                <w:sz w:val="20"/>
                <w:szCs w:val="20"/>
                <w:color w:val="auto"/>
              </w:rPr>
            </w:pPr>
            <w:r>
              <w:rPr>
                <w:rFonts w:ascii="Arial" w:cs="Arial" w:eastAsia="Arial" w:hAnsi="Arial"/>
                <w:sz w:val="13"/>
                <w:szCs w:val="13"/>
                <w:color w:val="262626"/>
              </w:rPr>
              <w:t>11,088,900</w:t>
            </w:r>
          </w:p>
        </w:tc>
        <w:tc>
          <w:tcPr>
            <w:tcW w:w="1440" w:type="dxa"/>
            <w:vAlign w:val="bottom"/>
            <w:tcBorders>
              <w:bottom w:val="single" w:sz="8" w:color="CF0A2C"/>
            </w:tcBorders>
          </w:tcPr>
          <w:p>
            <w:pPr>
              <w:jc w:val="right"/>
              <w:ind w:right="163"/>
              <w:spacing w:after="0" w:line="246" w:lineRule="exact"/>
              <w:rPr>
                <w:sz w:val="20"/>
                <w:szCs w:val="20"/>
                <w:color w:val="auto"/>
              </w:rPr>
            </w:pPr>
            <w:r>
              <w:rPr>
                <w:rFonts w:ascii="Arial" w:cs="Arial" w:eastAsia="Arial" w:hAnsi="Arial"/>
                <w:sz w:val="25"/>
                <w:szCs w:val="25"/>
                <w:color w:val="262626"/>
                <w:vertAlign w:val="subscript"/>
              </w:rPr>
              <w:t>30,000</w:t>
            </w:r>
            <w:r>
              <w:rPr>
                <w:rFonts w:ascii="Arial" w:cs="Arial" w:eastAsia="Arial" w:hAnsi="Arial"/>
                <w:sz w:val="9"/>
                <w:szCs w:val="9"/>
                <w:color w:val="262626"/>
              </w:rPr>
              <w:t>(13)(7)</w:t>
            </w:r>
          </w:p>
        </w:tc>
        <w:tc>
          <w:tcPr>
            <w:tcW w:w="1360" w:type="dxa"/>
            <w:vAlign w:val="bottom"/>
            <w:tcBorders>
              <w:bottom w:val="single" w:sz="8" w:color="CF0A2C"/>
            </w:tcBorders>
          </w:tcPr>
          <w:p>
            <w:pPr>
              <w:jc w:val="center"/>
              <w:ind w:left="18"/>
              <w:spacing w:after="0"/>
              <w:rPr>
                <w:sz w:val="20"/>
                <w:szCs w:val="20"/>
                <w:color w:val="auto"/>
              </w:rPr>
            </w:pPr>
            <w:r>
              <w:rPr>
                <w:rFonts w:ascii="Arial" w:cs="Arial" w:eastAsia="Arial" w:hAnsi="Arial"/>
                <w:sz w:val="13"/>
                <w:szCs w:val="13"/>
                <w:color w:val="262626"/>
                <w:w w:val="91"/>
              </w:rPr>
              <w:t>       11,088,900</w:t>
            </w:r>
          </w:p>
        </w:tc>
        <w:tc>
          <w:tcPr>
            <w:tcW w:w="900" w:type="dxa"/>
            <w:vAlign w:val="bottom"/>
            <w:tcBorders>
              <w:bottom w:val="single" w:sz="8" w:color="CF0A2C"/>
            </w:tcBorders>
          </w:tcPr>
          <w:p>
            <w:pPr>
              <w:jc w:val="right"/>
              <w:spacing w:after="0"/>
              <w:rPr>
                <w:sz w:val="20"/>
                <w:szCs w:val="20"/>
                <w:color w:val="auto"/>
              </w:rPr>
            </w:pPr>
            <w:r>
              <w:rPr>
                <w:rFonts w:ascii="Arial" w:cs="Arial" w:eastAsia="Arial" w:hAnsi="Arial"/>
                <w:sz w:val="13"/>
                <w:szCs w:val="13"/>
                <w:color w:val="262626"/>
              </w:rPr>
              <w:t>03/15/26</w:t>
            </w:r>
          </w:p>
        </w:tc>
        <w:tc>
          <w:tcPr>
            <w:tcW w:w="0" w:type="dxa"/>
            <w:vAlign w:val="bottom"/>
          </w:tcPr>
          <w:p>
            <w:pPr>
              <w:spacing w:after="0"/>
              <w:rPr>
                <w:sz w:val="1"/>
                <w:szCs w:val="1"/>
                <w:color w:val="auto"/>
              </w:rPr>
            </w:pPr>
          </w:p>
        </w:tc>
      </w:tr>
      <w:tr>
        <w:trPr>
          <w:trHeight w:val="325"/>
        </w:trPr>
        <w:tc>
          <w:tcPr>
            <w:tcW w:w="1780" w:type="dxa"/>
            <w:vAlign w:val="bottom"/>
          </w:tcPr>
          <w:p>
            <w:pPr>
              <w:spacing w:after="0"/>
              <w:rPr>
                <w:sz w:val="20"/>
                <w:szCs w:val="20"/>
                <w:color w:val="auto"/>
              </w:rPr>
            </w:pPr>
            <w:r>
              <w:rPr>
                <w:rFonts w:ascii="Arial" w:cs="Arial" w:eastAsia="Arial" w:hAnsi="Arial"/>
                <w:sz w:val="13"/>
                <w:szCs w:val="13"/>
                <w:color w:val="262626"/>
              </w:rPr>
              <w:t>Charlie B. Kawwas, Ph.D.</w:t>
            </w:r>
          </w:p>
        </w:tc>
        <w:tc>
          <w:tcPr>
            <w:tcW w:w="880" w:type="dxa"/>
            <w:vAlign w:val="bottom"/>
          </w:tcPr>
          <w:p>
            <w:pPr>
              <w:jc w:val="right"/>
              <w:spacing w:after="0"/>
              <w:rPr>
                <w:sz w:val="20"/>
                <w:szCs w:val="20"/>
                <w:color w:val="auto"/>
              </w:rPr>
            </w:pPr>
            <w:r>
              <w:rPr>
                <w:rFonts w:ascii="Arial" w:cs="Arial" w:eastAsia="Arial" w:hAnsi="Arial"/>
                <w:sz w:val="13"/>
                <w:szCs w:val="13"/>
                <w:color w:val="262626"/>
              </w:rPr>
              <w:t>01/15/19</w:t>
            </w:r>
          </w:p>
        </w:tc>
        <w:tc>
          <w:tcPr>
            <w:tcW w:w="1280" w:type="dxa"/>
            <w:vAlign w:val="bottom"/>
          </w:tcPr>
          <w:p>
            <w:pPr>
              <w:jc w:val="right"/>
              <w:ind w:right="97"/>
              <w:spacing w:after="0"/>
              <w:rPr>
                <w:sz w:val="20"/>
                <w:szCs w:val="20"/>
                <w:color w:val="auto"/>
              </w:rPr>
            </w:pPr>
            <w:r>
              <w:rPr>
                <w:rFonts w:ascii="Arial" w:cs="Arial" w:eastAsia="Arial" w:hAnsi="Arial"/>
                <w:sz w:val="13"/>
                <w:szCs w:val="13"/>
                <w:color w:val="262626"/>
              </w:rPr>
              <w:t>12,500</w:t>
            </w:r>
            <w:r>
              <w:rPr>
                <w:rFonts w:ascii="Arial" w:cs="Arial" w:eastAsia="Arial" w:hAnsi="Arial"/>
                <w:sz w:val="18"/>
                <w:szCs w:val="18"/>
                <w:color w:val="262626"/>
                <w:vertAlign w:val="superscript"/>
              </w:rPr>
              <w:t>(5)</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4,620,375</w:t>
            </w:r>
          </w:p>
        </w:tc>
        <w:tc>
          <w:tcPr>
            <w:tcW w:w="1440" w:type="dxa"/>
            <w:vAlign w:val="bottom"/>
          </w:tcPr>
          <w:p>
            <w:pPr>
              <w:jc w:val="right"/>
              <w:ind w:right="203"/>
              <w:spacing w:after="0"/>
              <w:rPr>
                <w:sz w:val="20"/>
                <w:szCs w:val="20"/>
                <w:color w:val="auto"/>
              </w:rPr>
            </w:pPr>
            <w:r>
              <w:rPr>
                <w:rFonts w:ascii="Arial" w:cs="Arial" w:eastAsia="Arial" w:hAnsi="Arial"/>
                <w:sz w:val="13"/>
                <w:szCs w:val="13"/>
                <w:color w:val="262626"/>
              </w:rPr>
              <w:t>125,000</w:t>
            </w:r>
            <w:r>
              <w:rPr>
                <w:rFonts w:ascii="Arial" w:cs="Arial" w:eastAsia="Arial" w:hAnsi="Arial"/>
                <w:sz w:val="18"/>
                <w:szCs w:val="18"/>
                <w:color w:val="262626"/>
                <w:vertAlign w:val="superscript"/>
              </w:rPr>
              <w:t>(6)(7)</w:t>
            </w:r>
          </w:p>
        </w:tc>
        <w:tc>
          <w:tcPr>
            <w:tcW w:w="1360" w:type="dxa"/>
            <w:vAlign w:val="bottom"/>
          </w:tcPr>
          <w:p>
            <w:pPr>
              <w:jc w:val="center"/>
              <w:ind w:left="18"/>
              <w:spacing w:after="0"/>
              <w:rPr>
                <w:sz w:val="20"/>
                <w:szCs w:val="20"/>
                <w:color w:val="auto"/>
              </w:rPr>
            </w:pPr>
            <w:r>
              <w:rPr>
                <w:rFonts w:ascii="Arial" w:cs="Arial" w:eastAsia="Arial" w:hAnsi="Arial"/>
                <w:sz w:val="13"/>
                <w:szCs w:val="13"/>
                <w:color w:val="262626"/>
                <w:w w:val="91"/>
              </w:rPr>
              <w:t>       46,203,750</w:t>
            </w:r>
          </w:p>
        </w:tc>
        <w:tc>
          <w:tcPr>
            <w:tcW w:w="900" w:type="dxa"/>
            <w:vAlign w:val="bottom"/>
          </w:tcPr>
          <w:p>
            <w:pPr>
              <w:jc w:val="right"/>
              <w:spacing w:after="0"/>
              <w:rPr>
                <w:sz w:val="20"/>
                <w:szCs w:val="20"/>
                <w:color w:val="auto"/>
              </w:rPr>
            </w:pPr>
            <w:r>
              <w:rPr>
                <w:rFonts w:ascii="Arial" w:cs="Arial" w:eastAsia="Arial" w:hAnsi="Arial"/>
                <w:sz w:val="13"/>
                <w:szCs w:val="13"/>
                <w:color w:val="262626"/>
              </w:rPr>
              <w:t>03/15/22</w:t>
            </w:r>
          </w:p>
        </w:tc>
        <w:tc>
          <w:tcPr>
            <w:tcW w:w="0" w:type="dxa"/>
            <w:vAlign w:val="bottom"/>
          </w:tcPr>
          <w:p>
            <w:pPr>
              <w:spacing w:after="0"/>
              <w:rPr>
                <w:sz w:val="1"/>
                <w:szCs w:val="1"/>
                <w:color w:val="auto"/>
              </w:rPr>
            </w:pPr>
          </w:p>
        </w:tc>
      </w:tr>
      <w:tr>
        <w:trPr>
          <w:trHeight w:val="295"/>
        </w:trPr>
        <w:tc>
          <w:tcPr>
            <w:tcW w:w="1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262626"/>
              </w:rPr>
              <w:t>10/31/22</w:t>
            </w:r>
          </w:p>
        </w:tc>
        <w:tc>
          <w:tcPr>
            <w:tcW w:w="1280" w:type="dxa"/>
            <w:vAlign w:val="bottom"/>
          </w:tcPr>
          <w:p>
            <w:pPr>
              <w:jc w:val="right"/>
              <w:ind w:right="197"/>
              <w:spacing w:after="0"/>
              <w:rPr>
                <w:sz w:val="20"/>
                <w:szCs w:val="20"/>
                <w:color w:val="auto"/>
              </w:rPr>
            </w:pPr>
            <w:r>
              <w:rPr>
                <w:rFonts w:ascii="Arial" w:cs="Arial" w:eastAsia="Arial" w:hAnsi="Arial"/>
                <w:sz w:val="13"/>
                <w:szCs w:val="13"/>
                <w:color w:val="262626"/>
              </w:rPr>
              <w:t>—</w:t>
            </w:r>
          </w:p>
        </w:tc>
        <w:tc>
          <w:tcPr>
            <w:tcW w:w="1060" w:type="dxa"/>
            <w:vAlign w:val="bottom"/>
          </w:tcPr>
          <w:p>
            <w:pPr>
              <w:jc w:val="right"/>
              <w:ind w:right="58"/>
              <w:spacing w:after="0"/>
              <w:rPr>
                <w:sz w:val="20"/>
                <w:szCs w:val="20"/>
                <w:color w:val="auto"/>
              </w:rPr>
            </w:pPr>
            <w:r>
              <w:rPr>
                <w:rFonts w:ascii="Arial" w:cs="Arial" w:eastAsia="Arial" w:hAnsi="Arial"/>
                <w:sz w:val="13"/>
                <w:szCs w:val="13"/>
                <w:color w:val="262626"/>
              </w:rPr>
              <w:t>—</w:t>
            </w:r>
          </w:p>
        </w:tc>
        <w:tc>
          <w:tcPr>
            <w:tcW w:w="1440" w:type="dxa"/>
            <w:vAlign w:val="bottom"/>
          </w:tcPr>
          <w:p>
            <w:pPr>
              <w:jc w:val="right"/>
              <w:ind w:right="323"/>
              <w:spacing w:after="0"/>
              <w:rPr>
                <w:sz w:val="20"/>
                <w:szCs w:val="20"/>
                <w:color w:val="auto"/>
              </w:rPr>
            </w:pPr>
            <w:r>
              <w:rPr>
                <w:rFonts w:ascii="Arial" w:cs="Arial" w:eastAsia="Arial" w:hAnsi="Arial"/>
                <w:sz w:val="13"/>
                <w:szCs w:val="13"/>
                <w:color w:val="262626"/>
              </w:rPr>
              <w:t>3,000,000</w:t>
            </w:r>
            <w:r>
              <w:rPr>
                <w:rFonts w:ascii="Arial" w:cs="Arial" w:eastAsia="Arial" w:hAnsi="Arial"/>
                <w:sz w:val="18"/>
                <w:szCs w:val="18"/>
                <w:color w:val="262626"/>
                <w:vertAlign w:val="superscript"/>
              </w:rPr>
              <w:t>(3)</w:t>
            </w:r>
          </w:p>
        </w:tc>
        <w:tc>
          <w:tcPr>
            <w:tcW w:w="1360" w:type="dxa"/>
            <w:vAlign w:val="bottom"/>
          </w:tcPr>
          <w:p>
            <w:pPr>
              <w:jc w:val="center"/>
              <w:ind w:left="18"/>
              <w:spacing w:after="0"/>
              <w:rPr>
                <w:sz w:val="20"/>
                <w:szCs w:val="20"/>
                <w:color w:val="auto"/>
              </w:rPr>
            </w:pPr>
            <w:r>
              <w:rPr>
                <w:rFonts w:ascii="Arial" w:cs="Arial" w:eastAsia="Arial" w:hAnsi="Arial"/>
                <w:sz w:val="13"/>
                <w:szCs w:val="13"/>
                <w:color w:val="262626"/>
                <w:w w:val="91"/>
              </w:rPr>
              <w:t>   1,108,890,000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121285</wp:posOffset>
            </wp:positionV>
            <wp:extent cx="4343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243" w:lineRule="exact"/>
        <w:rPr>
          <w:sz w:val="20"/>
          <w:szCs w:val="20"/>
          <w:color w:val="auto"/>
        </w:rPr>
      </w:pPr>
    </w:p>
    <w:p>
      <w:pPr>
        <w:ind w:left="1620" w:hanging="344"/>
        <w:spacing w:after="0"/>
        <w:tabs>
          <w:tab w:leader="none" w:pos="1620" w:val="left"/>
        </w:tabs>
        <w:numPr>
          <w:ilvl w:val="0"/>
          <w:numId w:val="32"/>
        </w:numPr>
        <w:rPr>
          <w:rFonts w:ascii="Arial" w:cs="Arial" w:eastAsia="Arial" w:hAnsi="Arial"/>
          <w:sz w:val="14"/>
          <w:szCs w:val="14"/>
          <w:color w:val="262626"/>
        </w:rPr>
      </w:pPr>
      <w:r>
        <w:rPr>
          <w:rFonts w:ascii="Arial" w:cs="Arial" w:eastAsia="Arial" w:hAnsi="Arial"/>
          <w:sz w:val="14"/>
          <w:szCs w:val="14"/>
          <w:color w:val="262626"/>
        </w:rPr>
        <w:t>The awards shown in these columns are awards granted under the 2012 Plan unless otherwise noted.</w:t>
      </w:r>
    </w:p>
    <w:p>
      <w:pPr>
        <w:sectPr>
          <w:pgSz w:w="11900" w:h="16838" w:orient="portrait"/>
          <w:cols w:equalWidth="0" w:num="1">
            <w:col w:w="10139"/>
          </w:cols>
          <w:pgMar w:left="320" w:top="480" w:right="1440" w:bottom="1440" w:gutter="0" w:footer="0" w:header="0"/>
        </w:sectPr>
      </w:pPr>
    </w:p>
    <w:p>
      <w:pPr>
        <w:spacing w:after="0" w:line="233"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6" w:lineRule="exact"/>
        <w:rPr>
          <w:sz w:val="20"/>
          <w:szCs w:val="20"/>
          <w:color w:val="auto"/>
        </w:rPr>
      </w:pPr>
    </w:p>
    <w:p>
      <w:pPr>
        <w:ind w:left="1620" w:right="159" w:hanging="344"/>
        <w:spacing w:after="0" w:line="362" w:lineRule="auto"/>
        <w:tabs>
          <w:tab w:leader="none" w:pos="1620" w:val="left"/>
        </w:tabs>
        <w:numPr>
          <w:ilvl w:val="0"/>
          <w:numId w:val="33"/>
        </w:numPr>
        <w:rPr>
          <w:rFonts w:ascii="Arial" w:cs="Arial" w:eastAsia="Arial" w:hAnsi="Arial"/>
          <w:sz w:val="14"/>
          <w:szCs w:val="14"/>
          <w:color w:val="262626"/>
        </w:rPr>
      </w:pPr>
      <w:r>
        <w:rPr>
          <w:rFonts w:ascii="Arial" w:cs="Arial" w:eastAsia="Arial" w:hAnsi="Arial"/>
          <w:sz w:val="14"/>
          <w:szCs w:val="14"/>
          <w:color w:val="262626"/>
        </w:rPr>
        <w:t>The amounts shown in this column represent the number of unvested shares multiplied by $369.63, the closing price of Broadcom common stock on October 31, 2025 (the last trading day of fiscal 2025).</w:t>
      </w:r>
    </w:p>
    <w:p>
      <w:pPr>
        <w:spacing w:after="0" w:line="10" w:lineRule="exact"/>
        <w:rPr>
          <w:rFonts w:ascii="Arial" w:cs="Arial" w:eastAsia="Arial" w:hAnsi="Arial"/>
          <w:sz w:val="14"/>
          <w:szCs w:val="14"/>
          <w:color w:val="262626"/>
        </w:rPr>
      </w:pPr>
    </w:p>
    <w:p>
      <w:pPr>
        <w:jc w:val="both"/>
        <w:ind w:left="1620" w:right="159" w:hanging="344"/>
        <w:spacing w:after="0" w:line="326" w:lineRule="auto"/>
        <w:tabs>
          <w:tab w:leader="none" w:pos="1620" w:val="left"/>
        </w:tabs>
        <w:numPr>
          <w:ilvl w:val="0"/>
          <w:numId w:val="33"/>
        </w:numPr>
        <w:rPr>
          <w:rFonts w:ascii="Arial" w:cs="Arial" w:eastAsia="Arial" w:hAnsi="Arial"/>
          <w:sz w:val="14"/>
          <w:szCs w:val="14"/>
          <w:color w:val="262626"/>
        </w:rPr>
      </w:pPr>
      <w:r>
        <w:rPr>
          <w:rFonts w:ascii="Arial" w:cs="Arial" w:eastAsia="Arial" w:hAnsi="Arial"/>
          <w:sz w:val="14"/>
          <w:szCs w:val="14"/>
          <w:color w:val="262626"/>
        </w:rPr>
        <w:t>Represents a PSU award based on attainment of the maximum performance level as performance through November 2, 2025 was tracking above target. Vesting is contingent on both achievement of stock price hurdles (the “Price Hurdles”) and continued employment on October 31, 2027. No portion of the PSU award will be earned unless the average closing price of Broadcom common stock over 20 consecutive trading days meets or exceeds the Price Hurdles during the period that begins after the third anniversary of the grant date and concludes on the fifth anniversary of the grant date (the “Earning Period”). One-third of the shares subject to the PSU award will be earned for achieving each Price Hurdle during the Earning Period, with no interpolation between Price Hurdles. Any shares earned during the Earning Period but prior to October 31, 2027 will be subject to continued employment on October 31, 2027. If the lowest Price Hurdle is not met during the Earning Period, the PSU award will be cancelled.</w:t>
      </w:r>
    </w:p>
    <w:p>
      <w:pPr>
        <w:spacing w:after="0" w:line="35" w:lineRule="exact"/>
        <w:rPr>
          <w:rFonts w:ascii="Arial" w:cs="Arial" w:eastAsia="Arial" w:hAnsi="Arial"/>
          <w:sz w:val="14"/>
          <w:szCs w:val="14"/>
          <w:color w:val="262626"/>
        </w:rPr>
      </w:pPr>
    </w:p>
    <w:p>
      <w:pPr>
        <w:jc w:val="both"/>
        <w:ind w:left="1620" w:right="159" w:hanging="344"/>
        <w:spacing w:after="0" w:line="325" w:lineRule="auto"/>
        <w:tabs>
          <w:tab w:leader="none" w:pos="1620" w:val="left"/>
        </w:tabs>
        <w:numPr>
          <w:ilvl w:val="0"/>
          <w:numId w:val="33"/>
        </w:numPr>
        <w:rPr>
          <w:rFonts w:ascii="Arial" w:cs="Arial" w:eastAsia="Arial" w:hAnsi="Arial"/>
          <w:sz w:val="14"/>
          <w:szCs w:val="14"/>
          <w:color w:val="262626"/>
        </w:rPr>
      </w:pPr>
      <w:r>
        <w:rPr>
          <w:rFonts w:ascii="Arial" w:cs="Arial" w:eastAsia="Arial" w:hAnsi="Arial"/>
          <w:sz w:val="14"/>
          <w:szCs w:val="14"/>
          <w:color w:val="262626"/>
        </w:rPr>
        <w:t>Represents the 2025 Tan PSU Award based on attainment of the target performance level as the Performance Period does not commence until the first day of fiscal 2028. Vesting is contingent on both attainment of AI Revenue targets during the Performance Period and continued employment through the Vesting Date. No portion of the PSU award will be earned if the Applicable AI Revenue is less than or equal to the Threshold Achievement Level. The actual number of shares earned on the Vesting Date will be the product of multiplying the Payout Percentage by the Target PSUs. If the Applicable AI Revenue is between two Achievement Levels, the number of shares earned will be determined using linear interpolation. Mr. Tan may earn up to 300% of the Target PSUs. Any shares earned during the Performance Period but prior to the Vesting Date will be subject to continued employment through the Vesting Date. For further discussion of the 2025 Tan PSU Award, see “</w:t>
      </w:r>
      <w:r>
        <w:rPr>
          <w:rFonts w:ascii="Arial" w:cs="Arial" w:eastAsia="Arial" w:hAnsi="Arial"/>
          <w:sz w:val="14"/>
          <w:szCs w:val="14"/>
          <w:i w:val="1"/>
          <w:iCs w:val="1"/>
          <w:color w:val="262626"/>
        </w:rPr>
        <w:t>Compensation Discussion and Analysis</w:t>
      </w:r>
      <w:r>
        <w:rPr>
          <w:rFonts w:ascii="Arial" w:cs="Arial" w:eastAsia="Arial" w:hAnsi="Arial"/>
          <w:sz w:val="14"/>
          <w:szCs w:val="14"/>
          <w:color w:val="262626"/>
        </w:rPr>
        <w:t xml:space="preserve"> — </w:t>
      </w:r>
      <w:r>
        <w:rPr>
          <w:rFonts w:ascii="Arial" w:cs="Arial" w:eastAsia="Arial" w:hAnsi="Arial"/>
          <w:sz w:val="14"/>
          <w:szCs w:val="14"/>
          <w:i w:val="1"/>
          <w:iCs w:val="1"/>
          <w:color w:val="262626"/>
        </w:rPr>
        <w:t>Long-Term</w:t>
      </w:r>
      <w:r>
        <w:rPr>
          <w:rFonts w:ascii="Arial" w:cs="Arial" w:eastAsia="Arial" w:hAnsi="Arial"/>
          <w:sz w:val="14"/>
          <w:szCs w:val="14"/>
          <w:color w:val="262626"/>
        </w:rPr>
        <w:t xml:space="preserve"> </w:t>
      </w:r>
      <w:r>
        <w:rPr>
          <w:rFonts w:ascii="Arial" w:cs="Arial" w:eastAsia="Arial" w:hAnsi="Arial"/>
          <w:sz w:val="14"/>
          <w:szCs w:val="14"/>
          <w:i w:val="1"/>
          <w:iCs w:val="1"/>
          <w:color w:val="262626"/>
        </w:rPr>
        <w:t xml:space="preserve">Incentive Compensation </w:t>
      </w:r>
      <w:r>
        <w:rPr>
          <w:rFonts w:ascii="Arial" w:cs="Arial" w:eastAsia="Arial" w:hAnsi="Arial"/>
          <w:sz w:val="14"/>
          <w:szCs w:val="14"/>
          <w:color w:val="262626"/>
        </w:rPr>
        <w:t>—</w:t>
      </w:r>
      <w:r>
        <w:rPr>
          <w:rFonts w:ascii="Arial" w:cs="Arial" w:eastAsia="Arial" w:hAnsi="Arial"/>
          <w:sz w:val="14"/>
          <w:szCs w:val="14"/>
          <w:i w:val="1"/>
          <w:iCs w:val="1"/>
          <w:color w:val="262626"/>
        </w:rPr>
        <w:t xml:space="preserve"> Equity Award Granted to Mr. Tan in Fiscal 2025</w:t>
      </w:r>
      <w:r>
        <w:rPr>
          <w:rFonts w:ascii="Arial" w:cs="Arial" w:eastAsia="Arial" w:hAnsi="Arial"/>
          <w:sz w:val="14"/>
          <w:szCs w:val="14"/>
          <w:color w:val="262626"/>
        </w:rPr>
        <w:t>.”</w:t>
      </w:r>
    </w:p>
    <w:p>
      <w:pPr>
        <w:spacing w:after="0" w:line="37" w:lineRule="exact"/>
        <w:rPr>
          <w:rFonts w:ascii="Arial" w:cs="Arial" w:eastAsia="Arial" w:hAnsi="Arial"/>
          <w:sz w:val="14"/>
          <w:szCs w:val="14"/>
          <w:color w:val="262626"/>
        </w:rPr>
      </w:pPr>
    </w:p>
    <w:p>
      <w:pPr>
        <w:jc w:val="both"/>
        <w:ind w:left="1620" w:right="159" w:hanging="344"/>
        <w:spacing w:after="0" w:line="330" w:lineRule="auto"/>
        <w:tabs>
          <w:tab w:leader="none" w:pos="1620" w:val="left"/>
        </w:tabs>
        <w:numPr>
          <w:ilvl w:val="0"/>
          <w:numId w:val="33"/>
        </w:numPr>
        <w:rPr>
          <w:rFonts w:ascii="Arial" w:cs="Arial" w:eastAsia="Arial" w:hAnsi="Arial"/>
          <w:sz w:val="14"/>
          <w:szCs w:val="14"/>
          <w:color w:val="262626"/>
        </w:rPr>
      </w:pPr>
      <w:r>
        <w:rPr>
          <w:rFonts w:ascii="Arial" w:cs="Arial" w:eastAsia="Arial" w:hAnsi="Arial"/>
          <w:sz w:val="14"/>
          <w:szCs w:val="14"/>
          <w:color w:val="262626"/>
        </w:rPr>
        <w:t>Represents an RSU award under the 2019 Multi-Year Awards granted under the Avago Technologies Limited 2009 Equity Incentive Plan (the “Avago Plan”), which when granted, vested at a rate of 25% on each anniversary of the applicable vesting start date, subject to continued employment on the applicable vesting date. The Compensation Committee in June 2025 modified the vesting schedule from annual to quarterly such that 12.5% of the RSU award vested on September 15, 2025 and the remainder will vest at a rate of 6.25% per quarter, subject to continued employment through the applicable vesting date.</w:t>
      </w:r>
    </w:p>
    <w:p>
      <w:pPr>
        <w:spacing w:after="0" w:line="33" w:lineRule="exact"/>
        <w:rPr>
          <w:rFonts w:ascii="Arial" w:cs="Arial" w:eastAsia="Arial" w:hAnsi="Arial"/>
          <w:sz w:val="14"/>
          <w:szCs w:val="14"/>
          <w:color w:val="262626"/>
        </w:rPr>
      </w:pPr>
    </w:p>
    <w:p>
      <w:pPr>
        <w:jc w:val="both"/>
        <w:ind w:left="1620" w:right="159" w:hanging="344"/>
        <w:spacing w:after="0" w:line="327" w:lineRule="auto"/>
        <w:tabs>
          <w:tab w:leader="none" w:pos="1620" w:val="left"/>
        </w:tabs>
        <w:numPr>
          <w:ilvl w:val="0"/>
          <w:numId w:val="33"/>
        </w:numPr>
        <w:rPr>
          <w:rFonts w:ascii="Arial" w:cs="Arial" w:eastAsia="Arial" w:hAnsi="Arial"/>
          <w:sz w:val="14"/>
          <w:szCs w:val="14"/>
          <w:color w:val="262626"/>
        </w:rPr>
      </w:pPr>
      <w:r>
        <w:rPr>
          <w:rFonts w:ascii="Arial" w:cs="Arial" w:eastAsia="Arial" w:hAnsi="Arial"/>
          <w:sz w:val="14"/>
          <w:szCs w:val="14"/>
          <w:color w:val="262626"/>
        </w:rPr>
        <w:t>Represents a PSU award under the 2019 Multi-Year Awards granted under the Avago Plan based on attainment of the maximum performance level as performance through November 2, 2025 was tracking above target. The PSU award vests as to 25% of the target number of shares on each anniversary of March 15, 2022, subject to continued employment on the applicable vesting date and achievement of specified performance goals based on the Relative TSR over four overlapping performance periods beginning on March 2, 2022 and ending on each March 1st of 2023, 2024, 2025 and 2026, as determined by the Compensation Committee. The Relative TSR for the first, second and third performance periods was at the 61st, 99th and 99th percentile, respectively, and, as a result, 25% of the target number of shares subject to the PSU award was earned in each of fiscal 2023, 2024 and 2025.</w:t>
      </w:r>
    </w:p>
    <w:p>
      <w:pPr>
        <w:spacing w:after="0" w:line="34" w:lineRule="exact"/>
        <w:rPr>
          <w:rFonts w:ascii="Arial" w:cs="Arial" w:eastAsia="Arial" w:hAnsi="Arial"/>
          <w:sz w:val="14"/>
          <w:szCs w:val="14"/>
          <w:color w:val="262626"/>
        </w:rPr>
      </w:pPr>
    </w:p>
    <w:p>
      <w:pPr>
        <w:jc w:val="both"/>
        <w:ind w:left="1620" w:right="159" w:hanging="344"/>
        <w:spacing w:after="0" w:line="330" w:lineRule="auto"/>
        <w:tabs>
          <w:tab w:leader="none" w:pos="1620" w:val="left"/>
        </w:tabs>
        <w:numPr>
          <w:ilvl w:val="0"/>
          <w:numId w:val="33"/>
        </w:numPr>
        <w:rPr>
          <w:rFonts w:ascii="Arial" w:cs="Arial" w:eastAsia="Arial" w:hAnsi="Arial"/>
          <w:sz w:val="14"/>
          <w:szCs w:val="14"/>
          <w:color w:val="262626"/>
        </w:rPr>
      </w:pPr>
      <w:r>
        <w:rPr>
          <w:rFonts w:ascii="Arial" w:cs="Arial" w:eastAsia="Arial" w:hAnsi="Arial"/>
          <w:sz w:val="14"/>
          <w:szCs w:val="14"/>
          <w:color w:val="262626"/>
        </w:rPr>
        <w:t>The number of shares that may be earned is capped at 25% of the target number of shares subject to the PSU award for each of the first three performance periods. In the aggregate, the NEO may earn up to 200% of the total target number of shares subject to the PSU award if, for the fourth performance period, the Relative TSR is at or above the 75th percentile of the S&amp;P 500 and our absolute TSR is not negative. No shares will be earned for a performance period if the Relative TSR is not at or above the 25th percentile of the S&amp;P 500.</w:t>
      </w:r>
    </w:p>
    <w:p>
      <w:pPr>
        <w:spacing w:after="0" w:line="33" w:lineRule="exact"/>
        <w:rPr>
          <w:rFonts w:ascii="Arial" w:cs="Arial" w:eastAsia="Arial" w:hAnsi="Arial"/>
          <w:sz w:val="14"/>
          <w:szCs w:val="14"/>
          <w:color w:val="262626"/>
        </w:rPr>
      </w:pPr>
    </w:p>
    <w:p>
      <w:pPr>
        <w:jc w:val="both"/>
        <w:ind w:left="1620" w:right="159" w:hanging="344"/>
        <w:spacing w:after="0" w:line="334" w:lineRule="auto"/>
        <w:tabs>
          <w:tab w:leader="none" w:pos="1620" w:val="left"/>
        </w:tabs>
        <w:numPr>
          <w:ilvl w:val="0"/>
          <w:numId w:val="33"/>
        </w:numPr>
        <w:rPr>
          <w:rFonts w:ascii="Arial" w:cs="Arial" w:eastAsia="Arial" w:hAnsi="Arial"/>
          <w:sz w:val="14"/>
          <w:szCs w:val="14"/>
          <w:color w:val="262626"/>
        </w:rPr>
      </w:pPr>
      <w:r>
        <w:rPr>
          <w:rFonts w:ascii="Arial" w:cs="Arial" w:eastAsia="Arial" w:hAnsi="Arial"/>
          <w:sz w:val="14"/>
          <w:szCs w:val="14"/>
          <w:color w:val="262626"/>
        </w:rPr>
        <w:t>Represents an RSU award, which when granted, vested at a rate of 25% on each anniversary of the applicable vesting start date, subject to continued employment on the applicable vesting date. The Compensation Committee in June 2025 modified the vesting schedule from annual to quarterly such that 12.5% of the RSU award vested on September 15, 2025 and the remainder will vest at a rate of 6.25% per quarter, subject to continued employment through the applicable vesting date.</w:t>
      </w:r>
    </w:p>
    <w:p>
      <w:pPr>
        <w:spacing w:after="0" w:line="29" w:lineRule="exact"/>
        <w:rPr>
          <w:rFonts w:ascii="Arial" w:cs="Arial" w:eastAsia="Arial" w:hAnsi="Arial"/>
          <w:sz w:val="14"/>
          <w:szCs w:val="14"/>
          <w:color w:val="262626"/>
        </w:rPr>
      </w:pPr>
    </w:p>
    <w:p>
      <w:pPr>
        <w:jc w:val="both"/>
        <w:ind w:left="1620" w:right="159" w:hanging="344"/>
        <w:spacing w:after="0" w:line="329" w:lineRule="auto"/>
        <w:tabs>
          <w:tab w:leader="none" w:pos="1620" w:val="left"/>
        </w:tabs>
        <w:numPr>
          <w:ilvl w:val="0"/>
          <w:numId w:val="33"/>
        </w:numPr>
        <w:rPr>
          <w:rFonts w:ascii="Arial" w:cs="Arial" w:eastAsia="Arial" w:hAnsi="Arial"/>
          <w:sz w:val="14"/>
          <w:szCs w:val="14"/>
          <w:color w:val="262626"/>
        </w:rPr>
      </w:pPr>
      <w:r>
        <w:rPr>
          <w:rFonts w:ascii="Arial" w:cs="Arial" w:eastAsia="Arial" w:hAnsi="Arial"/>
          <w:sz w:val="14"/>
          <w:szCs w:val="14"/>
          <w:color w:val="262626"/>
        </w:rPr>
        <w:t>Represents a PSU award based on attainment of the maximum performance level as performance through November 2, 2025 was tracking above target. The PSU award vests as to 25% of the target number of shares on each anniversary of March 15, 2023, subject to continued employment on the applicable vesting date and achievement of specified performance goals based on the Relative TSR over four overlapping performance periods beginning on March 2, 2023 and ending on each March 1st of 2024, 2025, 2026 and 2027, as determined by the Compensation Committee. The Relative TSR for both the first and second performance period was at the 99th percentile and, as a result, 25% of the target number of shares subject to the PSU award was earned in each of fiscal 2024 and 2025.</w:t>
      </w:r>
    </w:p>
    <w:p>
      <w:pPr>
        <w:spacing w:after="0" w:line="246" w:lineRule="exact"/>
        <w:rPr>
          <w:rFonts w:ascii="Arial" w:cs="Arial" w:eastAsia="Arial" w:hAnsi="Arial"/>
          <w:sz w:val="14"/>
          <w:szCs w:val="14"/>
          <w:color w:val="262626"/>
        </w:rPr>
      </w:pPr>
    </w:p>
    <w:p>
      <w:pPr>
        <w:jc w:val="both"/>
        <w:ind w:left="1620" w:right="159" w:hanging="344"/>
        <w:spacing w:after="0" w:line="328" w:lineRule="auto"/>
        <w:tabs>
          <w:tab w:leader="none" w:pos="1620" w:val="left"/>
        </w:tabs>
        <w:numPr>
          <w:ilvl w:val="0"/>
          <w:numId w:val="33"/>
        </w:numPr>
        <w:rPr>
          <w:rFonts w:ascii="Arial" w:cs="Arial" w:eastAsia="Arial" w:hAnsi="Arial"/>
          <w:sz w:val="14"/>
          <w:szCs w:val="14"/>
          <w:color w:val="262626"/>
        </w:rPr>
      </w:pPr>
      <w:r>
        <w:rPr>
          <w:rFonts w:ascii="Arial" w:cs="Arial" w:eastAsia="Arial" w:hAnsi="Arial"/>
          <w:sz w:val="14"/>
          <w:szCs w:val="14"/>
          <w:color w:val="262626"/>
        </w:rPr>
        <w:t>Represents a PSU award based on attainment of the maximum performance level as performance through November 2, 2025 was tracking above target. The PSU award vests as to 25% of the target number of shares on each anniversary of March 15, 2024, subject to continued employment on the applicable vesting date and achievement of specified performance goals based on the Relative TSR over four overlapping performance periods beginning on March 2, 2024 and ending on each March 1st of 2025, 2026, 2027 and 2028, as determined by the Compensation Committee. The Relative TSR for the first performance period was at the 97th percentile and, as a result, 25% of the target number of shares subject to the PSU award was earned in fiscal 2025.</w:t>
      </w:r>
    </w:p>
    <w:p>
      <w:pPr>
        <w:spacing w:after="0" w:line="35" w:lineRule="exact"/>
        <w:rPr>
          <w:rFonts w:ascii="Arial" w:cs="Arial" w:eastAsia="Arial" w:hAnsi="Arial"/>
          <w:sz w:val="14"/>
          <w:szCs w:val="14"/>
          <w:color w:val="262626"/>
        </w:rPr>
      </w:pPr>
    </w:p>
    <w:p>
      <w:pPr>
        <w:jc w:val="both"/>
        <w:ind w:left="1620" w:right="159" w:hanging="344"/>
        <w:spacing w:after="0" w:line="330" w:lineRule="auto"/>
        <w:tabs>
          <w:tab w:leader="none" w:pos="1620" w:val="left"/>
        </w:tabs>
        <w:numPr>
          <w:ilvl w:val="0"/>
          <w:numId w:val="33"/>
        </w:numPr>
        <w:rPr>
          <w:rFonts w:ascii="Arial" w:cs="Arial" w:eastAsia="Arial" w:hAnsi="Arial"/>
          <w:sz w:val="14"/>
          <w:szCs w:val="14"/>
          <w:color w:val="262626"/>
        </w:rPr>
      </w:pPr>
      <w:r>
        <w:rPr>
          <w:rFonts w:ascii="Arial" w:cs="Arial" w:eastAsia="Arial" w:hAnsi="Arial"/>
          <w:sz w:val="14"/>
          <w:szCs w:val="14"/>
          <w:color w:val="262626"/>
        </w:rPr>
        <w:t>Represents a PSU award based on attainment of the maximum performance level as performance through November 2, 2025 was tracking above target. The PSU award vests as to 25% of the target number of shares on each anniversary of March 15, 2025, subject to continued employment on the applicable vesting date and achievement of specified performance goals based on the Relative TSR over four overlapping performance periods beginning on March 2, 2025 and ending on each March 1st of 2026, 2027, 2028 and 2029, as determined by the Compensation Committee.</w:t>
      </w:r>
    </w:p>
    <w:p>
      <w:pPr>
        <w:sectPr>
          <w:pgSz w:w="11900" w:h="16838" w:orient="portrait"/>
          <w:cols w:equalWidth="0" w:num="1">
            <w:col w:w="10139"/>
          </w:cols>
          <w:pgMar w:left="320" w:top="480" w:right="1440" w:bottom="1440" w:gutter="0" w:footer="0" w:header="0"/>
        </w:sectPr>
      </w:pPr>
    </w:p>
    <w:p>
      <w:pPr>
        <w:spacing w:after="0" w:line="79"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768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5155"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6" w:lineRule="exact"/>
        <w:rPr>
          <w:sz w:val="20"/>
          <w:szCs w:val="20"/>
          <w:color w:val="auto"/>
        </w:rPr>
      </w:pPr>
    </w:p>
    <w:p>
      <w:pPr>
        <w:jc w:val="both"/>
        <w:ind w:left="1620" w:right="159" w:hanging="344"/>
        <w:spacing w:after="0" w:line="334" w:lineRule="auto"/>
        <w:tabs>
          <w:tab w:leader="none" w:pos="1620" w:val="left"/>
        </w:tabs>
        <w:numPr>
          <w:ilvl w:val="0"/>
          <w:numId w:val="34"/>
        </w:numPr>
        <w:rPr>
          <w:rFonts w:ascii="Arial" w:cs="Arial" w:eastAsia="Arial" w:hAnsi="Arial"/>
          <w:sz w:val="14"/>
          <w:szCs w:val="14"/>
          <w:color w:val="262626"/>
        </w:rPr>
      </w:pPr>
      <w:r>
        <w:rPr>
          <w:rFonts w:ascii="Arial" w:cs="Arial" w:eastAsia="Arial" w:hAnsi="Arial"/>
          <w:sz w:val="14"/>
          <w:szCs w:val="14"/>
          <w:color w:val="262626"/>
        </w:rPr>
        <w:t>Represents an RSU award, which when granted, was to vest at a rate of 25% on each anniversary of the applicable vesting start date, subject to continued employment on the applicable vesting date. The Compensation Committee in June 2025 modified the vesting schedule from annual to quarterly and the RSU award will vest at a rate of 6.25% per quarter, subject to continued employment through the applicable vesting date.</w:t>
      </w:r>
    </w:p>
    <w:p>
      <w:pPr>
        <w:spacing w:after="0" w:line="29" w:lineRule="exact"/>
        <w:rPr>
          <w:rFonts w:ascii="Arial" w:cs="Arial" w:eastAsia="Arial" w:hAnsi="Arial"/>
          <w:sz w:val="14"/>
          <w:szCs w:val="14"/>
          <w:color w:val="262626"/>
        </w:rPr>
      </w:pPr>
    </w:p>
    <w:p>
      <w:pPr>
        <w:jc w:val="both"/>
        <w:ind w:left="1620" w:right="159" w:hanging="344"/>
        <w:spacing w:after="0" w:line="330" w:lineRule="auto"/>
        <w:tabs>
          <w:tab w:leader="none" w:pos="1620" w:val="left"/>
        </w:tabs>
        <w:numPr>
          <w:ilvl w:val="0"/>
          <w:numId w:val="34"/>
        </w:numPr>
        <w:rPr>
          <w:rFonts w:ascii="Arial" w:cs="Arial" w:eastAsia="Arial" w:hAnsi="Arial"/>
          <w:sz w:val="14"/>
          <w:szCs w:val="14"/>
          <w:color w:val="262626"/>
        </w:rPr>
      </w:pPr>
      <w:r>
        <w:rPr>
          <w:rFonts w:ascii="Arial" w:cs="Arial" w:eastAsia="Arial" w:hAnsi="Arial"/>
          <w:sz w:val="14"/>
          <w:szCs w:val="14"/>
          <w:color w:val="262626"/>
        </w:rPr>
        <w:t>Represents a PSU award based on attainment of the target performance level as the performance period had not commenced as of November 2, 2025. The PSU award will vest as to 25% of the target number of shares on each anniversary of March 15, 2026, subject to continued employment on the applicable vesting date and achievement of specified performance goals based on the Relative TSR over four overlapping performance periods beginning on March 2, 2026 and ending on each March 1st of 2027, 2028, 2029 and 2030, as determined by the Compensation Committee.</w:t>
      </w:r>
    </w:p>
    <w:p>
      <w:pPr>
        <w:spacing w:after="0" w:line="33" w:lineRule="exact"/>
        <w:rPr>
          <w:rFonts w:ascii="Arial" w:cs="Arial" w:eastAsia="Arial" w:hAnsi="Arial"/>
          <w:sz w:val="14"/>
          <w:szCs w:val="14"/>
          <w:color w:val="262626"/>
        </w:rPr>
      </w:pPr>
    </w:p>
    <w:p>
      <w:pPr>
        <w:jc w:val="both"/>
        <w:ind w:left="1620" w:right="159" w:hanging="344"/>
        <w:spacing w:after="0" w:line="346" w:lineRule="auto"/>
        <w:tabs>
          <w:tab w:leader="none" w:pos="1620" w:val="left"/>
        </w:tabs>
        <w:numPr>
          <w:ilvl w:val="0"/>
          <w:numId w:val="34"/>
        </w:numPr>
        <w:rPr>
          <w:rFonts w:ascii="Arial" w:cs="Arial" w:eastAsia="Arial" w:hAnsi="Arial"/>
          <w:sz w:val="14"/>
          <w:szCs w:val="14"/>
          <w:color w:val="262626"/>
        </w:rPr>
      </w:pPr>
      <w:r>
        <w:rPr>
          <w:rFonts w:ascii="Arial" w:cs="Arial" w:eastAsia="Arial" w:hAnsi="Arial"/>
          <w:sz w:val="14"/>
          <w:szCs w:val="14"/>
          <w:color w:val="262626"/>
        </w:rPr>
        <w:t>Represents an RSU award, which when granted, vested at a rate of 25% on each anniversary of the grant date, subject to continued employment on the applicable vesting date. The Compensation Committee in June 2025 modified the vesting schedule from annual to quarterly such that 18.75% of the RSU award vested on September 15, 2025 and the remaining 6.25% vested on December 15, 2025.</w:t>
      </w:r>
    </w:p>
    <w:p>
      <w:pPr>
        <w:spacing w:after="0" w:line="229" w:lineRule="exact"/>
        <w:rPr>
          <w:rFonts w:ascii="Arial" w:cs="Arial" w:eastAsia="Arial" w:hAnsi="Arial"/>
          <w:sz w:val="14"/>
          <w:szCs w:val="14"/>
          <w:color w:val="262626"/>
        </w:rPr>
      </w:pPr>
    </w:p>
    <w:p>
      <w:pPr>
        <w:jc w:val="both"/>
        <w:ind w:left="1620" w:right="159" w:hanging="344"/>
        <w:spacing w:after="0" w:line="324" w:lineRule="auto"/>
        <w:tabs>
          <w:tab w:leader="none" w:pos="1620" w:val="left"/>
        </w:tabs>
        <w:numPr>
          <w:ilvl w:val="0"/>
          <w:numId w:val="34"/>
        </w:numPr>
        <w:rPr>
          <w:rFonts w:ascii="Arial" w:cs="Arial" w:eastAsia="Arial" w:hAnsi="Arial"/>
          <w:sz w:val="14"/>
          <w:szCs w:val="14"/>
          <w:color w:val="262626"/>
        </w:rPr>
      </w:pPr>
      <w:r>
        <w:rPr>
          <w:rFonts w:ascii="Arial" w:cs="Arial" w:eastAsia="Arial" w:hAnsi="Arial"/>
          <w:sz w:val="14"/>
          <w:szCs w:val="14"/>
          <w:color w:val="262626"/>
        </w:rPr>
        <w:t>Represents shares earned in fiscal 2025 under a PSU award based on attainment of the maximum performance level as the Relative TSR for the fourth performance period was at the 99th percentile and our absolute TSR was not negative; these shares remained unvested until December 15, 2025. The PSU award vests as to 25% on each anniversary of December 15, 2021, subject to continued employment on the applicable vesting date and achievement of specified performance goals based on the Relative TSR over four overlapping performance periods beginning on March 2, 2021 and ending on each March 1st of 2022, 2023, 2024 and 2025, as determined by the Compensation Committee. The Relative TSR for the first, second and third performance periods was at the 69th, 74th and 98th percentile, respectively, and, as a result, 25% (20,000 shares) of the target number of shares subject to the PSU award was earned in each of fiscal 2022, 2023 and 2024, and vested in each of fiscal 2023, 2024 and 2025, respectively. Mr. Brazeal earned an aggregate of 160,000 shares under this PSU award over the four performance periods, which represents 200% of the target number of shares subject to the PSU award.</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FISCAL 2025 OPTION EXERCISES AND STOCK VESTED TABLE</w:t>
      </w:r>
    </w:p>
    <w:p>
      <w:pPr>
        <w:spacing w:after="0" w:line="200"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The following table sets forth information regarding the vesting of previously granted RSU and PSU awards during fiscal 2025 for each of our NEOs. Stock award value realized is calculated by multiplying the number of shares shown in the table by the closing price of Broadcom common stock as reported on the Nasdaq Global Select Market on the date the stock awards vested. The Value Realized on Vesting column represents long-term gain over multiple years of service by the NEO and is not considered as part of the NEO’s fiscal 2025 compensation.</w:t>
      </w:r>
    </w:p>
    <w:p>
      <w:pPr>
        <w:spacing w:after="0" w:line="119"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We have not granted stock options since 2015, other than options substituted in acquisitions. No NEO held any stock options during the fiscal year.</w:t>
      </w:r>
    </w:p>
    <w:p>
      <w:pPr>
        <w:spacing w:after="0" w:line="17" w:lineRule="exact"/>
        <w:rPr>
          <w:sz w:val="20"/>
          <w:szCs w:val="20"/>
          <w:color w:val="auto"/>
        </w:rPr>
      </w:pPr>
    </w:p>
    <w:tbl>
      <w:tblPr>
        <w:tblLayout w:type="fixed"/>
        <w:tblInd w:w="1280" w:type="dxa"/>
        <w:tblCellMar>
          <w:top w:w="0" w:type="dxa"/>
          <w:left w:w="0" w:type="dxa"/>
          <w:bottom w:w="0" w:type="dxa"/>
          <w:right w:w="0" w:type="dxa"/>
        </w:tblCellMar>
      </w:tblPr>
      <w:tr>
        <w:trPr>
          <w:trHeight w:val="238"/>
        </w:trPr>
        <w:tc>
          <w:tcPr>
            <w:tcW w:w="4440" w:type="dxa"/>
            <w:vAlign w:val="bottom"/>
            <w:tcBorders>
              <w:top w:val="single" w:sz="8" w:color="CF0A2C"/>
            </w:tcBorders>
          </w:tcPr>
          <w:p>
            <w:pPr>
              <w:spacing w:after="0"/>
              <w:rPr>
                <w:sz w:val="20"/>
                <w:szCs w:val="20"/>
                <w:color w:val="auto"/>
              </w:rPr>
            </w:pPr>
          </w:p>
        </w:tc>
        <w:tc>
          <w:tcPr>
            <w:tcW w:w="3780" w:type="dxa"/>
            <w:vAlign w:val="bottom"/>
            <w:tcBorders>
              <w:top w:val="single" w:sz="8" w:color="CF0A2C"/>
              <w:bottom w:val="single" w:sz="8" w:color="262626"/>
            </w:tcBorders>
            <w:gridSpan w:val="3"/>
          </w:tcPr>
          <w:p>
            <w:pPr>
              <w:ind w:left="1620"/>
              <w:spacing w:after="0"/>
              <w:rPr>
                <w:sz w:val="20"/>
                <w:szCs w:val="20"/>
                <w:color w:val="auto"/>
              </w:rPr>
            </w:pPr>
            <w:r>
              <w:rPr>
                <w:rFonts w:ascii="Arial" w:cs="Arial" w:eastAsia="Arial" w:hAnsi="Arial"/>
                <w:sz w:val="16"/>
                <w:szCs w:val="16"/>
                <w:b w:val="1"/>
                <w:bCs w:val="1"/>
                <w:color w:val="262626"/>
              </w:rPr>
              <w:t>Stock Awards</w:t>
            </w:r>
          </w:p>
        </w:tc>
        <w:tc>
          <w:tcPr>
            <w:tcW w:w="480" w:type="dxa"/>
            <w:vAlign w:val="bottom"/>
            <w:tcBorders>
              <w:top w:val="single" w:sz="8" w:color="CF0A2C"/>
              <w:bottom w:val="single" w:sz="8" w:color="262626"/>
            </w:tcBorders>
          </w:tcPr>
          <w:p>
            <w:pPr>
              <w:spacing w:after="0"/>
              <w:rPr>
                <w:sz w:val="20"/>
                <w:szCs w:val="20"/>
                <w:color w:val="auto"/>
              </w:rPr>
            </w:pPr>
          </w:p>
        </w:tc>
      </w:tr>
      <w:tr>
        <w:trPr>
          <w:trHeight w:val="224"/>
        </w:trPr>
        <w:tc>
          <w:tcPr>
            <w:tcW w:w="444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262626"/>
              </w:rPr>
              <w:t>Number of Shares</w:t>
            </w:r>
          </w:p>
        </w:tc>
        <w:tc>
          <w:tcPr>
            <w:tcW w:w="7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62626"/>
                <w:w w:val="99"/>
              </w:rPr>
              <w:t>Value Realized</w:t>
            </w:r>
          </w:p>
        </w:tc>
        <w:tc>
          <w:tcPr>
            <w:tcW w:w="480" w:type="dxa"/>
            <w:vAlign w:val="bottom"/>
          </w:tcPr>
          <w:p>
            <w:pPr>
              <w:spacing w:after="0"/>
              <w:rPr>
                <w:sz w:val="19"/>
                <w:szCs w:val="19"/>
                <w:color w:val="auto"/>
              </w:rPr>
            </w:pPr>
          </w:p>
        </w:tc>
      </w:tr>
      <w:tr>
        <w:trPr>
          <w:trHeight w:val="188"/>
        </w:trPr>
        <w:tc>
          <w:tcPr>
            <w:tcW w:w="44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262626"/>
              </w:rPr>
              <w:t>Acquired on Vesting</w:t>
            </w:r>
          </w:p>
        </w:tc>
        <w:tc>
          <w:tcPr>
            <w:tcW w:w="7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62626"/>
              </w:rPr>
              <w:t>on Vesting</w:t>
            </w:r>
          </w:p>
        </w:tc>
        <w:tc>
          <w:tcPr>
            <w:tcW w:w="480" w:type="dxa"/>
            <w:vAlign w:val="bottom"/>
          </w:tcPr>
          <w:p>
            <w:pPr>
              <w:spacing w:after="0"/>
              <w:rPr>
                <w:sz w:val="16"/>
                <w:szCs w:val="16"/>
                <w:color w:val="auto"/>
              </w:rPr>
            </w:pPr>
          </w:p>
        </w:tc>
      </w:tr>
      <w:tr>
        <w:trPr>
          <w:trHeight w:val="235"/>
        </w:trPr>
        <w:tc>
          <w:tcPr>
            <w:tcW w:w="4440" w:type="dxa"/>
            <w:vAlign w:val="bottom"/>
          </w:tcPr>
          <w:p>
            <w:pPr>
              <w:spacing w:after="0"/>
              <w:rPr>
                <w:sz w:val="20"/>
                <w:szCs w:val="20"/>
                <w:color w:val="auto"/>
              </w:rPr>
            </w:pPr>
            <w:r>
              <w:rPr>
                <w:rFonts w:ascii="Arial" w:cs="Arial" w:eastAsia="Arial" w:hAnsi="Arial"/>
                <w:sz w:val="16"/>
                <w:szCs w:val="16"/>
                <w:b w:val="1"/>
                <w:bCs w:val="1"/>
                <w:color w:val="262626"/>
              </w:rPr>
              <w:t>Name</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262626"/>
              </w:rPr>
              <w:t>(#)</w:t>
            </w:r>
          </w:p>
        </w:tc>
        <w:tc>
          <w:tcPr>
            <w:tcW w:w="7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62626"/>
              </w:rPr>
              <w:t>($)</w:t>
            </w:r>
          </w:p>
        </w:tc>
        <w:tc>
          <w:tcPr>
            <w:tcW w:w="480" w:type="dxa"/>
            <w:vAlign w:val="bottom"/>
          </w:tcPr>
          <w:p>
            <w:pPr>
              <w:spacing w:after="0"/>
              <w:rPr>
                <w:sz w:val="20"/>
                <w:szCs w:val="20"/>
                <w:color w:val="auto"/>
              </w:rPr>
            </w:pPr>
          </w:p>
        </w:tc>
      </w:tr>
      <w:tr>
        <w:trPr>
          <w:trHeight w:val="47"/>
        </w:trPr>
        <w:tc>
          <w:tcPr>
            <w:tcW w:w="4440" w:type="dxa"/>
            <w:vAlign w:val="bottom"/>
            <w:tcBorders>
              <w:bottom w:val="single" w:sz="8" w:color="CF0A2C"/>
            </w:tcBorders>
          </w:tcPr>
          <w:p>
            <w:pPr>
              <w:spacing w:after="0"/>
              <w:rPr>
                <w:sz w:val="4"/>
                <w:szCs w:val="4"/>
                <w:color w:val="auto"/>
              </w:rPr>
            </w:pPr>
          </w:p>
        </w:tc>
        <w:tc>
          <w:tcPr>
            <w:tcW w:w="1700" w:type="dxa"/>
            <w:vAlign w:val="bottom"/>
            <w:tcBorders>
              <w:bottom w:val="single" w:sz="8" w:color="CF0A2C"/>
            </w:tcBorders>
          </w:tcPr>
          <w:p>
            <w:pPr>
              <w:spacing w:after="0"/>
              <w:rPr>
                <w:sz w:val="4"/>
                <w:szCs w:val="4"/>
                <w:color w:val="auto"/>
              </w:rPr>
            </w:pPr>
          </w:p>
        </w:tc>
        <w:tc>
          <w:tcPr>
            <w:tcW w:w="780" w:type="dxa"/>
            <w:vAlign w:val="bottom"/>
            <w:tcBorders>
              <w:bottom w:val="single" w:sz="8" w:color="CF0A2C"/>
            </w:tcBorders>
          </w:tcPr>
          <w:p>
            <w:pPr>
              <w:spacing w:after="0"/>
              <w:rPr>
                <w:sz w:val="4"/>
                <w:szCs w:val="4"/>
                <w:color w:val="auto"/>
              </w:rPr>
            </w:pPr>
          </w:p>
        </w:tc>
        <w:tc>
          <w:tcPr>
            <w:tcW w:w="1300" w:type="dxa"/>
            <w:vAlign w:val="bottom"/>
            <w:tcBorders>
              <w:bottom w:val="single" w:sz="8" w:color="CF0A2C"/>
            </w:tcBorders>
          </w:tcPr>
          <w:p>
            <w:pPr>
              <w:spacing w:after="0"/>
              <w:rPr>
                <w:sz w:val="4"/>
                <w:szCs w:val="4"/>
                <w:color w:val="auto"/>
              </w:rPr>
            </w:pPr>
          </w:p>
        </w:tc>
        <w:tc>
          <w:tcPr>
            <w:tcW w:w="480" w:type="dxa"/>
            <w:vAlign w:val="bottom"/>
            <w:tcBorders>
              <w:bottom w:val="single" w:sz="8" w:color="CF0A2C"/>
            </w:tcBorders>
          </w:tcPr>
          <w:p>
            <w:pPr>
              <w:spacing w:after="0"/>
              <w:rPr>
                <w:sz w:val="4"/>
                <w:szCs w:val="4"/>
                <w:color w:val="auto"/>
              </w:rPr>
            </w:pPr>
          </w:p>
        </w:tc>
      </w:tr>
      <w:tr>
        <w:trPr>
          <w:trHeight w:val="274"/>
        </w:trPr>
        <w:tc>
          <w:tcPr>
            <w:tcW w:w="4440" w:type="dxa"/>
            <w:vAlign w:val="bottom"/>
          </w:tcPr>
          <w:p>
            <w:pPr>
              <w:spacing w:after="0"/>
              <w:rPr>
                <w:sz w:val="20"/>
                <w:szCs w:val="20"/>
                <w:color w:val="auto"/>
              </w:rPr>
            </w:pPr>
            <w:r>
              <w:rPr>
                <w:rFonts w:ascii="Arial" w:cs="Arial" w:eastAsia="Arial" w:hAnsi="Arial"/>
                <w:sz w:val="16"/>
                <w:szCs w:val="16"/>
                <w:color w:val="262626"/>
              </w:rPr>
              <w:t>Hock E. Tan</w:t>
            </w:r>
          </w:p>
        </w:tc>
        <w:tc>
          <w:tcPr>
            <w:tcW w:w="1700" w:type="dxa"/>
            <w:vAlign w:val="bottom"/>
          </w:tcPr>
          <w:p>
            <w:pPr>
              <w:jc w:val="center"/>
              <w:spacing w:after="0"/>
              <w:rPr>
                <w:sz w:val="20"/>
                <w:szCs w:val="20"/>
                <w:color w:val="auto"/>
              </w:rPr>
            </w:pPr>
            <w:r>
              <w:rPr>
                <w:rFonts w:ascii="Arial" w:cs="Arial" w:eastAsia="Arial" w:hAnsi="Arial"/>
                <w:sz w:val="16"/>
                <w:szCs w:val="16"/>
                <w:color w:val="262626"/>
                <w:w w:val="92"/>
              </w:rPr>
              <w:t>          —</w:t>
            </w:r>
          </w:p>
        </w:tc>
        <w:tc>
          <w:tcPr>
            <w:tcW w:w="78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62626"/>
                <w:w w:val="88"/>
              </w:rPr>
              <w:t>               —</w:t>
            </w:r>
          </w:p>
        </w:tc>
        <w:tc>
          <w:tcPr>
            <w:tcW w:w="480" w:type="dxa"/>
            <w:vAlign w:val="bottom"/>
          </w:tcPr>
          <w:p>
            <w:pPr>
              <w:spacing w:after="0"/>
              <w:rPr>
                <w:sz w:val="23"/>
                <w:szCs w:val="23"/>
                <w:color w:val="auto"/>
              </w:rPr>
            </w:pPr>
          </w:p>
        </w:tc>
      </w:tr>
      <w:tr>
        <w:trPr>
          <w:trHeight w:val="389"/>
        </w:trPr>
        <w:tc>
          <w:tcPr>
            <w:tcW w:w="4440" w:type="dxa"/>
            <w:vAlign w:val="bottom"/>
          </w:tcPr>
          <w:p>
            <w:pPr>
              <w:spacing w:after="0"/>
              <w:rPr>
                <w:sz w:val="20"/>
                <w:szCs w:val="20"/>
                <w:color w:val="auto"/>
              </w:rPr>
            </w:pPr>
            <w:r>
              <w:rPr>
                <w:rFonts w:ascii="Arial" w:cs="Arial" w:eastAsia="Arial" w:hAnsi="Arial"/>
                <w:sz w:val="16"/>
                <w:szCs w:val="16"/>
                <w:color w:val="262626"/>
              </w:rPr>
              <w:t>Kirsten M. Spears</w:t>
            </w:r>
          </w:p>
        </w:tc>
        <w:tc>
          <w:tcPr>
            <w:tcW w:w="1700" w:type="dxa"/>
            <w:vAlign w:val="bottom"/>
          </w:tcPr>
          <w:p>
            <w:pPr>
              <w:jc w:val="center"/>
              <w:spacing w:after="0"/>
              <w:rPr>
                <w:sz w:val="20"/>
                <w:szCs w:val="20"/>
                <w:color w:val="auto"/>
              </w:rPr>
            </w:pPr>
            <w:r>
              <w:rPr>
                <w:rFonts w:ascii="Arial" w:cs="Arial" w:eastAsia="Arial" w:hAnsi="Arial"/>
                <w:sz w:val="16"/>
                <w:szCs w:val="16"/>
                <w:color w:val="262626"/>
              </w:rPr>
              <w:t>394,057</w:t>
            </w:r>
          </w:p>
        </w:tc>
        <w:tc>
          <w:tcPr>
            <w:tcW w:w="780" w:type="dxa"/>
            <w:vAlign w:val="bottom"/>
          </w:tcPr>
          <w:p>
            <w:pPr>
              <w:ind w:left="60"/>
              <w:spacing w:after="0"/>
              <w:rPr>
                <w:sz w:val="20"/>
                <w:szCs w:val="20"/>
                <w:color w:val="auto"/>
              </w:rPr>
            </w:pPr>
            <w:r>
              <w:rPr>
                <w:rFonts w:ascii="Arial" w:cs="Arial" w:eastAsia="Arial" w:hAnsi="Arial"/>
                <w:sz w:val="16"/>
                <w:szCs w:val="16"/>
                <w:color w:val="262626"/>
              </w:rPr>
              <w:t xml:space="preserve">           </w:t>
            </w:r>
          </w:p>
        </w:tc>
        <w:tc>
          <w:tcPr>
            <w:tcW w:w="1300" w:type="dxa"/>
            <w:vAlign w:val="bottom"/>
          </w:tcPr>
          <w:p>
            <w:pPr>
              <w:jc w:val="center"/>
              <w:spacing w:after="0"/>
              <w:rPr>
                <w:sz w:val="20"/>
                <w:szCs w:val="20"/>
                <w:color w:val="auto"/>
              </w:rPr>
            </w:pPr>
            <w:r>
              <w:rPr>
                <w:rFonts w:ascii="Arial" w:cs="Arial" w:eastAsia="Arial" w:hAnsi="Arial"/>
                <w:sz w:val="16"/>
                <w:szCs w:val="16"/>
                <w:color w:val="262626"/>
                <w:w w:val="99"/>
              </w:rPr>
              <w:t>86,814,413</w:t>
            </w:r>
          </w:p>
        </w:tc>
        <w:tc>
          <w:tcPr>
            <w:tcW w:w="480" w:type="dxa"/>
            <w:vAlign w:val="bottom"/>
          </w:tcPr>
          <w:p>
            <w:pPr>
              <w:ind w:left="40"/>
              <w:spacing w:after="0"/>
              <w:rPr>
                <w:sz w:val="20"/>
                <w:szCs w:val="20"/>
                <w:color w:val="auto"/>
              </w:rPr>
            </w:pPr>
            <w:r>
              <w:rPr>
                <w:rFonts w:ascii="Arial" w:cs="Arial" w:eastAsia="Arial" w:hAnsi="Arial"/>
                <w:sz w:val="16"/>
                <w:szCs w:val="16"/>
                <w:color w:val="262626"/>
              </w:rPr>
              <w:t xml:space="preserve">     </w:t>
            </w:r>
          </w:p>
        </w:tc>
      </w:tr>
      <w:tr>
        <w:trPr>
          <w:trHeight w:val="389"/>
        </w:trPr>
        <w:tc>
          <w:tcPr>
            <w:tcW w:w="4440" w:type="dxa"/>
            <w:vAlign w:val="bottom"/>
          </w:tcPr>
          <w:p>
            <w:pPr>
              <w:spacing w:after="0"/>
              <w:rPr>
                <w:sz w:val="20"/>
                <w:szCs w:val="20"/>
                <w:color w:val="auto"/>
              </w:rPr>
            </w:pPr>
            <w:r>
              <w:rPr>
                <w:rFonts w:ascii="Arial" w:cs="Arial" w:eastAsia="Arial" w:hAnsi="Arial"/>
                <w:sz w:val="16"/>
                <w:szCs w:val="16"/>
                <w:color w:val="262626"/>
              </w:rPr>
              <w:t>Mark D. Brazeal</w:t>
            </w:r>
          </w:p>
        </w:tc>
        <w:tc>
          <w:tcPr>
            <w:tcW w:w="1700" w:type="dxa"/>
            <w:vAlign w:val="bottom"/>
          </w:tcPr>
          <w:p>
            <w:pPr>
              <w:jc w:val="center"/>
              <w:spacing w:after="0"/>
              <w:rPr>
                <w:sz w:val="20"/>
                <w:szCs w:val="20"/>
                <w:color w:val="auto"/>
              </w:rPr>
            </w:pPr>
            <w:r>
              <w:rPr>
                <w:rFonts w:ascii="Arial" w:cs="Arial" w:eastAsia="Arial" w:hAnsi="Arial"/>
                <w:sz w:val="16"/>
                <w:szCs w:val="16"/>
                <w:color w:val="262626"/>
              </w:rPr>
              <w:t>343,125</w:t>
            </w:r>
          </w:p>
        </w:tc>
        <w:tc>
          <w:tcPr>
            <w:tcW w:w="7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62626"/>
                <w:w w:val="99"/>
              </w:rPr>
              <w:t>77,219,281</w:t>
            </w:r>
          </w:p>
        </w:tc>
        <w:tc>
          <w:tcPr>
            <w:tcW w:w="480" w:type="dxa"/>
            <w:vAlign w:val="bottom"/>
          </w:tcPr>
          <w:p>
            <w:pPr>
              <w:spacing w:after="0"/>
              <w:rPr>
                <w:sz w:val="24"/>
                <w:szCs w:val="24"/>
                <w:color w:val="auto"/>
              </w:rPr>
            </w:pPr>
          </w:p>
        </w:tc>
      </w:tr>
      <w:tr>
        <w:trPr>
          <w:trHeight w:val="389"/>
        </w:trPr>
        <w:tc>
          <w:tcPr>
            <w:tcW w:w="4440" w:type="dxa"/>
            <w:vAlign w:val="bottom"/>
          </w:tcPr>
          <w:p>
            <w:pPr>
              <w:spacing w:after="0"/>
              <w:rPr>
                <w:sz w:val="20"/>
                <w:szCs w:val="20"/>
                <w:color w:val="auto"/>
              </w:rPr>
            </w:pPr>
            <w:r>
              <w:rPr>
                <w:rFonts w:ascii="Arial" w:cs="Arial" w:eastAsia="Arial" w:hAnsi="Arial"/>
                <w:sz w:val="16"/>
                <w:szCs w:val="16"/>
                <w:color w:val="262626"/>
              </w:rPr>
              <w:t>Charlie B. Kawwas, Ph.D.</w:t>
            </w:r>
          </w:p>
        </w:tc>
        <w:tc>
          <w:tcPr>
            <w:tcW w:w="1700" w:type="dxa"/>
            <w:vAlign w:val="bottom"/>
          </w:tcPr>
          <w:p>
            <w:pPr>
              <w:jc w:val="center"/>
              <w:spacing w:after="0"/>
              <w:rPr>
                <w:sz w:val="20"/>
                <w:szCs w:val="20"/>
                <w:color w:val="auto"/>
              </w:rPr>
            </w:pPr>
            <w:r>
              <w:rPr>
                <w:rFonts w:ascii="Arial" w:cs="Arial" w:eastAsia="Arial" w:hAnsi="Arial"/>
                <w:sz w:val="16"/>
                <w:szCs w:val="16"/>
                <w:color w:val="262626"/>
              </w:rPr>
              <w:t>212,500</w:t>
            </w:r>
          </w:p>
        </w:tc>
        <w:tc>
          <w:tcPr>
            <w:tcW w:w="7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262626"/>
                <w:w w:val="99"/>
              </w:rPr>
              <w:t>43,659,125</w:t>
            </w:r>
          </w:p>
        </w:tc>
        <w:tc>
          <w:tcPr>
            <w:tcW w:w="480" w:type="dxa"/>
            <w:vAlign w:val="bottom"/>
          </w:tcPr>
          <w:p>
            <w:pPr>
              <w:spacing w:after="0"/>
              <w:rPr>
                <w:sz w:val="24"/>
                <w:szCs w:val="24"/>
                <w:color w:val="auto"/>
              </w:rPr>
            </w:pPr>
          </w:p>
        </w:tc>
      </w:tr>
    </w:tbl>
    <w:p>
      <w:pPr>
        <w:spacing w:after="0" w:line="159" w:lineRule="exact"/>
        <w:rPr>
          <w:sz w:val="20"/>
          <w:szCs w:val="20"/>
          <w:color w:val="auto"/>
        </w:rPr>
      </w:pPr>
    </w:p>
    <w:p>
      <w:pPr>
        <w:jc w:val="right"/>
        <w:ind w:right="159"/>
        <w:spacing w:after="0"/>
        <w:rPr>
          <w:sz w:val="20"/>
          <w:szCs w:val="20"/>
          <w:color w:val="auto"/>
        </w:rPr>
      </w:pPr>
      <w:r>
        <w:rPr>
          <w:rFonts w:ascii="Arial" w:cs="Arial" w:eastAsia="Arial" w:hAnsi="Arial"/>
          <w:sz w:val="15"/>
          <w:szCs w:val="15"/>
          <w:color w:val="262626"/>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0" w:lineRule="exact"/>
        <w:rPr>
          <w:sz w:val="20"/>
          <w:szCs w:val="20"/>
          <w:color w:val="auto"/>
        </w:rPr>
      </w:pPr>
    </w:p>
    <w:p>
      <w:pPr>
        <w:ind w:left="1280" w:right="1179"/>
        <w:spacing w:after="0" w:line="278" w:lineRule="auto"/>
        <w:rPr>
          <w:sz w:val="20"/>
          <w:szCs w:val="20"/>
          <w:color w:val="auto"/>
        </w:rPr>
      </w:pPr>
      <w:r>
        <w:rPr>
          <w:rFonts w:ascii="Arial" w:cs="Arial" w:eastAsia="Arial" w:hAnsi="Arial"/>
          <w:sz w:val="18"/>
          <w:szCs w:val="18"/>
          <w:b w:val="1"/>
          <w:bCs w:val="1"/>
          <w:color w:val="CF0A2C"/>
        </w:rPr>
        <w:t>SEVERANCE BENEFITS AGREEMENTS; DEATH AND PERMANENT DISABILITY POLICIES; RETIREMENT</w:t>
      </w:r>
    </w:p>
    <w:p>
      <w:pPr>
        <w:spacing w:after="0" w:line="2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Severance Benefits Agreements — General Terms</w:t>
      </w:r>
    </w:p>
    <w:p>
      <w:pPr>
        <w:spacing w:after="0" w:line="161"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Each of our NEOs is a party to a severance benefits agreement with Broadcom (as may be amended or restated from time to time, a “severance benefits agreement”).</w:t>
      </w:r>
    </w:p>
    <w:p>
      <w:pPr>
        <w:spacing w:after="0" w:line="75"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These severance benefits agreements provide each NEO with severance payments and other benefits in the event termination of employment is without cause, due to death or permanent disability or for “good reason,” as such terms are defined in the severance benefits agreements (a “Covered Termination”), provided that the NEO timely executes a general release of claims in Broadcom’s favor.</w:t>
      </w:r>
    </w:p>
    <w:p>
      <w:pPr>
        <w:spacing w:after="0" w:line="101" w:lineRule="exact"/>
        <w:rPr>
          <w:sz w:val="20"/>
          <w:szCs w:val="20"/>
          <w:color w:val="auto"/>
        </w:rPr>
      </w:pPr>
    </w:p>
    <w:p>
      <w:pPr>
        <w:jc w:val="both"/>
        <w:ind w:left="1280" w:right="159"/>
        <w:spacing w:after="0" w:line="352" w:lineRule="auto"/>
        <w:rPr>
          <w:sz w:val="20"/>
          <w:szCs w:val="20"/>
          <w:color w:val="auto"/>
        </w:rPr>
      </w:pPr>
      <w:r>
        <w:rPr>
          <w:rFonts w:ascii="Arial" w:cs="Arial" w:eastAsia="Arial" w:hAnsi="Arial"/>
          <w:sz w:val="16"/>
          <w:szCs w:val="16"/>
          <w:color w:val="262626"/>
        </w:rPr>
        <w:t>If a Covered Termination takes place within 12 months following (or in the case of Mr. Tan, within three months prior to or 12 months following) a “change in control” (as defined in the severance benefits agreement) of Broadcom, the NEOs would be entitled to receive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48895</wp:posOffset>
            </wp:positionV>
            <wp:extent cx="55225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10"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2440" w:type="dxa"/>
            <w:vAlign w:val="bottom"/>
          </w:tcPr>
          <w:p>
            <w:pPr>
              <w:spacing w:after="0"/>
              <w:rPr>
                <w:sz w:val="16"/>
                <w:szCs w:val="16"/>
                <w:color w:val="auto"/>
              </w:rPr>
            </w:pPr>
          </w:p>
        </w:tc>
        <w:tc>
          <w:tcPr>
            <w:tcW w:w="1600" w:type="dxa"/>
            <w:vAlign w:val="bottom"/>
          </w:tcPr>
          <w:p>
            <w:pPr>
              <w:jc w:val="center"/>
              <w:ind w:left="439"/>
              <w:spacing w:after="0"/>
              <w:rPr>
                <w:sz w:val="20"/>
                <w:szCs w:val="20"/>
                <w:color w:val="auto"/>
              </w:rPr>
            </w:pPr>
            <w:r>
              <w:rPr>
                <w:rFonts w:ascii="Arial" w:cs="Arial" w:eastAsia="Arial" w:hAnsi="Arial"/>
                <w:sz w:val="16"/>
                <w:szCs w:val="16"/>
                <w:b w:val="1"/>
                <w:bCs w:val="1"/>
                <w:color w:val="262626"/>
              </w:rPr>
              <w:t>Continued</w:t>
            </w:r>
          </w:p>
        </w:tc>
        <w:tc>
          <w:tcPr>
            <w:tcW w:w="8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262626"/>
                <w:w w:val="99"/>
              </w:rPr>
              <w:t>Health Benefits</w:t>
            </w:r>
          </w:p>
        </w:tc>
        <w:tc>
          <w:tcPr>
            <w:tcW w:w="1840" w:type="dxa"/>
            <w:vAlign w:val="bottom"/>
          </w:tcPr>
          <w:p>
            <w:pPr>
              <w:jc w:val="center"/>
              <w:ind w:left="19"/>
              <w:spacing w:after="0"/>
              <w:rPr>
                <w:sz w:val="20"/>
                <w:szCs w:val="20"/>
                <w:color w:val="auto"/>
              </w:rPr>
            </w:pPr>
            <w:r>
              <w:rPr>
                <w:rFonts w:ascii="Arial" w:cs="Arial" w:eastAsia="Arial" w:hAnsi="Arial"/>
                <w:sz w:val="16"/>
                <w:szCs w:val="16"/>
                <w:b w:val="1"/>
                <w:bCs w:val="1"/>
                <w:color w:val="262626"/>
                <w:w w:val="99"/>
              </w:rPr>
              <w:t>Equity Award</w:t>
            </w:r>
          </w:p>
        </w:tc>
      </w:tr>
      <w:tr>
        <w:trPr>
          <w:trHeight w:val="269"/>
        </w:trPr>
        <w:tc>
          <w:tcPr>
            <w:tcW w:w="244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262626"/>
              </w:rPr>
              <w:t>Name</w:t>
            </w:r>
          </w:p>
        </w:tc>
        <w:tc>
          <w:tcPr>
            <w:tcW w:w="1600" w:type="dxa"/>
            <w:vAlign w:val="bottom"/>
            <w:tcBorders>
              <w:bottom w:val="single" w:sz="8" w:color="CF0A2C"/>
            </w:tcBorders>
          </w:tcPr>
          <w:p>
            <w:pPr>
              <w:jc w:val="center"/>
              <w:ind w:left="419"/>
              <w:spacing w:after="0"/>
              <w:rPr>
                <w:sz w:val="20"/>
                <w:szCs w:val="20"/>
                <w:color w:val="auto"/>
              </w:rPr>
            </w:pPr>
            <w:r>
              <w:rPr>
                <w:rFonts w:ascii="Arial" w:cs="Arial" w:eastAsia="Arial" w:hAnsi="Arial"/>
                <w:sz w:val="16"/>
                <w:szCs w:val="16"/>
                <w:b w:val="1"/>
                <w:bCs w:val="1"/>
                <w:color w:val="262626"/>
                <w:w w:val="99"/>
              </w:rPr>
              <w:t>Base Salary</w:t>
            </w:r>
          </w:p>
        </w:tc>
        <w:tc>
          <w:tcPr>
            <w:tcW w:w="860" w:type="dxa"/>
            <w:vAlign w:val="bottom"/>
            <w:tcBorders>
              <w:bottom w:val="single" w:sz="8" w:color="CF0A2C"/>
            </w:tcBorders>
          </w:tcPr>
          <w:p>
            <w:pPr>
              <w:jc w:val="center"/>
              <w:spacing w:after="0" w:line="270" w:lineRule="exact"/>
              <w:rPr>
                <w:sz w:val="20"/>
                <w:szCs w:val="20"/>
                <w:color w:val="auto"/>
              </w:rPr>
            </w:pPr>
            <w:r>
              <w:rPr>
                <w:rFonts w:ascii="Arial" w:cs="Arial" w:eastAsia="Arial" w:hAnsi="Arial"/>
                <w:sz w:val="16"/>
                <w:szCs w:val="16"/>
                <w:b w:val="1"/>
                <w:bCs w:val="1"/>
                <w:color w:val="262626"/>
                <w:w w:val="95"/>
              </w:rPr>
              <w:t>Bonus</w:t>
            </w:r>
            <w:r>
              <w:rPr>
                <w:rFonts w:ascii="Arial" w:cs="Arial" w:eastAsia="Arial" w:hAnsi="Arial"/>
                <w:sz w:val="24"/>
                <w:szCs w:val="24"/>
                <w:b w:val="1"/>
                <w:bCs w:val="1"/>
                <w:color w:val="262626"/>
                <w:w w:val="95"/>
                <w:vertAlign w:val="superscript"/>
              </w:rPr>
              <w:t>(1)</w:t>
            </w:r>
          </w:p>
        </w:tc>
        <w:tc>
          <w:tcPr>
            <w:tcW w:w="1960" w:type="dxa"/>
            <w:vAlign w:val="bottom"/>
            <w:tcBorders>
              <w:bottom w:val="single" w:sz="8" w:color="CF0A2C"/>
            </w:tcBorders>
          </w:tcPr>
          <w:p>
            <w:pPr>
              <w:jc w:val="center"/>
              <w:spacing w:after="0"/>
              <w:rPr>
                <w:sz w:val="20"/>
                <w:szCs w:val="20"/>
                <w:color w:val="auto"/>
              </w:rPr>
            </w:pPr>
            <w:r>
              <w:rPr>
                <w:rFonts w:ascii="Arial" w:cs="Arial" w:eastAsia="Arial" w:hAnsi="Arial"/>
                <w:sz w:val="16"/>
                <w:szCs w:val="16"/>
                <w:b w:val="1"/>
                <w:bCs w:val="1"/>
                <w:color w:val="262626"/>
                <w:w w:val="99"/>
              </w:rPr>
              <w:t>Continuation Coverage</w:t>
            </w:r>
          </w:p>
        </w:tc>
        <w:tc>
          <w:tcPr>
            <w:tcW w:w="1840" w:type="dxa"/>
            <w:vAlign w:val="bottom"/>
            <w:tcBorders>
              <w:bottom w:val="single" w:sz="8" w:color="CF0A2C"/>
            </w:tcBorders>
          </w:tcPr>
          <w:p>
            <w:pPr>
              <w:jc w:val="center"/>
              <w:spacing w:after="0" w:line="270" w:lineRule="exact"/>
              <w:rPr>
                <w:sz w:val="20"/>
                <w:szCs w:val="20"/>
                <w:color w:val="auto"/>
              </w:rPr>
            </w:pPr>
            <w:r>
              <w:rPr>
                <w:rFonts w:ascii="Arial" w:cs="Arial" w:eastAsia="Arial" w:hAnsi="Arial"/>
                <w:sz w:val="16"/>
                <w:szCs w:val="16"/>
                <w:b w:val="1"/>
                <w:bCs w:val="1"/>
                <w:color w:val="262626"/>
                <w:w w:val="96"/>
              </w:rPr>
              <w:t>Vesting Acceleration</w:t>
            </w:r>
            <w:r>
              <w:rPr>
                <w:rFonts w:ascii="Arial" w:cs="Arial" w:eastAsia="Arial" w:hAnsi="Arial"/>
                <w:sz w:val="24"/>
                <w:szCs w:val="24"/>
                <w:b w:val="1"/>
                <w:bCs w:val="1"/>
                <w:color w:val="262626"/>
                <w:w w:val="96"/>
                <w:vertAlign w:val="superscript"/>
              </w:rPr>
              <w:t>(2)</w:t>
            </w:r>
          </w:p>
        </w:tc>
      </w:tr>
      <w:tr>
        <w:trPr>
          <w:trHeight w:val="274"/>
        </w:trPr>
        <w:tc>
          <w:tcPr>
            <w:tcW w:w="2440" w:type="dxa"/>
            <w:vAlign w:val="bottom"/>
          </w:tcPr>
          <w:p>
            <w:pPr>
              <w:spacing w:after="0"/>
              <w:rPr>
                <w:sz w:val="20"/>
                <w:szCs w:val="20"/>
                <w:color w:val="auto"/>
              </w:rPr>
            </w:pPr>
            <w:r>
              <w:rPr>
                <w:rFonts w:ascii="Arial" w:cs="Arial" w:eastAsia="Arial" w:hAnsi="Arial"/>
                <w:sz w:val="16"/>
                <w:szCs w:val="16"/>
                <w:color w:val="262626"/>
              </w:rPr>
              <w:t>Hock E. Tan</w:t>
            </w:r>
          </w:p>
        </w:tc>
        <w:tc>
          <w:tcPr>
            <w:tcW w:w="1600" w:type="dxa"/>
            <w:vAlign w:val="bottom"/>
          </w:tcPr>
          <w:p>
            <w:pPr>
              <w:jc w:val="center"/>
              <w:ind w:left="419"/>
              <w:spacing w:after="0"/>
              <w:rPr>
                <w:sz w:val="20"/>
                <w:szCs w:val="20"/>
                <w:color w:val="auto"/>
              </w:rPr>
            </w:pPr>
            <w:r>
              <w:rPr>
                <w:rFonts w:ascii="Arial" w:cs="Arial" w:eastAsia="Arial" w:hAnsi="Arial"/>
                <w:sz w:val="16"/>
                <w:szCs w:val="16"/>
                <w:color w:val="262626"/>
                <w:w w:val="98"/>
              </w:rPr>
              <w:t>24 months</w:t>
            </w:r>
          </w:p>
        </w:tc>
        <w:tc>
          <w:tcPr>
            <w:tcW w:w="860" w:type="dxa"/>
            <w:vAlign w:val="bottom"/>
          </w:tcPr>
          <w:p>
            <w:pPr>
              <w:jc w:val="center"/>
              <w:spacing w:after="0"/>
              <w:rPr>
                <w:sz w:val="20"/>
                <w:szCs w:val="20"/>
                <w:color w:val="auto"/>
              </w:rPr>
            </w:pPr>
            <w:r>
              <w:rPr>
                <w:rFonts w:ascii="Arial" w:cs="Arial" w:eastAsia="Arial" w:hAnsi="Arial"/>
                <w:sz w:val="16"/>
                <w:szCs w:val="16"/>
                <w:color w:val="262626"/>
                <w:w w:val="93"/>
              </w:rPr>
              <w:t>200% </w:t>
            </w:r>
          </w:p>
        </w:tc>
        <w:tc>
          <w:tcPr>
            <w:tcW w:w="1960" w:type="dxa"/>
            <w:vAlign w:val="bottom"/>
          </w:tcPr>
          <w:p>
            <w:pPr>
              <w:jc w:val="center"/>
              <w:spacing w:after="0"/>
              <w:rPr>
                <w:sz w:val="20"/>
                <w:szCs w:val="20"/>
                <w:color w:val="auto"/>
              </w:rPr>
            </w:pPr>
            <w:r>
              <w:rPr>
                <w:rFonts w:ascii="Arial" w:cs="Arial" w:eastAsia="Arial" w:hAnsi="Arial"/>
                <w:sz w:val="16"/>
                <w:szCs w:val="16"/>
                <w:color w:val="262626"/>
              </w:rPr>
              <w:t>12 months</w:t>
            </w:r>
          </w:p>
        </w:tc>
        <w:tc>
          <w:tcPr>
            <w:tcW w:w="1840" w:type="dxa"/>
            <w:vAlign w:val="bottom"/>
          </w:tcPr>
          <w:p>
            <w:pPr>
              <w:jc w:val="center"/>
              <w:ind w:left="19"/>
              <w:spacing w:after="0"/>
              <w:rPr>
                <w:sz w:val="20"/>
                <w:szCs w:val="20"/>
                <w:color w:val="auto"/>
              </w:rPr>
            </w:pPr>
            <w:r>
              <w:rPr>
                <w:rFonts w:ascii="Arial" w:cs="Arial" w:eastAsia="Arial" w:hAnsi="Arial"/>
                <w:sz w:val="16"/>
                <w:szCs w:val="16"/>
                <w:color w:val="262626"/>
              </w:rPr>
              <w:t>100%</w:t>
            </w:r>
          </w:p>
        </w:tc>
      </w:tr>
      <w:tr>
        <w:trPr>
          <w:trHeight w:val="389"/>
        </w:trPr>
        <w:tc>
          <w:tcPr>
            <w:tcW w:w="2440" w:type="dxa"/>
            <w:vAlign w:val="bottom"/>
          </w:tcPr>
          <w:p>
            <w:pPr>
              <w:spacing w:after="0"/>
              <w:rPr>
                <w:sz w:val="20"/>
                <w:szCs w:val="20"/>
                <w:color w:val="auto"/>
              </w:rPr>
            </w:pPr>
            <w:r>
              <w:rPr>
                <w:rFonts w:ascii="Arial" w:cs="Arial" w:eastAsia="Arial" w:hAnsi="Arial"/>
                <w:sz w:val="16"/>
                <w:szCs w:val="16"/>
                <w:color w:val="262626"/>
              </w:rPr>
              <w:t>Kirsten M. Spears</w:t>
            </w:r>
          </w:p>
        </w:tc>
        <w:tc>
          <w:tcPr>
            <w:tcW w:w="1600" w:type="dxa"/>
            <w:vAlign w:val="bottom"/>
          </w:tcPr>
          <w:p>
            <w:pPr>
              <w:jc w:val="center"/>
              <w:ind w:left="419"/>
              <w:spacing w:after="0"/>
              <w:rPr>
                <w:sz w:val="20"/>
                <w:szCs w:val="20"/>
                <w:color w:val="auto"/>
              </w:rPr>
            </w:pPr>
            <w:r>
              <w:rPr>
                <w:rFonts w:ascii="Arial" w:cs="Arial" w:eastAsia="Arial" w:hAnsi="Arial"/>
                <w:sz w:val="16"/>
                <w:szCs w:val="16"/>
                <w:color w:val="262626"/>
                <w:w w:val="98"/>
              </w:rPr>
              <w:t>12 months</w:t>
            </w:r>
          </w:p>
        </w:tc>
        <w:tc>
          <w:tcPr>
            <w:tcW w:w="860" w:type="dxa"/>
            <w:vAlign w:val="bottom"/>
          </w:tcPr>
          <w:p>
            <w:pPr>
              <w:jc w:val="center"/>
              <w:spacing w:after="0"/>
              <w:rPr>
                <w:sz w:val="20"/>
                <w:szCs w:val="20"/>
                <w:color w:val="auto"/>
              </w:rPr>
            </w:pPr>
            <w:r>
              <w:rPr>
                <w:rFonts w:ascii="Arial" w:cs="Arial" w:eastAsia="Arial" w:hAnsi="Arial"/>
                <w:sz w:val="16"/>
                <w:szCs w:val="16"/>
                <w:color w:val="262626"/>
                <w:w w:val="93"/>
              </w:rPr>
              <w:t>100% </w:t>
            </w:r>
          </w:p>
        </w:tc>
        <w:tc>
          <w:tcPr>
            <w:tcW w:w="1960" w:type="dxa"/>
            <w:vAlign w:val="bottom"/>
          </w:tcPr>
          <w:p>
            <w:pPr>
              <w:jc w:val="center"/>
              <w:spacing w:after="0"/>
              <w:rPr>
                <w:sz w:val="20"/>
                <w:szCs w:val="20"/>
                <w:color w:val="auto"/>
              </w:rPr>
            </w:pPr>
            <w:r>
              <w:rPr>
                <w:rFonts w:ascii="Arial" w:cs="Arial" w:eastAsia="Arial" w:hAnsi="Arial"/>
                <w:sz w:val="16"/>
                <w:szCs w:val="16"/>
                <w:color w:val="262626"/>
              </w:rPr>
              <w:t>12 months</w:t>
            </w:r>
          </w:p>
        </w:tc>
        <w:tc>
          <w:tcPr>
            <w:tcW w:w="1840" w:type="dxa"/>
            <w:vAlign w:val="bottom"/>
          </w:tcPr>
          <w:p>
            <w:pPr>
              <w:jc w:val="center"/>
              <w:ind w:left="19"/>
              <w:spacing w:after="0"/>
              <w:rPr>
                <w:sz w:val="20"/>
                <w:szCs w:val="20"/>
                <w:color w:val="auto"/>
              </w:rPr>
            </w:pPr>
            <w:r>
              <w:rPr>
                <w:rFonts w:ascii="Arial" w:cs="Arial" w:eastAsia="Arial" w:hAnsi="Arial"/>
                <w:sz w:val="16"/>
                <w:szCs w:val="16"/>
                <w:color w:val="262626"/>
              </w:rPr>
              <w:t>100%</w:t>
            </w:r>
          </w:p>
        </w:tc>
      </w:tr>
      <w:tr>
        <w:trPr>
          <w:trHeight w:val="389"/>
        </w:trPr>
        <w:tc>
          <w:tcPr>
            <w:tcW w:w="2440" w:type="dxa"/>
            <w:vAlign w:val="bottom"/>
          </w:tcPr>
          <w:p>
            <w:pPr>
              <w:spacing w:after="0"/>
              <w:rPr>
                <w:sz w:val="20"/>
                <w:szCs w:val="20"/>
                <w:color w:val="auto"/>
              </w:rPr>
            </w:pPr>
            <w:r>
              <w:rPr>
                <w:rFonts w:ascii="Arial" w:cs="Arial" w:eastAsia="Arial" w:hAnsi="Arial"/>
                <w:sz w:val="16"/>
                <w:szCs w:val="16"/>
                <w:color w:val="262626"/>
              </w:rPr>
              <w:t>Mark D. Brazeal</w:t>
            </w:r>
          </w:p>
        </w:tc>
        <w:tc>
          <w:tcPr>
            <w:tcW w:w="1600" w:type="dxa"/>
            <w:vAlign w:val="bottom"/>
          </w:tcPr>
          <w:p>
            <w:pPr>
              <w:jc w:val="center"/>
              <w:ind w:left="419"/>
              <w:spacing w:after="0"/>
              <w:rPr>
                <w:sz w:val="20"/>
                <w:szCs w:val="20"/>
                <w:color w:val="auto"/>
              </w:rPr>
            </w:pPr>
            <w:r>
              <w:rPr>
                <w:rFonts w:ascii="Arial" w:cs="Arial" w:eastAsia="Arial" w:hAnsi="Arial"/>
                <w:sz w:val="16"/>
                <w:szCs w:val="16"/>
                <w:color w:val="262626"/>
                <w:w w:val="98"/>
              </w:rPr>
              <w:t>12 months</w:t>
            </w:r>
          </w:p>
        </w:tc>
        <w:tc>
          <w:tcPr>
            <w:tcW w:w="860" w:type="dxa"/>
            <w:vAlign w:val="bottom"/>
          </w:tcPr>
          <w:p>
            <w:pPr>
              <w:jc w:val="center"/>
              <w:spacing w:after="0"/>
              <w:rPr>
                <w:sz w:val="20"/>
                <w:szCs w:val="20"/>
                <w:color w:val="auto"/>
              </w:rPr>
            </w:pPr>
            <w:r>
              <w:rPr>
                <w:rFonts w:ascii="Arial" w:cs="Arial" w:eastAsia="Arial" w:hAnsi="Arial"/>
                <w:sz w:val="16"/>
                <w:szCs w:val="16"/>
                <w:color w:val="262626"/>
                <w:w w:val="93"/>
              </w:rPr>
              <w:t>100% </w:t>
            </w:r>
          </w:p>
        </w:tc>
        <w:tc>
          <w:tcPr>
            <w:tcW w:w="1960" w:type="dxa"/>
            <w:vAlign w:val="bottom"/>
          </w:tcPr>
          <w:p>
            <w:pPr>
              <w:jc w:val="center"/>
              <w:spacing w:after="0"/>
              <w:rPr>
                <w:sz w:val="20"/>
                <w:szCs w:val="20"/>
                <w:color w:val="auto"/>
              </w:rPr>
            </w:pPr>
            <w:r>
              <w:rPr>
                <w:rFonts w:ascii="Arial" w:cs="Arial" w:eastAsia="Arial" w:hAnsi="Arial"/>
                <w:sz w:val="16"/>
                <w:szCs w:val="16"/>
                <w:color w:val="262626"/>
              </w:rPr>
              <w:t>12 months</w:t>
            </w:r>
          </w:p>
        </w:tc>
        <w:tc>
          <w:tcPr>
            <w:tcW w:w="1840" w:type="dxa"/>
            <w:vAlign w:val="bottom"/>
          </w:tcPr>
          <w:p>
            <w:pPr>
              <w:jc w:val="center"/>
              <w:ind w:left="19"/>
              <w:spacing w:after="0"/>
              <w:rPr>
                <w:sz w:val="20"/>
                <w:szCs w:val="20"/>
                <w:color w:val="auto"/>
              </w:rPr>
            </w:pPr>
            <w:r>
              <w:rPr>
                <w:rFonts w:ascii="Arial" w:cs="Arial" w:eastAsia="Arial" w:hAnsi="Arial"/>
                <w:sz w:val="16"/>
                <w:szCs w:val="16"/>
                <w:color w:val="262626"/>
              </w:rPr>
              <w:t>100%</w:t>
            </w:r>
          </w:p>
        </w:tc>
      </w:tr>
      <w:tr>
        <w:trPr>
          <w:trHeight w:val="389"/>
        </w:trPr>
        <w:tc>
          <w:tcPr>
            <w:tcW w:w="2440" w:type="dxa"/>
            <w:vAlign w:val="bottom"/>
          </w:tcPr>
          <w:p>
            <w:pPr>
              <w:spacing w:after="0"/>
              <w:rPr>
                <w:sz w:val="20"/>
                <w:szCs w:val="20"/>
                <w:color w:val="auto"/>
              </w:rPr>
            </w:pPr>
            <w:r>
              <w:rPr>
                <w:rFonts w:ascii="Arial" w:cs="Arial" w:eastAsia="Arial" w:hAnsi="Arial"/>
                <w:sz w:val="16"/>
                <w:szCs w:val="16"/>
                <w:color w:val="262626"/>
              </w:rPr>
              <w:t>Charlie B. Kawwas, Ph.D.</w:t>
            </w:r>
          </w:p>
        </w:tc>
        <w:tc>
          <w:tcPr>
            <w:tcW w:w="1600" w:type="dxa"/>
            <w:vAlign w:val="bottom"/>
          </w:tcPr>
          <w:p>
            <w:pPr>
              <w:jc w:val="center"/>
              <w:ind w:left="419"/>
              <w:spacing w:after="0"/>
              <w:rPr>
                <w:sz w:val="20"/>
                <w:szCs w:val="20"/>
                <w:color w:val="auto"/>
              </w:rPr>
            </w:pPr>
            <w:r>
              <w:rPr>
                <w:rFonts w:ascii="Arial" w:cs="Arial" w:eastAsia="Arial" w:hAnsi="Arial"/>
                <w:sz w:val="16"/>
                <w:szCs w:val="16"/>
                <w:color w:val="262626"/>
                <w:w w:val="98"/>
              </w:rPr>
              <w:t>12 months</w:t>
            </w:r>
          </w:p>
        </w:tc>
        <w:tc>
          <w:tcPr>
            <w:tcW w:w="860" w:type="dxa"/>
            <w:vAlign w:val="bottom"/>
          </w:tcPr>
          <w:p>
            <w:pPr>
              <w:jc w:val="center"/>
              <w:spacing w:after="0"/>
              <w:rPr>
                <w:sz w:val="20"/>
                <w:szCs w:val="20"/>
                <w:color w:val="auto"/>
              </w:rPr>
            </w:pPr>
            <w:r>
              <w:rPr>
                <w:rFonts w:ascii="Arial" w:cs="Arial" w:eastAsia="Arial" w:hAnsi="Arial"/>
                <w:sz w:val="16"/>
                <w:szCs w:val="16"/>
                <w:color w:val="262626"/>
                <w:w w:val="93"/>
              </w:rPr>
              <w:t>100% </w:t>
            </w:r>
          </w:p>
        </w:tc>
        <w:tc>
          <w:tcPr>
            <w:tcW w:w="1960" w:type="dxa"/>
            <w:vAlign w:val="bottom"/>
          </w:tcPr>
          <w:p>
            <w:pPr>
              <w:jc w:val="center"/>
              <w:spacing w:after="0"/>
              <w:rPr>
                <w:sz w:val="20"/>
                <w:szCs w:val="20"/>
                <w:color w:val="auto"/>
              </w:rPr>
            </w:pPr>
            <w:r>
              <w:rPr>
                <w:rFonts w:ascii="Arial" w:cs="Arial" w:eastAsia="Arial" w:hAnsi="Arial"/>
                <w:sz w:val="16"/>
                <w:szCs w:val="16"/>
                <w:color w:val="262626"/>
              </w:rPr>
              <w:t>12 months</w:t>
            </w:r>
          </w:p>
        </w:tc>
        <w:tc>
          <w:tcPr>
            <w:tcW w:w="1840" w:type="dxa"/>
            <w:vAlign w:val="bottom"/>
          </w:tcPr>
          <w:p>
            <w:pPr>
              <w:jc w:val="center"/>
              <w:ind w:left="19"/>
              <w:spacing w:after="0"/>
              <w:rPr>
                <w:sz w:val="20"/>
                <w:szCs w:val="20"/>
                <w:color w:val="auto"/>
              </w:rPr>
            </w:pPr>
            <w:r>
              <w:rPr>
                <w:rFonts w:ascii="Arial" w:cs="Arial" w:eastAsia="Arial" w:hAnsi="Arial"/>
                <w:sz w:val="16"/>
                <w:szCs w:val="16"/>
                <w:color w:val="262626"/>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154305</wp:posOffset>
            </wp:positionV>
            <wp:extent cx="4343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295" w:lineRule="exact"/>
        <w:rPr>
          <w:sz w:val="20"/>
          <w:szCs w:val="20"/>
          <w:color w:val="auto"/>
        </w:rPr>
      </w:pPr>
    </w:p>
    <w:p>
      <w:pPr>
        <w:ind w:left="1620" w:hanging="344"/>
        <w:spacing w:after="0"/>
        <w:tabs>
          <w:tab w:leader="none" w:pos="1620" w:val="left"/>
        </w:tabs>
        <w:numPr>
          <w:ilvl w:val="0"/>
          <w:numId w:val="35"/>
        </w:numPr>
        <w:rPr>
          <w:rFonts w:ascii="Arial" w:cs="Arial" w:eastAsia="Arial" w:hAnsi="Arial"/>
          <w:sz w:val="14"/>
          <w:szCs w:val="14"/>
          <w:color w:val="262626"/>
        </w:rPr>
      </w:pPr>
      <w:r>
        <w:rPr>
          <w:rFonts w:ascii="Arial" w:cs="Arial" w:eastAsia="Arial" w:hAnsi="Arial"/>
          <w:sz w:val="14"/>
          <w:szCs w:val="14"/>
          <w:color w:val="262626"/>
        </w:rPr>
        <w:t>Bonus payments are calculated using the lesser of the NEO’s prior year’s actual bonus or target bonus.</w:t>
      </w:r>
    </w:p>
    <w:p>
      <w:pPr>
        <w:spacing w:after="0" w:line="134" w:lineRule="exact"/>
        <w:rPr>
          <w:rFonts w:ascii="Arial" w:cs="Arial" w:eastAsia="Arial" w:hAnsi="Arial"/>
          <w:sz w:val="14"/>
          <w:szCs w:val="14"/>
          <w:color w:val="262626"/>
        </w:rPr>
      </w:pPr>
    </w:p>
    <w:p>
      <w:pPr>
        <w:ind w:left="1620" w:right="159" w:hanging="344"/>
        <w:spacing w:after="0" w:line="362" w:lineRule="auto"/>
        <w:tabs>
          <w:tab w:leader="none" w:pos="1620" w:val="left"/>
        </w:tabs>
        <w:numPr>
          <w:ilvl w:val="0"/>
          <w:numId w:val="35"/>
        </w:numPr>
        <w:rPr>
          <w:rFonts w:ascii="Arial" w:cs="Arial" w:eastAsia="Arial" w:hAnsi="Arial"/>
          <w:sz w:val="14"/>
          <w:szCs w:val="14"/>
          <w:color w:val="262626"/>
        </w:rPr>
      </w:pPr>
      <w:r>
        <w:rPr>
          <w:rFonts w:ascii="Arial" w:cs="Arial" w:eastAsia="Arial" w:hAnsi="Arial"/>
          <w:sz w:val="14"/>
          <w:szCs w:val="14"/>
          <w:color w:val="262626"/>
        </w:rPr>
        <w:t>The NEO will receive full acceleration of all outstanding RSU awards and acceleration of outstanding PSU awards, after giving effect to any deemed satisfaction of performance goals as set forth below.</w:t>
      </w:r>
    </w:p>
    <w:p>
      <w:pPr>
        <w:spacing w:after="0" w:line="10" w:lineRule="exact"/>
        <w:rPr>
          <w:rFonts w:ascii="Arial" w:cs="Arial" w:eastAsia="Arial" w:hAnsi="Arial"/>
          <w:sz w:val="14"/>
          <w:szCs w:val="14"/>
          <w:color w:val="262626"/>
        </w:rPr>
      </w:pPr>
    </w:p>
    <w:p>
      <w:pPr>
        <w:jc w:val="both"/>
        <w:ind w:left="1620" w:right="159"/>
        <w:spacing w:after="0" w:line="326" w:lineRule="auto"/>
        <w:rPr>
          <w:rFonts w:ascii="Arial" w:cs="Arial" w:eastAsia="Arial" w:hAnsi="Arial"/>
          <w:sz w:val="14"/>
          <w:szCs w:val="14"/>
          <w:color w:val="262626"/>
        </w:rPr>
      </w:pPr>
      <w:r>
        <w:rPr>
          <w:rFonts w:ascii="Arial" w:cs="Arial" w:eastAsia="Arial" w:hAnsi="Arial"/>
          <w:sz w:val="14"/>
          <w:szCs w:val="14"/>
          <w:color w:val="262626"/>
        </w:rPr>
        <w:t>For Mr. Tan, Dr. Kawwas and Ms. Spears, except as otherwise provided in an applicable award agreement, for PSU awards for which the applicable performance period has not been completed, the performance goals will be deemed met at target levels. For Mr. Brazeal, except as otherwise provided in an applicable award agreement, the performance goals applicable to his PSU awards will be deemed satisfied up to 100% in the discretion of our Board, based on Broadcom’s performance through the date of the change in control. The severance benefits agreements for Messrs. Tan and Brazeal and Dr. Kawwas also contain alternative provisions that would apply to PSU awards that vest based on stock price contingencies, but no such awards were outstanding as of November 2, 2025, except for the 2023 Tan PSU Award and the 2023 Kawwas PSU Award, which terms supersede those in the applicable severance benefits agreement.</w:t>
      </w:r>
    </w:p>
    <w:p>
      <w:pPr>
        <w:spacing w:after="0" w:line="35" w:lineRule="exact"/>
        <w:rPr>
          <w:rFonts w:ascii="Arial" w:cs="Arial" w:eastAsia="Arial" w:hAnsi="Arial"/>
          <w:sz w:val="14"/>
          <w:szCs w:val="14"/>
          <w:color w:val="262626"/>
        </w:rPr>
      </w:pPr>
    </w:p>
    <w:p>
      <w:pPr>
        <w:jc w:val="both"/>
        <w:ind w:left="1620" w:right="179"/>
        <w:spacing w:after="0" w:line="341" w:lineRule="auto"/>
        <w:rPr>
          <w:rFonts w:ascii="Arial" w:cs="Arial" w:eastAsia="Arial" w:hAnsi="Arial"/>
          <w:sz w:val="14"/>
          <w:szCs w:val="14"/>
          <w:color w:val="262626"/>
        </w:rPr>
      </w:pPr>
      <w:r>
        <w:rPr>
          <w:rFonts w:ascii="Arial" w:cs="Arial" w:eastAsia="Arial" w:hAnsi="Arial"/>
          <w:sz w:val="14"/>
          <w:szCs w:val="14"/>
          <w:color w:val="262626"/>
        </w:rPr>
        <w:t>Generally under the terms of the outstanding PSU awards with performance based on TSR, the performance goals will be based on Broadcom’s performance through a date within 10 days prior to the change in control and the Achievement Factor will be calculated on a date before the change in control, as determined by the plan administrator.</w:t>
      </w:r>
    </w:p>
    <w:p>
      <w:pPr>
        <w:spacing w:after="0" w:line="38" w:lineRule="exact"/>
        <w:rPr>
          <w:rFonts w:ascii="Arial" w:cs="Arial" w:eastAsia="Arial" w:hAnsi="Arial"/>
          <w:sz w:val="14"/>
          <w:szCs w:val="14"/>
          <w:color w:val="262626"/>
        </w:rPr>
      </w:pPr>
    </w:p>
    <w:p>
      <w:pPr>
        <w:jc w:val="both"/>
        <w:ind w:left="1620" w:right="179"/>
        <w:spacing w:after="0" w:line="341" w:lineRule="auto"/>
        <w:rPr>
          <w:rFonts w:ascii="Arial" w:cs="Arial" w:eastAsia="Arial" w:hAnsi="Arial"/>
          <w:sz w:val="14"/>
          <w:szCs w:val="14"/>
          <w:color w:val="262626"/>
        </w:rPr>
      </w:pPr>
      <w:r>
        <w:rPr>
          <w:rFonts w:ascii="Arial" w:cs="Arial" w:eastAsia="Arial" w:hAnsi="Arial"/>
          <w:sz w:val="14"/>
          <w:szCs w:val="14"/>
          <w:color w:val="262626"/>
        </w:rPr>
        <w:t>Under the terms of the 2023 Tan PSU Award and the 2023 Kawwas PSU Award, the performance goals will be based on the greater of (i) Broadcom’s performance through a date within 10 days prior to the change in control and (ii) the price paid per share in the change in control.</w:t>
      </w:r>
    </w:p>
    <w:p>
      <w:pPr>
        <w:spacing w:after="0" w:line="25" w:lineRule="exact"/>
        <w:rPr>
          <w:rFonts w:ascii="Arial" w:cs="Arial" w:eastAsia="Arial" w:hAnsi="Arial"/>
          <w:sz w:val="14"/>
          <w:szCs w:val="14"/>
          <w:color w:val="262626"/>
        </w:rPr>
      </w:pPr>
    </w:p>
    <w:p>
      <w:pPr>
        <w:jc w:val="both"/>
        <w:ind w:left="1620" w:right="159"/>
        <w:spacing w:after="0" w:line="336" w:lineRule="auto"/>
        <w:rPr>
          <w:rFonts w:ascii="Arial" w:cs="Arial" w:eastAsia="Arial" w:hAnsi="Arial"/>
          <w:sz w:val="14"/>
          <w:szCs w:val="14"/>
          <w:color w:val="262626"/>
        </w:rPr>
      </w:pPr>
      <w:r>
        <w:rPr>
          <w:rFonts w:ascii="Arial" w:cs="Arial" w:eastAsia="Arial" w:hAnsi="Arial"/>
          <w:sz w:val="14"/>
          <w:szCs w:val="14"/>
          <w:color w:val="262626"/>
        </w:rPr>
        <w:t>Under the terms of the 2025 Tan PSU Award, if the change in control occurs prior to the end of the first quarter of fiscal 2028, the PSU award will be forfeited in its entirety immediately prior to the change in control. For determining the vesting acceleration in the event of a change of control after the end of the first quarter of fiscal 2028, see “</w:t>
      </w:r>
      <w:r>
        <w:rPr>
          <w:rFonts w:ascii="Arial" w:cs="Arial" w:eastAsia="Arial" w:hAnsi="Arial"/>
          <w:sz w:val="14"/>
          <w:szCs w:val="14"/>
          <w:i w:val="1"/>
          <w:iCs w:val="1"/>
          <w:color w:val="262626"/>
        </w:rPr>
        <w:t>Compensation Discussion and Analysis —</w:t>
      </w:r>
      <w:r>
        <w:rPr>
          <w:rFonts w:ascii="Arial" w:cs="Arial" w:eastAsia="Arial" w:hAnsi="Arial"/>
          <w:sz w:val="14"/>
          <w:szCs w:val="14"/>
          <w:color w:val="262626"/>
        </w:rPr>
        <w:t xml:space="preserve"> </w:t>
      </w:r>
      <w:r>
        <w:rPr>
          <w:rFonts w:ascii="Arial" w:cs="Arial" w:eastAsia="Arial" w:hAnsi="Arial"/>
          <w:sz w:val="14"/>
          <w:szCs w:val="14"/>
          <w:i w:val="1"/>
          <w:iCs w:val="1"/>
          <w:color w:val="262626"/>
        </w:rPr>
        <w:t>Elements of Fiscal 2025 Compensation Program — Long-Term Incentive Compensation — Equity Award Granted to Mr. Tan in Fiscal 2025</w:t>
      </w:r>
      <w:r>
        <w:rPr>
          <w:rFonts w:ascii="Arial" w:cs="Arial" w:eastAsia="Arial" w:hAnsi="Arial"/>
          <w:sz w:val="14"/>
          <w:szCs w:val="14"/>
          <w:color w:val="262626"/>
        </w:rPr>
        <w:t>.”</w:t>
      </w:r>
    </w:p>
    <w:p>
      <w:pPr>
        <w:spacing w:after="0" w:line="285"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850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ind w:left="1280" w:right="179"/>
        <w:spacing w:after="0" w:line="353" w:lineRule="auto"/>
        <w:rPr>
          <w:sz w:val="20"/>
          <w:szCs w:val="20"/>
          <w:color w:val="auto"/>
        </w:rPr>
      </w:pPr>
      <w:r>
        <w:rPr>
          <w:rFonts w:ascii="Arial" w:cs="Arial" w:eastAsia="Arial" w:hAnsi="Arial"/>
          <w:sz w:val="16"/>
          <w:szCs w:val="16"/>
          <w:color w:val="262626"/>
        </w:rPr>
        <w:t>If a Covered Termination takes place other than in connection with a “change in control” (as defined in the severance benefits agreement) of Broadcom, the NEOs would be entitled to receive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57150</wp:posOffset>
            </wp:positionV>
            <wp:extent cx="55225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23"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2500" w:type="dxa"/>
            <w:vAlign w:val="bottom"/>
          </w:tcPr>
          <w:p>
            <w:pPr>
              <w:spacing w:after="0"/>
              <w:rPr>
                <w:sz w:val="16"/>
                <w:szCs w:val="16"/>
                <w:color w:val="auto"/>
              </w:rPr>
            </w:pPr>
          </w:p>
        </w:tc>
        <w:tc>
          <w:tcPr>
            <w:tcW w:w="1660" w:type="dxa"/>
            <w:vAlign w:val="bottom"/>
          </w:tcPr>
          <w:p>
            <w:pPr>
              <w:jc w:val="center"/>
              <w:ind w:left="459"/>
              <w:spacing w:after="0"/>
              <w:rPr>
                <w:sz w:val="20"/>
                <w:szCs w:val="20"/>
                <w:color w:val="auto"/>
              </w:rPr>
            </w:pPr>
            <w:r>
              <w:rPr>
                <w:rFonts w:ascii="Arial" w:cs="Arial" w:eastAsia="Arial" w:hAnsi="Arial"/>
                <w:sz w:val="16"/>
                <w:szCs w:val="16"/>
                <w:b w:val="1"/>
                <w:bCs w:val="1"/>
                <w:color w:val="262626"/>
              </w:rPr>
              <w:t>Continued</w:t>
            </w:r>
          </w:p>
        </w:tc>
        <w:tc>
          <w:tcPr>
            <w:tcW w:w="84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262626"/>
              </w:rPr>
              <w:t>Health Benefits</w:t>
            </w:r>
          </w:p>
        </w:tc>
        <w:tc>
          <w:tcPr>
            <w:tcW w:w="1540" w:type="dxa"/>
            <w:vAlign w:val="bottom"/>
          </w:tcPr>
          <w:p>
            <w:pPr>
              <w:jc w:val="center"/>
              <w:ind w:left="99"/>
              <w:spacing w:after="0"/>
              <w:rPr>
                <w:sz w:val="20"/>
                <w:szCs w:val="20"/>
                <w:color w:val="auto"/>
              </w:rPr>
            </w:pPr>
            <w:r>
              <w:rPr>
                <w:rFonts w:ascii="Arial" w:cs="Arial" w:eastAsia="Arial" w:hAnsi="Arial"/>
                <w:sz w:val="16"/>
                <w:szCs w:val="16"/>
                <w:b w:val="1"/>
                <w:bCs w:val="1"/>
                <w:color w:val="262626"/>
              </w:rPr>
              <w:t>Equity Award</w:t>
            </w:r>
          </w:p>
        </w:tc>
        <w:tc>
          <w:tcPr>
            <w:tcW w:w="220" w:type="dxa"/>
            <w:vAlign w:val="bottom"/>
          </w:tcPr>
          <w:p>
            <w:pPr>
              <w:spacing w:after="0"/>
              <w:rPr>
                <w:sz w:val="16"/>
                <w:szCs w:val="16"/>
                <w:color w:val="auto"/>
              </w:rPr>
            </w:pPr>
          </w:p>
        </w:tc>
      </w:tr>
      <w:tr>
        <w:trPr>
          <w:trHeight w:val="269"/>
        </w:trPr>
        <w:tc>
          <w:tcPr>
            <w:tcW w:w="250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262626"/>
              </w:rPr>
              <w:t>Name</w:t>
            </w:r>
          </w:p>
        </w:tc>
        <w:tc>
          <w:tcPr>
            <w:tcW w:w="1660" w:type="dxa"/>
            <w:vAlign w:val="bottom"/>
            <w:tcBorders>
              <w:bottom w:val="single" w:sz="8" w:color="CF0A2C"/>
            </w:tcBorders>
          </w:tcPr>
          <w:p>
            <w:pPr>
              <w:jc w:val="center"/>
              <w:ind w:left="459"/>
              <w:spacing w:after="0"/>
              <w:rPr>
                <w:sz w:val="20"/>
                <w:szCs w:val="20"/>
                <w:color w:val="auto"/>
              </w:rPr>
            </w:pPr>
            <w:r>
              <w:rPr>
                <w:rFonts w:ascii="Arial" w:cs="Arial" w:eastAsia="Arial" w:hAnsi="Arial"/>
                <w:sz w:val="16"/>
                <w:szCs w:val="16"/>
                <w:b w:val="1"/>
                <w:bCs w:val="1"/>
                <w:color w:val="262626"/>
              </w:rPr>
              <w:t>Base Salary</w:t>
            </w:r>
          </w:p>
        </w:tc>
        <w:tc>
          <w:tcPr>
            <w:tcW w:w="840" w:type="dxa"/>
            <w:vAlign w:val="bottom"/>
            <w:tcBorders>
              <w:bottom w:val="single" w:sz="8" w:color="CF0A2C"/>
            </w:tcBorders>
          </w:tcPr>
          <w:p>
            <w:pPr>
              <w:ind w:left="100"/>
              <w:spacing w:after="0" w:line="270" w:lineRule="exact"/>
              <w:rPr>
                <w:sz w:val="20"/>
                <w:szCs w:val="20"/>
                <w:color w:val="auto"/>
              </w:rPr>
            </w:pPr>
            <w:r>
              <w:rPr>
                <w:rFonts w:ascii="Arial" w:cs="Arial" w:eastAsia="Arial" w:hAnsi="Arial"/>
                <w:sz w:val="16"/>
                <w:szCs w:val="16"/>
                <w:b w:val="1"/>
                <w:bCs w:val="1"/>
                <w:color w:val="262626"/>
              </w:rPr>
              <w:t>Bonus</w:t>
            </w:r>
            <w:r>
              <w:rPr>
                <w:rFonts w:ascii="Arial" w:cs="Arial" w:eastAsia="Arial" w:hAnsi="Arial"/>
                <w:sz w:val="24"/>
                <w:szCs w:val="24"/>
                <w:b w:val="1"/>
                <w:bCs w:val="1"/>
                <w:color w:val="262626"/>
                <w:vertAlign w:val="superscript"/>
              </w:rPr>
              <w:t>(1)</w:t>
            </w:r>
          </w:p>
        </w:tc>
        <w:tc>
          <w:tcPr>
            <w:tcW w:w="1940" w:type="dxa"/>
            <w:vAlign w:val="bottom"/>
            <w:tcBorders>
              <w:bottom w:val="single" w:sz="8" w:color="CF0A2C"/>
            </w:tcBorders>
          </w:tcPr>
          <w:p>
            <w:pPr>
              <w:jc w:val="center"/>
              <w:spacing w:after="0"/>
              <w:rPr>
                <w:sz w:val="20"/>
                <w:szCs w:val="20"/>
                <w:color w:val="auto"/>
              </w:rPr>
            </w:pPr>
            <w:r>
              <w:rPr>
                <w:rFonts w:ascii="Arial" w:cs="Arial" w:eastAsia="Arial" w:hAnsi="Arial"/>
                <w:sz w:val="16"/>
                <w:szCs w:val="16"/>
                <w:b w:val="1"/>
                <w:bCs w:val="1"/>
                <w:color w:val="262626"/>
              </w:rPr>
              <w:t>Continuation Coverage</w:t>
            </w:r>
          </w:p>
        </w:tc>
        <w:tc>
          <w:tcPr>
            <w:tcW w:w="1760" w:type="dxa"/>
            <w:vAlign w:val="bottom"/>
            <w:tcBorders>
              <w:bottom w:val="single" w:sz="8" w:color="CF0A2C"/>
            </w:tcBorders>
            <w:gridSpan w:val="2"/>
          </w:tcPr>
          <w:p>
            <w:pPr>
              <w:jc w:val="center"/>
              <w:spacing w:after="0"/>
              <w:rPr>
                <w:sz w:val="20"/>
                <w:szCs w:val="20"/>
                <w:color w:val="auto"/>
              </w:rPr>
            </w:pPr>
            <w:r>
              <w:rPr>
                <w:rFonts w:ascii="Arial" w:cs="Arial" w:eastAsia="Arial" w:hAnsi="Arial"/>
                <w:sz w:val="16"/>
                <w:szCs w:val="16"/>
                <w:b w:val="1"/>
                <w:bCs w:val="1"/>
                <w:color w:val="262626"/>
                <w:w w:val="98"/>
              </w:rPr>
              <w:t>Vesting Acceleration</w:t>
            </w:r>
          </w:p>
        </w:tc>
      </w:tr>
      <w:tr>
        <w:trPr>
          <w:trHeight w:val="383"/>
        </w:trPr>
        <w:tc>
          <w:tcPr>
            <w:tcW w:w="2500" w:type="dxa"/>
            <w:vAlign w:val="bottom"/>
          </w:tcPr>
          <w:p>
            <w:pPr>
              <w:spacing w:after="0"/>
              <w:rPr>
                <w:sz w:val="20"/>
                <w:szCs w:val="20"/>
                <w:color w:val="auto"/>
              </w:rPr>
            </w:pPr>
            <w:r>
              <w:rPr>
                <w:rFonts w:ascii="Arial" w:cs="Arial" w:eastAsia="Arial" w:hAnsi="Arial"/>
                <w:sz w:val="16"/>
                <w:szCs w:val="16"/>
                <w:color w:val="262626"/>
              </w:rPr>
              <w:t>Hock E. Tan</w:t>
            </w:r>
          </w:p>
        </w:tc>
        <w:tc>
          <w:tcPr>
            <w:tcW w:w="1660" w:type="dxa"/>
            <w:vAlign w:val="bottom"/>
          </w:tcPr>
          <w:p>
            <w:pPr>
              <w:jc w:val="center"/>
              <w:ind w:left="459"/>
              <w:spacing w:after="0"/>
              <w:rPr>
                <w:sz w:val="20"/>
                <w:szCs w:val="20"/>
                <w:color w:val="auto"/>
              </w:rPr>
            </w:pPr>
            <w:r>
              <w:rPr>
                <w:rFonts w:ascii="Arial" w:cs="Arial" w:eastAsia="Arial" w:hAnsi="Arial"/>
                <w:sz w:val="16"/>
                <w:szCs w:val="16"/>
                <w:color w:val="262626"/>
              </w:rPr>
              <w:t>12 months</w:t>
            </w:r>
          </w:p>
        </w:tc>
        <w:tc>
          <w:tcPr>
            <w:tcW w:w="840" w:type="dxa"/>
            <w:vAlign w:val="bottom"/>
          </w:tcPr>
          <w:p>
            <w:pPr>
              <w:jc w:val="center"/>
              <w:spacing w:after="0"/>
              <w:rPr>
                <w:sz w:val="20"/>
                <w:szCs w:val="20"/>
                <w:color w:val="auto"/>
              </w:rPr>
            </w:pPr>
            <w:r>
              <w:rPr>
                <w:rFonts w:ascii="Arial" w:cs="Arial" w:eastAsia="Arial" w:hAnsi="Arial"/>
                <w:sz w:val="16"/>
                <w:szCs w:val="16"/>
                <w:color w:val="262626"/>
                <w:w w:val="97"/>
              </w:rPr>
              <w:t>100%</w:t>
            </w:r>
          </w:p>
        </w:tc>
        <w:tc>
          <w:tcPr>
            <w:tcW w:w="1940" w:type="dxa"/>
            <w:vAlign w:val="bottom"/>
          </w:tcPr>
          <w:p>
            <w:pPr>
              <w:jc w:val="center"/>
              <w:spacing w:after="0"/>
              <w:rPr>
                <w:sz w:val="20"/>
                <w:szCs w:val="20"/>
                <w:color w:val="auto"/>
              </w:rPr>
            </w:pPr>
            <w:r>
              <w:rPr>
                <w:rFonts w:ascii="Arial" w:cs="Arial" w:eastAsia="Arial" w:hAnsi="Arial"/>
                <w:sz w:val="16"/>
                <w:szCs w:val="16"/>
                <w:color w:val="262626"/>
              </w:rPr>
              <w:t>6 months</w:t>
            </w:r>
          </w:p>
        </w:tc>
        <w:tc>
          <w:tcPr>
            <w:tcW w:w="1760" w:type="dxa"/>
            <w:vAlign w:val="bottom"/>
            <w:gridSpan w:val="2"/>
          </w:tcPr>
          <w:p>
            <w:pPr>
              <w:jc w:val="center"/>
              <w:spacing w:after="0"/>
              <w:rPr>
                <w:sz w:val="20"/>
                <w:szCs w:val="20"/>
                <w:color w:val="auto"/>
              </w:rPr>
            </w:pPr>
            <w:r>
              <w:rPr>
                <w:rFonts w:ascii="Arial" w:cs="Arial" w:eastAsia="Arial" w:hAnsi="Arial"/>
                <w:sz w:val="16"/>
                <w:szCs w:val="16"/>
                <w:color w:val="262626"/>
                <w:w w:val="92"/>
              </w:rPr>
              <w:t>   Varies by Award</w:t>
            </w:r>
            <w:r>
              <w:rPr>
                <w:rFonts w:ascii="Arial" w:cs="Arial" w:eastAsia="Arial" w:hAnsi="Arial"/>
                <w:sz w:val="24"/>
                <w:szCs w:val="24"/>
                <w:color w:val="262626"/>
                <w:w w:val="92"/>
                <w:vertAlign w:val="superscript"/>
              </w:rPr>
              <w:t>(2)(3)</w:t>
            </w:r>
          </w:p>
        </w:tc>
      </w:tr>
      <w:tr>
        <w:trPr>
          <w:trHeight w:val="279"/>
        </w:trPr>
        <w:tc>
          <w:tcPr>
            <w:tcW w:w="2500" w:type="dxa"/>
            <w:vAlign w:val="bottom"/>
          </w:tcPr>
          <w:p>
            <w:pPr>
              <w:spacing w:after="0"/>
              <w:rPr>
                <w:sz w:val="20"/>
                <w:szCs w:val="20"/>
                <w:color w:val="auto"/>
              </w:rPr>
            </w:pPr>
            <w:r>
              <w:rPr>
                <w:rFonts w:ascii="Arial" w:cs="Arial" w:eastAsia="Arial" w:hAnsi="Arial"/>
                <w:sz w:val="16"/>
                <w:szCs w:val="16"/>
                <w:color w:val="262626"/>
              </w:rPr>
              <w:t>Kirsten M. Spears</w:t>
            </w:r>
          </w:p>
        </w:tc>
        <w:tc>
          <w:tcPr>
            <w:tcW w:w="1660" w:type="dxa"/>
            <w:vAlign w:val="bottom"/>
          </w:tcPr>
          <w:p>
            <w:pPr>
              <w:jc w:val="center"/>
              <w:ind w:left="459"/>
              <w:spacing w:after="0"/>
              <w:rPr>
                <w:sz w:val="20"/>
                <w:szCs w:val="20"/>
                <w:color w:val="auto"/>
              </w:rPr>
            </w:pPr>
            <w:r>
              <w:rPr>
                <w:rFonts w:ascii="Arial" w:cs="Arial" w:eastAsia="Arial" w:hAnsi="Arial"/>
                <w:sz w:val="16"/>
                <w:szCs w:val="16"/>
                <w:color w:val="262626"/>
              </w:rPr>
              <w:t>9 months</w:t>
            </w:r>
          </w:p>
        </w:tc>
        <w:tc>
          <w:tcPr>
            <w:tcW w:w="840" w:type="dxa"/>
            <w:vAlign w:val="bottom"/>
          </w:tcPr>
          <w:p>
            <w:pPr>
              <w:jc w:val="center"/>
              <w:spacing w:after="0"/>
              <w:rPr>
                <w:sz w:val="20"/>
                <w:szCs w:val="20"/>
                <w:color w:val="auto"/>
              </w:rPr>
            </w:pPr>
            <w:r>
              <w:rPr>
                <w:rFonts w:ascii="Arial" w:cs="Arial" w:eastAsia="Arial" w:hAnsi="Arial"/>
                <w:sz w:val="16"/>
                <w:szCs w:val="16"/>
                <w:color w:val="262626"/>
                <w:w w:val="99"/>
              </w:rPr>
              <w:t>50%</w:t>
            </w:r>
          </w:p>
        </w:tc>
        <w:tc>
          <w:tcPr>
            <w:tcW w:w="1940" w:type="dxa"/>
            <w:vAlign w:val="bottom"/>
          </w:tcPr>
          <w:p>
            <w:pPr>
              <w:jc w:val="center"/>
              <w:spacing w:after="0"/>
              <w:rPr>
                <w:sz w:val="20"/>
                <w:szCs w:val="20"/>
                <w:color w:val="auto"/>
              </w:rPr>
            </w:pPr>
            <w:r>
              <w:rPr>
                <w:rFonts w:ascii="Arial" w:cs="Arial" w:eastAsia="Arial" w:hAnsi="Arial"/>
                <w:sz w:val="16"/>
                <w:szCs w:val="16"/>
                <w:color w:val="262626"/>
              </w:rPr>
              <w:t>6 months</w:t>
            </w:r>
          </w:p>
        </w:tc>
        <w:tc>
          <w:tcPr>
            <w:tcW w:w="1540" w:type="dxa"/>
            <w:vAlign w:val="bottom"/>
          </w:tcPr>
          <w:p>
            <w:pPr>
              <w:ind w:left="1220"/>
              <w:spacing w:after="0"/>
              <w:rPr>
                <w:sz w:val="20"/>
                <w:szCs w:val="20"/>
                <w:color w:val="auto"/>
              </w:rPr>
            </w:pPr>
            <w:r>
              <w:rPr>
                <w:rFonts w:ascii="Arial" w:cs="Arial" w:eastAsia="Arial" w:hAnsi="Arial"/>
                <w:sz w:val="16"/>
                <w:szCs w:val="16"/>
                <w:color w:val="262626"/>
                <w:w w:val="93"/>
              </w:rPr>
              <w:t>— </w:t>
            </w:r>
          </w:p>
        </w:tc>
        <w:tc>
          <w:tcPr>
            <w:tcW w:w="220" w:type="dxa"/>
            <w:vAlign w:val="bottom"/>
          </w:tcPr>
          <w:p>
            <w:pPr>
              <w:spacing w:after="0"/>
              <w:rPr>
                <w:sz w:val="20"/>
                <w:szCs w:val="20"/>
                <w:color w:val="auto"/>
              </w:rPr>
            </w:pPr>
            <w:r>
              <w:rPr>
                <w:rFonts w:ascii="Arial" w:cs="Arial" w:eastAsia="Arial" w:hAnsi="Arial"/>
                <w:sz w:val="16"/>
                <w:szCs w:val="16"/>
                <w:color w:val="262626"/>
                <w:w w:val="95"/>
              </w:rPr>
              <w:t>    </w:t>
            </w:r>
          </w:p>
        </w:tc>
      </w:tr>
      <w:tr>
        <w:trPr>
          <w:trHeight w:val="389"/>
        </w:trPr>
        <w:tc>
          <w:tcPr>
            <w:tcW w:w="2500" w:type="dxa"/>
            <w:vAlign w:val="bottom"/>
          </w:tcPr>
          <w:p>
            <w:pPr>
              <w:spacing w:after="0"/>
              <w:rPr>
                <w:sz w:val="20"/>
                <w:szCs w:val="20"/>
                <w:color w:val="auto"/>
              </w:rPr>
            </w:pPr>
            <w:r>
              <w:rPr>
                <w:rFonts w:ascii="Arial" w:cs="Arial" w:eastAsia="Arial" w:hAnsi="Arial"/>
                <w:sz w:val="16"/>
                <w:szCs w:val="16"/>
                <w:color w:val="262626"/>
              </w:rPr>
              <w:t>Mark D. Brazeal</w:t>
            </w:r>
          </w:p>
        </w:tc>
        <w:tc>
          <w:tcPr>
            <w:tcW w:w="1660" w:type="dxa"/>
            <w:vAlign w:val="bottom"/>
          </w:tcPr>
          <w:p>
            <w:pPr>
              <w:jc w:val="center"/>
              <w:ind w:left="459"/>
              <w:spacing w:after="0"/>
              <w:rPr>
                <w:sz w:val="20"/>
                <w:szCs w:val="20"/>
                <w:color w:val="auto"/>
              </w:rPr>
            </w:pPr>
            <w:r>
              <w:rPr>
                <w:rFonts w:ascii="Arial" w:cs="Arial" w:eastAsia="Arial" w:hAnsi="Arial"/>
                <w:sz w:val="16"/>
                <w:szCs w:val="16"/>
                <w:color w:val="262626"/>
              </w:rPr>
              <w:t>9 months</w:t>
            </w:r>
          </w:p>
        </w:tc>
        <w:tc>
          <w:tcPr>
            <w:tcW w:w="840" w:type="dxa"/>
            <w:vAlign w:val="bottom"/>
          </w:tcPr>
          <w:p>
            <w:pPr>
              <w:jc w:val="center"/>
              <w:spacing w:after="0"/>
              <w:rPr>
                <w:sz w:val="20"/>
                <w:szCs w:val="20"/>
                <w:color w:val="auto"/>
              </w:rPr>
            </w:pPr>
            <w:r>
              <w:rPr>
                <w:rFonts w:ascii="Arial" w:cs="Arial" w:eastAsia="Arial" w:hAnsi="Arial"/>
                <w:sz w:val="16"/>
                <w:szCs w:val="16"/>
                <w:color w:val="262626"/>
                <w:w w:val="99"/>
              </w:rPr>
              <w:t>50%</w:t>
            </w:r>
          </w:p>
        </w:tc>
        <w:tc>
          <w:tcPr>
            <w:tcW w:w="1940" w:type="dxa"/>
            <w:vAlign w:val="bottom"/>
          </w:tcPr>
          <w:p>
            <w:pPr>
              <w:jc w:val="center"/>
              <w:spacing w:after="0"/>
              <w:rPr>
                <w:sz w:val="20"/>
                <w:szCs w:val="20"/>
                <w:color w:val="auto"/>
              </w:rPr>
            </w:pPr>
            <w:r>
              <w:rPr>
                <w:rFonts w:ascii="Arial" w:cs="Arial" w:eastAsia="Arial" w:hAnsi="Arial"/>
                <w:sz w:val="16"/>
                <w:szCs w:val="16"/>
                <w:color w:val="262626"/>
              </w:rPr>
              <w:t>6 months</w:t>
            </w:r>
          </w:p>
        </w:tc>
        <w:tc>
          <w:tcPr>
            <w:tcW w:w="1540" w:type="dxa"/>
            <w:vAlign w:val="bottom"/>
          </w:tcPr>
          <w:p>
            <w:pPr>
              <w:ind w:left="1220"/>
              <w:spacing w:after="0"/>
              <w:rPr>
                <w:sz w:val="20"/>
                <w:szCs w:val="20"/>
                <w:color w:val="auto"/>
              </w:rPr>
            </w:pPr>
            <w:r>
              <w:rPr>
                <w:rFonts w:ascii="Arial" w:cs="Arial" w:eastAsia="Arial" w:hAnsi="Arial"/>
                <w:sz w:val="16"/>
                <w:szCs w:val="16"/>
                <w:color w:val="262626"/>
                <w:w w:val="93"/>
              </w:rPr>
              <w:t>— </w:t>
            </w:r>
          </w:p>
        </w:tc>
        <w:tc>
          <w:tcPr>
            <w:tcW w:w="220" w:type="dxa"/>
            <w:vAlign w:val="bottom"/>
          </w:tcPr>
          <w:p>
            <w:pPr>
              <w:spacing w:after="0"/>
              <w:rPr>
                <w:sz w:val="20"/>
                <w:szCs w:val="20"/>
                <w:color w:val="auto"/>
              </w:rPr>
            </w:pPr>
            <w:r>
              <w:rPr>
                <w:rFonts w:ascii="Arial" w:cs="Arial" w:eastAsia="Arial" w:hAnsi="Arial"/>
                <w:sz w:val="16"/>
                <w:szCs w:val="16"/>
                <w:color w:val="262626"/>
                <w:w w:val="95"/>
              </w:rPr>
              <w:t>    </w:t>
            </w:r>
          </w:p>
        </w:tc>
      </w:tr>
      <w:tr>
        <w:trPr>
          <w:trHeight w:val="499"/>
        </w:trPr>
        <w:tc>
          <w:tcPr>
            <w:tcW w:w="2500" w:type="dxa"/>
            <w:vAlign w:val="bottom"/>
          </w:tcPr>
          <w:p>
            <w:pPr>
              <w:spacing w:after="0"/>
              <w:rPr>
                <w:sz w:val="20"/>
                <w:szCs w:val="20"/>
                <w:color w:val="auto"/>
              </w:rPr>
            </w:pPr>
            <w:r>
              <w:rPr>
                <w:rFonts w:ascii="Arial" w:cs="Arial" w:eastAsia="Arial" w:hAnsi="Arial"/>
                <w:sz w:val="16"/>
                <w:szCs w:val="16"/>
                <w:color w:val="262626"/>
              </w:rPr>
              <w:t>Charlie B. Kawwas, Ph.D.</w:t>
            </w:r>
          </w:p>
        </w:tc>
        <w:tc>
          <w:tcPr>
            <w:tcW w:w="1660" w:type="dxa"/>
            <w:vAlign w:val="bottom"/>
          </w:tcPr>
          <w:p>
            <w:pPr>
              <w:jc w:val="center"/>
              <w:ind w:left="459"/>
              <w:spacing w:after="0"/>
              <w:rPr>
                <w:sz w:val="20"/>
                <w:szCs w:val="20"/>
                <w:color w:val="auto"/>
              </w:rPr>
            </w:pPr>
            <w:r>
              <w:rPr>
                <w:rFonts w:ascii="Arial" w:cs="Arial" w:eastAsia="Arial" w:hAnsi="Arial"/>
                <w:sz w:val="16"/>
                <w:szCs w:val="16"/>
                <w:color w:val="262626"/>
              </w:rPr>
              <w:t>9 months</w:t>
            </w:r>
          </w:p>
        </w:tc>
        <w:tc>
          <w:tcPr>
            <w:tcW w:w="840" w:type="dxa"/>
            <w:vAlign w:val="bottom"/>
          </w:tcPr>
          <w:p>
            <w:pPr>
              <w:jc w:val="center"/>
              <w:spacing w:after="0"/>
              <w:rPr>
                <w:sz w:val="20"/>
                <w:szCs w:val="20"/>
                <w:color w:val="auto"/>
              </w:rPr>
            </w:pPr>
            <w:r>
              <w:rPr>
                <w:rFonts w:ascii="Arial" w:cs="Arial" w:eastAsia="Arial" w:hAnsi="Arial"/>
                <w:sz w:val="16"/>
                <w:szCs w:val="16"/>
                <w:color w:val="262626"/>
                <w:w w:val="99"/>
              </w:rPr>
              <w:t>50%</w:t>
            </w:r>
          </w:p>
        </w:tc>
        <w:tc>
          <w:tcPr>
            <w:tcW w:w="1940" w:type="dxa"/>
            <w:vAlign w:val="bottom"/>
          </w:tcPr>
          <w:p>
            <w:pPr>
              <w:jc w:val="center"/>
              <w:spacing w:after="0"/>
              <w:rPr>
                <w:sz w:val="20"/>
                <w:szCs w:val="20"/>
                <w:color w:val="auto"/>
              </w:rPr>
            </w:pPr>
            <w:r>
              <w:rPr>
                <w:rFonts w:ascii="Arial" w:cs="Arial" w:eastAsia="Arial" w:hAnsi="Arial"/>
                <w:sz w:val="16"/>
                <w:szCs w:val="16"/>
                <w:color w:val="262626"/>
              </w:rPr>
              <w:t>6 months</w:t>
            </w:r>
          </w:p>
        </w:tc>
        <w:tc>
          <w:tcPr>
            <w:tcW w:w="1540" w:type="dxa"/>
            <w:vAlign w:val="bottom"/>
          </w:tcPr>
          <w:p>
            <w:pPr>
              <w:ind w:left="240"/>
              <w:spacing w:after="0"/>
              <w:rPr>
                <w:sz w:val="20"/>
                <w:szCs w:val="20"/>
                <w:color w:val="auto"/>
              </w:rPr>
            </w:pPr>
            <w:r>
              <w:rPr>
                <w:rFonts w:ascii="Arial" w:cs="Arial" w:eastAsia="Arial" w:hAnsi="Arial"/>
                <w:sz w:val="16"/>
                <w:szCs w:val="16"/>
                <w:color w:val="262626"/>
                <w:w w:val="95"/>
              </w:rPr>
              <w:t>              100%</w:t>
            </w:r>
            <w:r>
              <w:rPr>
                <w:rFonts w:ascii="Arial" w:cs="Arial" w:eastAsia="Arial" w:hAnsi="Arial"/>
                <w:sz w:val="24"/>
                <w:szCs w:val="24"/>
                <w:color w:val="262626"/>
                <w:w w:val="95"/>
                <w:vertAlign w:val="superscript"/>
              </w:rPr>
              <w:t>(2)</w:t>
            </w: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85090</wp:posOffset>
            </wp:positionV>
            <wp:extent cx="4343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171" w:lineRule="exact"/>
        <w:rPr>
          <w:sz w:val="20"/>
          <w:szCs w:val="20"/>
          <w:color w:val="auto"/>
        </w:rPr>
      </w:pPr>
    </w:p>
    <w:p>
      <w:pPr>
        <w:ind w:left="1620" w:hanging="344"/>
        <w:spacing w:after="0"/>
        <w:tabs>
          <w:tab w:leader="none" w:pos="1620" w:val="left"/>
        </w:tabs>
        <w:numPr>
          <w:ilvl w:val="0"/>
          <w:numId w:val="36"/>
        </w:numPr>
        <w:rPr>
          <w:rFonts w:ascii="Arial" w:cs="Arial" w:eastAsia="Arial" w:hAnsi="Arial"/>
          <w:sz w:val="14"/>
          <w:szCs w:val="14"/>
          <w:color w:val="262626"/>
        </w:rPr>
      </w:pPr>
      <w:r>
        <w:rPr>
          <w:rFonts w:ascii="Arial" w:cs="Arial" w:eastAsia="Arial" w:hAnsi="Arial"/>
          <w:sz w:val="14"/>
          <w:szCs w:val="14"/>
          <w:color w:val="262626"/>
        </w:rPr>
        <w:t>Bonus payments are calculated using the lesser of the NEO’s prior year’s actual bonus or prior year’s target bonus.</w:t>
      </w:r>
    </w:p>
    <w:p>
      <w:pPr>
        <w:spacing w:after="0" w:line="94" w:lineRule="exact"/>
        <w:rPr>
          <w:rFonts w:ascii="Arial" w:cs="Arial" w:eastAsia="Arial" w:hAnsi="Arial"/>
          <w:sz w:val="14"/>
          <w:szCs w:val="14"/>
          <w:color w:val="262626"/>
        </w:rPr>
      </w:pPr>
    </w:p>
    <w:p>
      <w:pPr>
        <w:ind w:left="1620" w:right="159" w:hanging="344"/>
        <w:spacing w:after="0" w:line="350" w:lineRule="auto"/>
        <w:tabs>
          <w:tab w:leader="none" w:pos="1620" w:val="left"/>
        </w:tabs>
        <w:numPr>
          <w:ilvl w:val="0"/>
          <w:numId w:val="36"/>
        </w:numPr>
        <w:rPr>
          <w:rFonts w:ascii="Arial" w:cs="Arial" w:eastAsia="Arial" w:hAnsi="Arial"/>
          <w:sz w:val="14"/>
          <w:szCs w:val="14"/>
          <w:color w:val="262626"/>
        </w:rPr>
      </w:pPr>
      <w:r>
        <w:rPr>
          <w:rFonts w:ascii="Arial" w:cs="Arial" w:eastAsia="Arial" w:hAnsi="Arial"/>
          <w:sz w:val="14"/>
          <w:szCs w:val="14"/>
          <w:color w:val="262626"/>
        </w:rPr>
        <w:t>Under the terms of the 2023 Tan PSU Award and the 2023 Kawwas PSU Award, 100% of the PSU award will vest and the number of shares will be determined based on Broadcom’s performance through the termination date.</w:t>
      </w:r>
    </w:p>
    <w:p>
      <w:pPr>
        <w:jc w:val="both"/>
        <w:ind w:left="1620" w:right="159" w:hanging="344"/>
        <w:spacing w:after="0" w:line="334" w:lineRule="auto"/>
        <w:tabs>
          <w:tab w:leader="none" w:pos="1620" w:val="left"/>
        </w:tabs>
        <w:numPr>
          <w:ilvl w:val="0"/>
          <w:numId w:val="36"/>
        </w:numPr>
        <w:rPr>
          <w:rFonts w:ascii="Arial" w:cs="Arial" w:eastAsia="Arial" w:hAnsi="Arial"/>
          <w:sz w:val="14"/>
          <w:szCs w:val="14"/>
          <w:color w:val="262626"/>
        </w:rPr>
      </w:pPr>
      <w:r>
        <w:rPr>
          <w:rFonts w:ascii="Arial" w:cs="Arial" w:eastAsia="Arial" w:hAnsi="Arial"/>
          <w:sz w:val="14"/>
          <w:szCs w:val="14"/>
          <w:color w:val="262626"/>
        </w:rPr>
        <w:t>Under the terms of the 2025 Tan PSU Award, if a Covered Termination occurs prior to the start of fiscal 2028, the PSU award will be forfeited in its entirety. For determining the vesting acceleration if a Covered Termination occurs during the Performance Period, see “</w:t>
      </w:r>
      <w:r>
        <w:rPr>
          <w:rFonts w:ascii="Arial" w:cs="Arial" w:eastAsia="Arial" w:hAnsi="Arial"/>
          <w:sz w:val="14"/>
          <w:szCs w:val="14"/>
          <w:i w:val="1"/>
          <w:iCs w:val="1"/>
          <w:color w:val="262626"/>
        </w:rPr>
        <w:t>Compensation Discussion and Analysis</w:t>
      </w:r>
      <w:r>
        <w:rPr>
          <w:rFonts w:ascii="Arial" w:cs="Arial" w:eastAsia="Arial" w:hAnsi="Arial"/>
          <w:sz w:val="14"/>
          <w:szCs w:val="14"/>
          <w:color w:val="262626"/>
        </w:rPr>
        <w:t xml:space="preserve"> — </w:t>
      </w:r>
      <w:r>
        <w:rPr>
          <w:rFonts w:ascii="Arial" w:cs="Arial" w:eastAsia="Arial" w:hAnsi="Arial"/>
          <w:sz w:val="14"/>
          <w:szCs w:val="14"/>
          <w:i w:val="1"/>
          <w:iCs w:val="1"/>
          <w:color w:val="262626"/>
        </w:rPr>
        <w:t>Elements of Fiscal 2025 Executive Compensation Program</w:t>
      </w:r>
      <w:r>
        <w:rPr>
          <w:rFonts w:ascii="Arial" w:cs="Arial" w:eastAsia="Arial" w:hAnsi="Arial"/>
          <w:sz w:val="14"/>
          <w:szCs w:val="14"/>
          <w:color w:val="262626"/>
        </w:rPr>
        <w:t xml:space="preserve"> — </w:t>
      </w:r>
      <w:r>
        <w:rPr>
          <w:rFonts w:ascii="Arial" w:cs="Arial" w:eastAsia="Arial" w:hAnsi="Arial"/>
          <w:sz w:val="14"/>
          <w:szCs w:val="14"/>
          <w:i w:val="1"/>
          <w:iCs w:val="1"/>
          <w:color w:val="262626"/>
        </w:rPr>
        <w:t>Long-Term Incentive</w:t>
      </w:r>
      <w:r>
        <w:rPr>
          <w:rFonts w:ascii="Arial" w:cs="Arial" w:eastAsia="Arial" w:hAnsi="Arial"/>
          <w:sz w:val="14"/>
          <w:szCs w:val="14"/>
          <w:color w:val="262626"/>
        </w:rPr>
        <w:t xml:space="preserve"> </w:t>
      </w:r>
      <w:r>
        <w:rPr>
          <w:rFonts w:ascii="Arial" w:cs="Arial" w:eastAsia="Arial" w:hAnsi="Arial"/>
          <w:sz w:val="14"/>
          <w:szCs w:val="14"/>
          <w:i w:val="1"/>
          <w:iCs w:val="1"/>
          <w:color w:val="262626"/>
        </w:rPr>
        <w:t xml:space="preserve">Compensation </w:t>
      </w:r>
      <w:r>
        <w:rPr>
          <w:rFonts w:ascii="Arial" w:cs="Arial" w:eastAsia="Arial" w:hAnsi="Arial"/>
          <w:sz w:val="14"/>
          <w:szCs w:val="14"/>
          <w:color w:val="262626"/>
        </w:rPr>
        <w:t>—</w:t>
      </w:r>
      <w:r>
        <w:rPr>
          <w:rFonts w:ascii="Arial" w:cs="Arial" w:eastAsia="Arial" w:hAnsi="Arial"/>
          <w:sz w:val="14"/>
          <w:szCs w:val="14"/>
          <w:i w:val="1"/>
          <w:iCs w:val="1"/>
          <w:color w:val="262626"/>
        </w:rPr>
        <w:t xml:space="preserve"> Equity Award Granted to Mr. Tan in Fiscal 2025</w:t>
      </w:r>
      <w:r>
        <w:rPr>
          <w:rFonts w:ascii="Arial" w:cs="Arial" w:eastAsia="Arial" w:hAnsi="Arial"/>
          <w:sz w:val="14"/>
          <w:szCs w:val="14"/>
          <w:color w:val="262626"/>
        </w:rPr>
        <w:t>.”</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The definition of “good reason” generally means any of the following, subject to certain notice and cure period provisions:</w:t>
      </w:r>
    </w:p>
    <w:p>
      <w:pPr>
        <w:spacing w:after="0" w:line="58" w:lineRule="exact"/>
        <w:rPr>
          <w:sz w:val="20"/>
          <w:szCs w:val="20"/>
          <w:color w:val="auto"/>
        </w:rPr>
      </w:pPr>
    </w:p>
    <w:p>
      <w:pPr>
        <w:jc w:val="both"/>
        <w:ind w:left="1280" w:right="179" w:hanging="4"/>
        <w:spacing w:after="0" w:line="329" w:lineRule="auto"/>
        <w:tabs>
          <w:tab w:leader="none" w:pos="1555" w:val="left"/>
        </w:tabs>
        <w:numPr>
          <w:ilvl w:val="0"/>
          <w:numId w:val="37"/>
        </w:numPr>
        <w:rPr>
          <w:rFonts w:ascii="Arial" w:cs="Arial" w:eastAsia="Arial" w:hAnsi="Arial"/>
          <w:sz w:val="16"/>
          <w:szCs w:val="16"/>
          <w:color w:val="262626"/>
        </w:rPr>
      </w:pPr>
      <w:r>
        <w:rPr>
          <w:rFonts w:ascii="Arial" w:cs="Arial" w:eastAsia="Arial" w:hAnsi="Arial"/>
          <w:sz w:val="16"/>
          <w:szCs w:val="16"/>
          <w:color w:val="262626"/>
        </w:rPr>
        <w:t>a material reduction in the NEO’s salary (other than as part of a broad salary reduction program instituted because Broadcom is in financial distress); (B) a substantial reduction in the NEO’s duties and responsibilities; (C) the elimination or reduction of the NEO’s eligibility to participate in Broadcom’s benefit programs that is inconsistent with the eligibility of our executives to participate therein; (D) Broadcom informs the NEO of its intention to transfer the NEO’s primary workplace to a location that is more than 50 miles from the location of the NEO’s primary workplace as of such date;</w:t>
      </w:r>
    </w:p>
    <w:p>
      <w:pPr>
        <w:jc w:val="both"/>
        <w:ind w:left="1280" w:right="179" w:hanging="4"/>
        <w:spacing w:after="0" w:line="333" w:lineRule="auto"/>
        <w:tabs>
          <w:tab w:leader="none" w:pos="1570" w:val="left"/>
        </w:tabs>
        <w:numPr>
          <w:ilvl w:val="0"/>
          <w:numId w:val="38"/>
        </w:numPr>
        <w:rPr>
          <w:rFonts w:ascii="Arial" w:cs="Arial" w:eastAsia="Arial" w:hAnsi="Arial"/>
          <w:sz w:val="16"/>
          <w:szCs w:val="16"/>
          <w:color w:val="262626"/>
        </w:rPr>
      </w:pPr>
      <w:r>
        <w:rPr>
          <w:rFonts w:ascii="Arial" w:cs="Arial" w:eastAsia="Arial" w:hAnsi="Arial"/>
          <w:sz w:val="16"/>
          <w:szCs w:val="16"/>
          <w:color w:val="262626"/>
        </w:rPr>
        <w:t>Broadcom’s material breach of the severance benefits agreement that is not cured within 60 days written notice thereof; and (F) any serious chronic mental or physical illness of the NEO or a member of the NEO’s family that requires the NEO to terminate their employment because of substantial interference with the NEO’s duties; provided, that at Broadcom’s request the NEO provides Broadcom with a written physician’s statement confirming the existence of such mental or physical illness.</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Acceleration of Equity Awards in the Event of Death or Permanent Disability</w:t>
      </w:r>
    </w:p>
    <w:p>
      <w:pPr>
        <w:spacing w:after="0" w:line="175" w:lineRule="exact"/>
        <w:rPr>
          <w:sz w:val="20"/>
          <w:szCs w:val="20"/>
          <w:color w:val="auto"/>
        </w:rPr>
      </w:pPr>
    </w:p>
    <w:p>
      <w:pPr>
        <w:jc w:val="both"/>
        <w:ind w:left="1280" w:right="179"/>
        <w:spacing w:after="0" w:line="329" w:lineRule="auto"/>
        <w:rPr>
          <w:sz w:val="20"/>
          <w:szCs w:val="20"/>
          <w:color w:val="auto"/>
        </w:rPr>
      </w:pPr>
      <w:r>
        <w:rPr>
          <w:rFonts w:ascii="Arial" w:cs="Arial" w:eastAsia="Arial" w:hAnsi="Arial"/>
          <w:sz w:val="16"/>
          <w:szCs w:val="16"/>
          <w:color w:val="262626"/>
        </w:rPr>
        <w:t>Upon an executive officer’s death or permanent disability, Broadcom’s Death Policy and Permanent Disability Policy provide for the full acceleration of vesting of the executive officer’s outstanding and unvested equity awards that have started vesting and would otherwise vest solely based on the executive officer’s continued service, including PSU awards for which the applicable performance criteria have been met as of the date of such death or permanent disability. Under such circumstances, any PSU awards held by executive officers with performance periods that have started but not ended will have their performance goals deemed achieved at 100% of target levels, with all other terms and conditions deemed met. The Death Policy applies to all of our employees, directors and other service providers, including the NEOs, while the Permanent Disability Policy applies to (i) any officer of Broadcom, as such term is defined in Exchange Act Rule 16a-1 and (ii) any member of the CEO’s executive staff, including the NEOs, as determined by the CEO. The benefits provided under these policies are generally intended to be additive to any benefits the NEO becomes entitled to under any other policy, program, plan or agreement (including severance benefits agreements) unless our Board, the Compensation Committee or the Policy Committee (as defined in the applicable policy) determines otherwise.</w:t>
      </w:r>
    </w:p>
    <w:p>
      <w:pPr>
        <w:spacing w:after="0" w:line="97" w:lineRule="exact"/>
        <w:rPr>
          <w:sz w:val="20"/>
          <w:szCs w:val="20"/>
          <w:color w:val="auto"/>
        </w:rPr>
      </w:pPr>
    </w:p>
    <w:p>
      <w:pPr>
        <w:jc w:val="right"/>
        <w:ind w:right="159"/>
        <w:spacing w:after="0"/>
        <w:rPr>
          <w:sz w:val="20"/>
          <w:szCs w:val="20"/>
          <w:color w:val="auto"/>
        </w:rPr>
      </w:pPr>
      <w:r>
        <w:rPr>
          <w:rFonts w:ascii="Arial" w:cs="Arial" w:eastAsia="Arial" w:hAnsi="Arial"/>
          <w:sz w:val="15"/>
          <w:szCs w:val="15"/>
          <w:color w:val="262626"/>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Retirement</w:t>
      </w:r>
    </w:p>
    <w:p>
      <w:pPr>
        <w:spacing w:after="0" w:line="161" w:lineRule="exact"/>
        <w:rPr>
          <w:sz w:val="20"/>
          <w:szCs w:val="20"/>
          <w:color w:val="auto"/>
        </w:rPr>
      </w:pPr>
    </w:p>
    <w:p>
      <w:pPr>
        <w:jc w:val="both"/>
        <w:ind w:left="1280" w:right="159"/>
        <w:spacing w:after="0" w:line="337" w:lineRule="auto"/>
        <w:rPr>
          <w:sz w:val="20"/>
          <w:szCs w:val="20"/>
          <w:color w:val="auto"/>
        </w:rPr>
      </w:pPr>
      <w:r>
        <w:rPr>
          <w:rFonts w:ascii="Arial" w:cs="Arial" w:eastAsia="Arial" w:hAnsi="Arial"/>
          <w:sz w:val="16"/>
          <w:szCs w:val="16"/>
          <w:color w:val="262626"/>
        </w:rPr>
        <w:t>Under the 2023 Tan PSU Award, if Mr. Tan retires from Broadcom prior to October 31, 2027 but during the Earning Period, the performance period for the PSU award will end on his retirement date and a prorated portion of the PSU award will vest on his retirement date, subject to achievement of the Price Hurdles. Any retirement notice must be provided at least 30 days prior to Mr. Tan’s retirement date. The following table reflects the potential payments Mr. Tan would be entitled to receive if he had provided a retirement notice on October 3, 2025 and retired effective November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57785</wp:posOffset>
            </wp:positionV>
            <wp:extent cx="55225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65"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720" w:type="dxa"/>
            <w:vAlign w:val="bottom"/>
          </w:tcPr>
          <w:p>
            <w:pPr>
              <w:spacing w:after="0"/>
              <w:rPr>
                <w:sz w:val="20"/>
                <w:szCs w:val="20"/>
                <w:color w:val="auto"/>
              </w:rPr>
            </w:pPr>
            <w:r>
              <w:rPr>
                <w:rFonts w:ascii="Arial" w:cs="Arial" w:eastAsia="Arial" w:hAnsi="Arial"/>
                <w:sz w:val="16"/>
                <w:szCs w:val="16"/>
                <w:b w:val="1"/>
                <w:bCs w:val="1"/>
                <w:color w:val="262626"/>
              </w:rPr>
              <w:t>PSU</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262626"/>
              </w:rPr>
              <w:t>Ordinary Course</w:t>
            </w:r>
          </w:p>
        </w:tc>
        <w:tc>
          <w:tcPr>
            <w:tcW w:w="54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262626"/>
              </w:rPr>
              <w:t>Shares Accelerated</w:t>
            </w:r>
          </w:p>
        </w:tc>
        <w:tc>
          <w:tcPr>
            <w:tcW w:w="840" w:type="dxa"/>
            <w:vAlign w:val="bottom"/>
          </w:tcPr>
          <w:p>
            <w:pPr>
              <w:spacing w:after="0"/>
              <w:rPr>
                <w:sz w:val="16"/>
                <w:szCs w:val="16"/>
                <w:color w:val="auto"/>
              </w:rPr>
            </w:pPr>
          </w:p>
        </w:tc>
        <w:tc>
          <w:tcPr>
            <w:tcW w:w="3040" w:type="dxa"/>
            <w:vAlign w:val="bottom"/>
          </w:tcPr>
          <w:p>
            <w:pPr>
              <w:jc w:val="center"/>
              <w:ind w:right="119"/>
              <w:spacing w:after="0"/>
              <w:rPr>
                <w:sz w:val="20"/>
                <w:szCs w:val="20"/>
                <w:color w:val="auto"/>
              </w:rPr>
            </w:pPr>
            <w:r>
              <w:rPr>
                <w:rFonts w:ascii="Arial" w:cs="Arial" w:eastAsia="Arial" w:hAnsi="Arial"/>
                <w:sz w:val="16"/>
                <w:szCs w:val="16"/>
                <w:b w:val="1"/>
                <w:bCs w:val="1"/>
                <w:color w:val="262626"/>
                <w:w w:val="99"/>
              </w:rPr>
              <w:t>Value of PSU Acceleration</w:t>
            </w:r>
          </w:p>
        </w:tc>
      </w:tr>
      <w:tr>
        <w:trPr>
          <w:trHeight w:val="235"/>
        </w:trPr>
        <w:tc>
          <w:tcPr>
            <w:tcW w:w="720" w:type="dxa"/>
            <w:vAlign w:val="bottom"/>
          </w:tcPr>
          <w:p>
            <w:pPr>
              <w:spacing w:after="0"/>
              <w:rPr>
                <w:sz w:val="20"/>
                <w:szCs w:val="20"/>
                <w:color w:val="auto"/>
              </w:rPr>
            </w:pPr>
            <w:r>
              <w:rPr>
                <w:rFonts w:ascii="Arial" w:cs="Arial" w:eastAsia="Arial" w:hAnsi="Arial"/>
                <w:sz w:val="16"/>
                <w:szCs w:val="16"/>
                <w:b w:val="1"/>
                <w:bCs w:val="1"/>
                <w:color w:val="262626"/>
              </w:rPr>
              <w:t>Award</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262626"/>
                <w:w w:val="99"/>
              </w:rPr>
              <w:t>Vesting Date</w:t>
            </w:r>
          </w:p>
        </w:tc>
        <w:tc>
          <w:tcPr>
            <w:tcW w:w="540" w:type="dxa"/>
            <w:vAlign w:val="bottom"/>
          </w:tcPr>
          <w:p>
            <w:pPr>
              <w:spacing w:after="0"/>
              <w:rPr>
                <w:sz w:val="20"/>
                <w:szCs w:val="20"/>
                <w:color w:val="auto"/>
              </w:rPr>
            </w:pPr>
          </w:p>
        </w:tc>
        <w:tc>
          <w:tcPr>
            <w:tcW w:w="2120" w:type="dxa"/>
            <w:vAlign w:val="bottom"/>
          </w:tcPr>
          <w:p>
            <w:pPr>
              <w:jc w:val="right"/>
              <w:ind w:right="859"/>
              <w:spacing w:after="0"/>
              <w:rPr>
                <w:sz w:val="20"/>
                <w:szCs w:val="20"/>
                <w:color w:val="auto"/>
              </w:rPr>
            </w:pPr>
            <w:r>
              <w:rPr>
                <w:rFonts w:ascii="Arial" w:cs="Arial" w:eastAsia="Arial" w:hAnsi="Arial"/>
                <w:sz w:val="16"/>
                <w:szCs w:val="16"/>
                <w:b w:val="1"/>
                <w:bCs w:val="1"/>
                <w:color w:val="262626"/>
              </w:rPr>
              <w:t>(#)</w:t>
            </w:r>
          </w:p>
        </w:tc>
        <w:tc>
          <w:tcPr>
            <w:tcW w:w="840" w:type="dxa"/>
            <w:vAlign w:val="bottom"/>
          </w:tcPr>
          <w:p>
            <w:pPr>
              <w:spacing w:after="0"/>
              <w:rPr>
                <w:sz w:val="20"/>
                <w:szCs w:val="20"/>
                <w:color w:val="auto"/>
              </w:rPr>
            </w:pPr>
          </w:p>
        </w:tc>
        <w:tc>
          <w:tcPr>
            <w:tcW w:w="3040" w:type="dxa"/>
            <w:vAlign w:val="bottom"/>
          </w:tcPr>
          <w:p>
            <w:pPr>
              <w:jc w:val="right"/>
              <w:ind w:right="1439"/>
              <w:spacing w:after="0"/>
              <w:rPr>
                <w:sz w:val="20"/>
                <w:szCs w:val="20"/>
                <w:color w:val="auto"/>
              </w:rPr>
            </w:pPr>
            <w:r>
              <w:rPr>
                <w:rFonts w:ascii="Arial" w:cs="Arial" w:eastAsia="Arial" w:hAnsi="Arial"/>
                <w:sz w:val="16"/>
                <w:szCs w:val="16"/>
                <w:b w:val="1"/>
                <w:bCs w:val="1"/>
                <w:color w:val="262626"/>
              </w:rPr>
              <w:t>($)</w:t>
            </w:r>
          </w:p>
        </w:tc>
      </w:tr>
      <w:tr>
        <w:trPr>
          <w:trHeight w:val="47"/>
        </w:trPr>
        <w:tc>
          <w:tcPr>
            <w:tcW w:w="720" w:type="dxa"/>
            <w:vAlign w:val="bottom"/>
            <w:tcBorders>
              <w:bottom w:val="single" w:sz="8" w:color="CF0A2C"/>
            </w:tcBorders>
          </w:tcPr>
          <w:p>
            <w:pPr>
              <w:spacing w:after="0"/>
              <w:rPr>
                <w:sz w:val="4"/>
                <w:szCs w:val="4"/>
                <w:color w:val="auto"/>
              </w:rPr>
            </w:pPr>
          </w:p>
        </w:tc>
        <w:tc>
          <w:tcPr>
            <w:tcW w:w="1440" w:type="dxa"/>
            <w:vAlign w:val="bottom"/>
            <w:tcBorders>
              <w:bottom w:val="single" w:sz="8" w:color="CF0A2C"/>
            </w:tcBorders>
          </w:tcPr>
          <w:p>
            <w:pPr>
              <w:spacing w:after="0"/>
              <w:rPr>
                <w:sz w:val="4"/>
                <w:szCs w:val="4"/>
                <w:color w:val="auto"/>
              </w:rPr>
            </w:pPr>
          </w:p>
        </w:tc>
        <w:tc>
          <w:tcPr>
            <w:tcW w:w="540" w:type="dxa"/>
            <w:vAlign w:val="bottom"/>
            <w:tcBorders>
              <w:bottom w:val="single" w:sz="8" w:color="CF0A2C"/>
            </w:tcBorders>
          </w:tcPr>
          <w:p>
            <w:pPr>
              <w:spacing w:after="0"/>
              <w:rPr>
                <w:sz w:val="4"/>
                <w:szCs w:val="4"/>
                <w:color w:val="auto"/>
              </w:rPr>
            </w:pPr>
          </w:p>
        </w:tc>
        <w:tc>
          <w:tcPr>
            <w:tcW w:w="2120" w:type="dxa"/>
            <w:vAlign w:val="bottom"/>
            <w:tcBorders>
              <w:bottom w:val="single" w:sz="8" w:color="CF0A2C"/>
            </w:tcBorders>
          </w:tcPr>
          <w:p>
            <w:pPr>
              <w:spacing w:after="0"/>
              <w:rPr>
                <w:sz w:val="4"/>
                <w:szCs w:val="4"/>
                <w:color w:val="auto"/>
              </w:rPr>
            </w:pPr>
          </w:p>
        </w:tc>
        <w:tc>
          <w:tcPr>
            <w:tcW w:w="840" w:type="dxa"/>
            <w:vAlign w:val="bottom"/>
            <w:tcBorders>
              <w:bottom w:val="single" w:sz="8" w:color="CF0A2C"/>
            </w:tcBorders>
          </w:tcPr>
          <w:p>
            <w:pPr>
              <w:spacing w:after="0"/>
              <w:rPr>
                <w:sz w:val="4"/>
                <w:szCs w:val="4"/>
                <w:color w:val="auto"/>
              </w:rPr>
            </w:pPr>
          </w:p>
        </w:tc>
        <w:tc>
          <w:tcPr>
            <w:tcW w:w="3040" w:type="dxa"/>
            <w:vAlign w:val="bottom"/>
            <w:tcBorders>
              <w:bottom w:val="single" w:sz="8" w:color="CF0A2C"/>
            </w:tcBorders>
          </w:tcPr>
          <w:p>
            <w:pPr>
              <w:spacing w:after="0"/>
              <w:rPr>
                <w:sz w:val="4"/>
                <w:szCs w:val="4"/>
                <w:color w:val="auto"/>
              </w:rPr>
            </w:pPr>
          </w:p>
        </w:tc>
      </w:tr>
      <w:tr>
        <w:trPr>
          <w:trHeight w:val="274"/>
        </w:trPr>
        <w:tc>
          <w:tcPr>
            <w:tcW w:w="720" w:type="dxa"/>
            <w:vAlign w:val="bottom"/>
          </w:tcPr>
          <w:p>
            <w:pPr>
              <w:spacing w:after="0"/>
              <w:rPr>
                <w:sz w:val="20"/>
                <w:szCs w:val="20"/>
                <w:color w:val="auto"/>
              </w:rPr>
            </w:pPr>
            <w:r>
              <w:rPr>
                <w:rFonts w:ascii="Arial" w:cs="Arial" w:eastAsia="Arial" w:hAnsi="Arial"/>
                <w:sz w:val="16"/>
                <w:szCs w:val="16"/>
                <w:color w:val="262626"/>
              </w:rPr>
              <w:t>2023 Tan</w:t>
            </w:r>
          </w:p>
        </w:tc>
        <w:tc>
          <w:tcPr>
            <w:tcW w:w="1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40" w:type="dxa"/>
            <w:vAlign w:val="bottom"/>
          </w:tcPr>
          <w:p>
            <w:pPr>
              <w:spacing w:after="0"/>
              <w:rPr>
                <w:sz w:val="23"/>
                <w:szCs w:val="23"/>
                <w:color w:val="auto"/>
              </w:rPr>
            </w:pPr>
          </w:p>
        </w:tc>
      </w:tr>
      <w:tr>
        <w:trPr>
          <w:trHeight w:val="255"/>
        </w:trPr>
        <w:tc>
          <w:tcPr>
            <w:tcW w:w="720" w:type="dxa"/>
            <w:vAlign w:val="bottom"/>
          </w:tcPr>
          <w:p>
            <w:pPr>
              <w:spacing w:after="0"/>
              <w:rPr>
                <w:sz w:val="20"/>
                <w:szCs w:val="20"/>
                <w:color w:val="auto"/>
              </w:rPr>
            </w:pPr>
            <w:r>
              <w:rPr>
                <w:rFonts w:ascii="Arial" w:cs="Arial" w:eastAsia="Arial" w:hAnsi="Arial"/>
                <w:sz w:val="16"/>
                <w:szCs w:val="16"/>
                <w:color w:val="262626"/>
              </w:rPr>
              <w:t>PSU</w:t>
            </w:r>
          </w:p>
        </w:tc>
        <w:tc>
          <w:tcPr>
            <w:tcW w:w="1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262626"/>
              </w:rPr>
              <w:t>Award</w:t>
            </w:r>
          </w:p>
        </w:tc>
        <w:tc>
          <w:tcPr>
            <w:tcW w:w="1440" w:type="dxa"/>
            <w:vAlign w:val="bottom"/>
          </w:tcPr>
          <w:p>
            <w:pPr>
              <w:jc w:val="right"/>
              <w:ind w:right="119"/>
              <w:spacing w:after="0"/>
              <w:rPr>
                <w:sz w:val="20"/>
                <w:szCs w:val="20"/>
                <w:color w:val="auto"/>
              </w:rPr>
            </w:pPr>
            <w:r>
              <w:rPr>
                <w:rFonts w:ascii="Arial" w:cs="Arial" w:eastAsia="Arial" w:hAnsi="Arial"/>
                <w:sz w:val="16"/>
                <w:szCs w:val="16"/>
                <w:color w:val="262626"/>
              </w:rPr>
              <w:t>10/31/27</w:t>
            </w:r>
          </w:p>
        </w:tc>
        <w:tc>
          <w:tcPr>
            <w:tcW w:w="540" w:type="dxa"/>
            <w:vAlign w:val="bottom"/>
          </w:tcPr>
          <w:p>
            <w:pPr>
              <w:ind w:left="100"/>
              <w:spacing w:after="0"/>
              <w:rPr>
                <w:sz w:val="20"/>
                <w:szCs w:val="20"/>
                <w:color w:val="auto"/>
              </w:rPr>
            </w:pPr>
            <w:r>
              <w:rPr>
                <w:rFonts w:ascii="Arial" w:cs="Arial" w:eastAsia="Arial" w:hAnsi="Arial"/>
                <w:sz w:val="16"/>
                <w:szCs w:val="16"/>
                <w:color w:val="262626"/>
              </w:rPr>
              <w:t>  </w:t>
            </w:r>
          </w:p>
        </w:tc>
        <w:tc>
          <w:tcPr>
            <w:tcW w:w="2120" w:type="dxa"/>
            <w:vAlign w:val="bottom"/>
          </w:tcPr>
          <w:p>
            <w:pPr>
              <w:jc w:val="right"/>
              <w:ind w:right="499"/>
              <w:spacing w:after="0"/>
              <w:rPr>
                <w:sz w:val="20"/>
                <w:szCs w:val="20"/>
                <w:color w:val="auto"/>
              </w:rPr>
            </w:pPr>
            <w:r>
              <w:rPr>
                <w:rFonts w:ascii="Arial" w:cs="Arial" w:eastAsia="Arial" w:hAnsi="Arial"/>
                <w:sz w:val="16"/>
                <w:szCs w:val="16"/>
                <w:color w:val="262626"/>
              </w:rPr>
              <w:t>6,009,852</w:t>
            </w:r>
            <w:r>
              <w:rPr>
                <w:rFonts w:ascii="Arial" w:cs="Arial" w:eastAsia="Arial" w:hAnsi="Arial"/>
                <w:sz w:val="24"/>
                <w:szCs w:val="24"/>
                <w:color w:val="262626"/>
                <w:vertAlign w:val="superscript"/>
              </w:rPr>
              <w:t>(1)</w:t>
            </w:r>
          </w:p>
        </w:tc>
        <w:tc>
          <w:tcPr>
            <w:tcW w:w="840" w:type="dxa"/>
            <w:vAlign w:val="bottom"/>
          </w:tcPr>
          <w:p>
            <w:pPr>
              <w:ind w:left="300"/>
              <w:spacing w:after="0"/>
              <w:rPr>
                <w:sz w:val="20"/>
                <w:szCs w:val="20"/>
                <w:color w:val="auto"/>
              </w:rPr>
            </w:pPr>
            <w:r>
              <w:rPr>
                <w:rFonts w:ascii="Arial" w:cs="Arial" w:eastAsia="Arial" w:hAnsi="Arial"/>
                <w:sz w:val="16"/>
                <w:szCs w:val="16"/>
                <w:color w:val="262626"/>
              </w:rPr>
              <w:t>  </w:t>
            </w:r>
          </w:p>
        </w:tc>
        <w:tc>
          <w:tcPr>
            <w:tcW w:w="3040" w:type="dxa"/>
            <w:vAlign w:val="bottom"/>
          </w:tcPr>
          <w:p>
            <w:pPr>
              <w:jc w:val="right"/>
              <w:ind w:right="919"/>
              <w:spacing w:after="0"/>
              <w:rPr>
                <w:sz w:val="20"/>
                <w:szCs w:val="20"/>
                <w:color w:val="auto"/>
              </w:rPr>
            </w:pPr>
            <w:r>
              <w:rPr>
                <w:rFonts w:ascii="Arial" w:cs="Arial" w:eastAsia="Arial" w:hAnsi="Arial"/>
                <w:sz w:val="16"/>
                <w:szCs w:val="16"/>
                <w:color w:val="262626"/>
              </w:rPr>
              <w:t>2,221,421,595</w:t>
            </w:r>
            <w:r>
              <w:rPr>
                <w:rFonts w:ascii="Arial" w:cs="Arial" w:eastAsia="Arial" w:hAnsi="Arial"/>
                <w:sz w:val="24"/>
                <w:szCs w:val="24"/>
                <w:color w:val="262626"/>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85090</wp:posOffset>
            </wp:positionV>
            <wp:extent cx="4343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185" w:lineRule="exact"/>
        <w:rPr>
          <w:sz w:val="20"/>
          <w:szCs w:val="20"/>
          <w:color w:val="auto"/>
        </w:rPr>
      </w:pPr>
    </w:p>
    <w:p>
      <w:pPr>
        <w:jc w:val="both"/>
        <w:ind w:left="1620" w:right="159" w:hanging="344"/>
        <w:spacing w:after="0" w:line="375" w:lineRule="auto"/>
        <w:tabs>
          <w:tab w:leader="none" w:pos="1620" w:val="left"/>
        </w:tabs>
        <w:numPr>
          <w:ilvl w:val="0"/>
          <w:numId w:val="39"/>
        </w:numPr>
        <w:rPr>
          <w:rFonts w:ascii="Arial" w:cs="Arial" w:eastAsia="Arial" w:hAnsi="Arial"/>
          <w:sz w:val="14"/>
          <w:szCs w:val="14"/>
          <w:color w:val="262626"/>
        </w:rPr>
      </w:pPr>
      <w:r>
        <w:rPr>
          <w:rFonts w:ascii="Arial" w:cs="Arial" w:eastAsia="Arial" w:hAnsi="Arial"/>
          <w:sz w:val="14"/>
          <w:szCs w:val="14"/>
          <w:color w:val="262626"/>
        </w:rPr>
        <w:t>Number of shares for which the performance goals having been deemed satisfied based on Broadcom’s actual performance immediately prior to November 2, 2025, prorated based on portion of the performance period during which Mr. Tan provided services.</w:t>
      </w:r>
    </w:p>
    <w:p>
      <w:pPr>
        <w:spacing w:after="0" w:line="221" w:lineRule="exact"/>
        <w:rPr>
          <w:rFonts w:ascii="Arial" w:cs="Arial" w:eastAsia="Arial" w:hAnsi="Arial"/>
          <w:sz w:val="14"/>
          <w:szCs w:val="14"/>
          <w:color w:val="262626"/>
        </w:rPr>
      </w:pPr>
    </w:p>
    <w:p>
      <w:pPr>
        <w:ind w:left="1620" w:right="179" w:hanging="344"/>
        <w:spacing w:after="0" w:line="362" w:lineRule="auto"/>
        <w:tabs>
          <w:tab w:leader="none" w:pos="1620" w:val="left"/>
        </w:tabs>
        <w:numPr>
          <w:ilvl w:val="0"/>
          <w:numId w:val="39"/>
        </w:numPr>
        <w:rPr>
          <w:rFonts w:ascii="Arial" w:cs="Arial" w:eastAsia="Arial" w:hAnsi="Arial"/>
          <w:sz w:val="14"/>
          <w:szCs w:val="14"/>
          <w:color w:val="262626"/>
        </w:rPr>
      </w:pPr>
      <w:r>
        <w:rPr>
          <w:rFonts w:ascii="Arial" w:cs="Arial" w:eastAsia="Arial" w:hAnsi="Arial"/>
          <w:sz w:val="14"/>
          <w:szCs w:val="14"/>
          <w:color w:val="262626"/>
        </w:rPr>
        <w:t>Based on a per share price of $369.63, the closing price of Broadcom common stock on October 31, 2025 (the last trading day of fiscal 2025).</w:t>
      </w:r>
    </w:p>
    <w:p>
      <w:pPr>
        <w:spacing w:after="0" w:line="122" w:lineRule="exact"/>
        <w:rPr>
          <w:sz w:val="20"/>
          <w:szCs w:val="20"/>
          <w:color w:val="auto"/>
        </w:rPr>
      </w:pPr>
    </w:p>
    <w:p>
      <w:pPr>
        <w:ind w:left="1280" w:right="839"/>
        <w:spacing w:after="0" w:line="278" w:lineRule="auto"/>
        <w:rPr>
          <w:sz w:val="20"/>
          <w:szCs w:val="20"/>
          <w:color w:val="auto"/>
        </w:rPr>
      </w:pPr>
      <w:r>
        <w:rPr>
          <w:rFonts w:ascii="Arial" w:cs="Arial" w:eastAsia="Arial" w:hAnsi="Arial"/>
          <w:sz w:val="18"/>
          <w:szCs w:val="18"/>
          <w:b w:val="1"/>
          <w:bCs w:val="1"/>
          <w:color w:val="CF0A2C"/>
        </w:rPr>
        <w:t>POTENTIAL PAYMENTS AND BENEFITS UPON CERTAIN TERMINATIONS OF EMPLOYMENT IN CONNECTION WITH A CHANGE IN CONTROL</w:t>
      </w:r>
    </w:p>
    <w:p>
      <w:pPr>
        <w:spacing w:after="0" w:line="62" w:lineRule="exact"/>
        <w:rPr>
          <w:sz w:val="20"/>
          <w:szCs w:val="20"/>
          <w:color w:val="auto"/>
        </w:rPr>
      </w:pPr>
    </w:p>
    <w:p>
      <w:pPr>
        <w:jc w:val="both"/>
        <w:ind w:left="1280" w:right="179"/>
        <w:spacing w:after="0" w:line="333" w:lineRule="auto"/>
        <w:rPr>
          <w:sz w:val="20"/>
          <w:szCs w:val="20"/>
          <w:color w:val="auto"/>
        </w:rPr>
      </w:pPr>
      <w:r>
        <w:rPr>
          <w:rFonts w:ascii="Arial" w:cs="Arial" w:eastAsia="Arial" w:hAnsi="Arial"/>
          <w:sz w:val="16"/>
          <w:szCs w:val="16"/>
          <w:color w:val="262626"/>
        </w:rPr>
        <w:t>The following table reflects the potential payments and benefits to which our NEOs would be entitled under their severance benefits agreements and equity award agreements in effect as of the end of fiscal 2025 in the event of a Covered Termination taking place within 12 months following a change in control of Broadcom (or in the case of Mr. Tan three months before or 12 months following a change in control of Broadcom). The amounts presented in the table assume an employment termination date and a change in control date of November 2, 2025 and that all eligibility requirements contemplated by the NEO’s respective agreements and our policies and practices, as applicable, were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67310</wp:posOffset>
            </wp:positionV>
            <wp:extent cx="55225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80"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1360" w:type="dxa"/>
            <w:vAlign w:val="bottom"/>
          </w:tcPr>
          <w:p>
            <w:pPr>
              <w:jc w:val="center"/>
              <w:ind w:left="219"/>
              <w:spacing w:after="0"/>
              <w:rPr>
                <w:sz w:val="20"/>
                <w:szCs w:val="20"/>
                <w:color w:val="auto"/>
              </w:rPr>
            </w:pPr>
            <w:r>
              <w:rPr>
                <w:rFonts w:ascii="Arial" w:cs="Arial" w:eastAsia="Arial" w:hAnsi="Arial"/>
                <w:sz w:val="16"/>
                <w:szCs w:val="16"/>
                <w:b w:val="1"/>
                <w:bCs w:val="1"/>
                <w:color w:val="262626"/>
                <w:w w:val="97"/>
              </w:rPr>
              <w:t>Cash</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262626"/>
                <w:w w:val="97"/>
              </w:rPr>
              <w:t>Cash</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262626"/>
                <w:w w:val="99"/>
              </w:rPr>
              <w:t>Health Benefits</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262626"/>
                <w:w w:val="96"/>
              </w:rPr>
              <w:t>    Value of RSU/</w:t>
            </w:r>
          </w:p>
        </w:tc>
        <w:tc>
          <w:tcPr>
            <w:tcW w:w="1260" w:type="dxa"/>
            <w:vAlign w:val="bottom"/>
          </w:tcPr>
          <w:p>
            <w:pPr>
              <w:spacing w:after="0"/>
              <w:rPr>
                <w:sz w:val="16"/>
                <w:szCs w:val="16"/>
                <w:color w:val="auto"/>
              </w:rPr>
            </w:pPr>
          </w:p>
        </w:tc>
      </w:tr>
      <w:tr>
        <w:trPr>
          <w:trHeight w:val="188"/>
        </w:trPr>
        <w:tc>
          <w:tcPr>
            <w:tcW w:w="2220" w:type="dxa"/>
            <w:vAlign w:val="bottom"/>
          </w:tcPr>
          <w:p>
            <w:pPr>
              <w:spacing w:after="0"/>
              <w:rPr>
                <w:sz w:val="16"/>
                <w:szCs w:val="16"/>
                <w:color w:val="auto"/>
              </w:rPr>
            </w:pPr>
          </w:p>
        </w:tc>
        <w:tc>
          <w:tcPr>
            <w:tcW w:w="1360" w:type="dxa"/>
            <w:vAlign w:val="bottom"/>
          </w:tcPr>
          <w:p>
            <w:pPr>
              <w:jc w:val="center"/>
              <w:ind w:left="219"/>
              <w:spacing w:after="0"/>
              <w:rPr>
                <w:sz w:val="20"/>
                <w:szCs w:val="20"/>
                <w:color w:val="auto"/>
              </w:rPr>
            </w:pPr>
            <w:r>
              <w:rPr>
                <w:rFonts w:ascii="Arial" w:cs="Arial" w:eastAsia="Arial" w:hAnsi="Arial"/>
                <w:sz w:val="16"/>
                <w:szCs w:val="16"/>
                <w:b w:val="1"/>
                <w:bCs w:val="1"/>
                <w:color w:val="262626"/>
              </w:rPr>
              <w:t>Severance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262626"/>
              </w:rPr>
              <w:t>Severance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262626"/>
              </w:rPr>
              <w:t>Continuation</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262626"/>
                <w:w w:val="92"/>
              </w:rPr>
              <w:t>    PSU</w:t>
            </w:r>
          </w:p>
        </w:tc>
        <w:tc>
          <w:tcPr>
            <w:tcW w:w="1260" w:type="dxa"/>
            <w:vAlign w:val="bottom"/>
          </w:tcPr>
          <w:p>
            <w:pPr>
              <w:spacing w:after="0"/>
              <w:rPr>
                <w:sz w:val="16"/>
                <w:szCs w:val="16"/>
                <w:color w:val="auto"/>
              </w:rPr>
            </w:pPr>
          </w:p>
        </w:tc>
      </w:tr>
      <w:tr>
        <w:trPr>
          <w:trHeight w:val="188"/>
        </w:trPr>
        <w:tc>
          <w:tcPr>
            <w:tcW w:w="2220" w:type="dxa"/>
            <w:vAlign w:val="bottom"/>
          </w:tcPr>
          <w:p>
            <w:pPr>
              <w:spacing w:after="0"/>
              <w:rPr>
                <w:sz w:val="16"/>
                <w:szCs w:val="16"/>
                <w:color w:val="auto"/>
              </w:rPr>
            </w:pPr>
          </w:p>
        </w:tc>
        <w:tc>
          <w:tcPr>
            <w:tcW w:w="1360" w:type="dxa"/>
            <w:vAlign w:val="bottom"/>
          </w:tcPr>
          <w:p>
            <w:pPr>
              <w:jc w:val="center"/>
              <w:ind w:left="219"/>
              <w:spacing w:after="0"/>
              <w:rPr>
                <w:sz w:val="20"/>
                <w:szCs w:val="20"/>
                <w:color w:val="auto"/>
              </w:rPr>
            </w:pPr>
            <w:r>
              <w:rPr>
                <w:rFonts w:ascii="Arial" w:cs="Arial" w:eastAsia="Arial" w:hAnsi="Arial"/>
                <w:sz w:val="16"/>
                <w:szCs w:val="16"/>
                <w:b w:val="1"/>
                <w:bCs w:val="1"/>
                <w:color w:val="262626"/>
                <w:w w:val="99"/>
              </w:rPr>
              <w:t>Base Salary</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262626"/>
              </w:rPr>
              <w:t>Bonus</w:t>
            </w:r>
          </w:p>
        </w:tc>
        <w:tc>
          <w:tcPr>
            <w:tcW w:w="1320" w:type="dxa"/>
            <w:vAlign w:val="bottom"/>
          </w:tcPr>
          <w:p>
            <w:pPr>
              <w:jc w:val="center"/>
              <w:spacing w:after="0" w:line="188" w:lineRule="exact"/>
              <w:rPr>
                <w:sz w:val="20"/>
                <w:szCs w:val="20"/>
                <w:color w:val="auto"/>
              </w:rPr>
            </w:pPr>
            <w:r>
              <w:rPr>
                <w:rFonts w:ascii="Arial" w:cs="Arial" w:eastAsia="Arial" w:hAnsi="Arial"/>
                <w:sz w:val="14"/>
                <w:szCs w:val="14"/>
                <w:b w:val="1"/>
                <w:bCs w:val="1"/>
                <w:color w:val="262626"/>
              </w:rPr>
              <w:t>Coverage</w:t>
            </w:r>
            <w:r>
              <w:rPr>
                <w:rFonts w:ascii="Arial" w:cs="Arial" w:eastAsia="Arial" w:hAnsi="Arial"/>
                <w:sz w:val="21"/>
                <w:szCs w:val="21"/>
                <w:b w:val="1"/>
                <w:bCs w:val="1"/>
                <w:color w:val="262626"/>
                <w:vertAlign w:val="superscript"/>
              </w:rPr>
              <w:t>(1)</w:t>
            </w:r>
          </w:p>
        </w:tc>
        <w:tc>
          <w:tcPr>
            <w:tcW w:w="1560" w:type="dxa"/>
            <w:vAlign w:val="bottom"/>
          </w:tcPr>
          <w:p>
            <w:pPr>
              <w:jc w:val="center"/>
              <w:spacing w:after="0" w:line="188" w:lineRule="exact"/>
              <w:rPr>
                <w:sz w:val="20"/>
                <w:szCs w:val="20"/>
                <w:color w:val="auto"/>
              </w:rPr>
            </w:pPr>
            <w:r>
              <w:rPr>
                <w:rFonts w:ascii="Arial" w:cs="Arial" w:eastAsia="Arial" w:hAnsi="Arial"/>
                <w:sz w:val="14"/>
                <w:szCs w:val="14"/>
                <w:b w:val="1"/>
                <w:bCs w:val="1"/>
                <w:color w:val="262626"/>
              </w:rPr>
              <w:t>    Acceleration</w:t>
            </w:r>
            <w:r>
              <w:rPr>
                <w:rFonts w:ascii="Arial" w:cs="Arial" w:eastAsia="Arial" w:hAnsi="Arial"/>
                <w:sz w:val="21"/>
                <w:szCs w:val="21"/>
                <w:b w:val="1"/>
                <w:bCs w:val="1"/>
                <w:color w:val="262626"/>
                <w:vertAlign w:val="superscript"/>
              </w:rPr>
              <w:t>(2)</w:t>
            </w: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262626"/>
              </w:rPr>
              <w:t>Total</w:t>
            </w:r>
          </w:p>
        </w:tc>
      </w:tr>
      <w:tr>
        <w:trPr>
          <w:trHeight w:val="235"/>
        </w:trPr>
        <w:tc>
          <w:tcPr>
            <w:tcW w:w="2220" w:type="dxa"/>
            <w:vAlign w:val="bottom"/>
          </w:tcPr>
          <w:p>
            <w:pPr>
              <w:spacing w:after="0"/>
              <w:rPr>
                <w:sz w:val="20"/>
                <w:szCs w:val="20"/>
                <w:color w:val="auto"/>
              </w:rPr>
            </w:pPr>
            <w:r>
              <w:rPr>
                <w:rFonts w:ascii="Arial" w:cs="Arial" w:eastAsia="Arial" w:hAnsi="Arial"/>
                <w:sz w:val="16"/>
                <w:szCs w:val="16"/>
                <w:b w:val="1"/>
                <w:bCs w:val="1"/>
                <w:color w:val="262626"/>
              </w:rPr>
              <w:t>Name</w:t>
            </w:r>
          </w:p>
        </w:tc>
        <w:tc>
          <w:tcPr>
            <w:tcW w:w="1360" w:type="dxa"/>
            <w:vAlign w:val="bottom"/>
          </w:tcPr>
          <w:p>
            <w:pPr>
              <w:jc w:val="center"/>
              <w:ind w:left="219"/>
              <w:spacing w:after="0"/>
              <w:rPr>
                <w:sz w:val="20"/>
                <w:szCs w:val="20"/>
                <w:color w:val="auto"/>
              </w:rPr>
            </w:pPr>
            <w:r>
              <w:rPr>
                <w:rFonts w:ascii="Arial" w:cs="Arial" w:eastAsia="Arial" w:hAnsi="Arial"/>
                <w:sz w:val="16"/>
                <w:szCs w:val="16"/>
                <w:b w:val="1"/>
                <w:bCs w:val="1"/>
                <w:color w:val="262626"/>
                <w:w w:val="91"/>
              </w:rPr>
              <w:t>($)</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262626"/>
                <w:w w:val="91"/>
              </w:rPr>
              <w:t>($)</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262626"/>
              </w:rPr>
              <w:t>($)</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262626"/>
                <w:w w:val="87"/>
              </w:rPr>
              <w:t>    ($)</w:t>
            </w:r>
          </w:p>
        </w:tc>
        <w:tc>
          <w:tcPr>
            <w:tcW w:w="1260" w:type="dxa"/>
            <w:vAlign w:val="bottom"/>
          </w:tcPr>
          <w:p>
            <w:pPr>
              <w:jc w:val="right"/>
              <w:ind w:right="419"/>
              <w:spacing w:after="0"/>
              <w:rPr>
                <w:sz w:val="20"/>
                <w:szCs w:val="20"/>
                <w:color w:val="auto"/>
              </w:rPr>
            </w:pPr>
            <w:r>
              <w:rPr>
                <w:rFonts w:ascii="Arial" w:cs="Arial" w:eastAsia="Arial" w:hAnsi="Arial"/>
                <w:sz w:val="16"/>
                <w:szCs w:val="16"/>
                <w:b w:val="1"/>
                <w:bCs w:val="1"/>
                <w:color w:val="262626"/>
              </w:rPr>
              <w:t>($)</w:t>
            </w:r>
          </w:p>
        </w:tc>
      </w:tr>
      <w:tr>
        <w:trPr>
          <w:trHeight w:val="47"/>
        </w:trPr>
        <w:tc>
          <w:tcPr>
            <w:tcW w:w="2220" w:type="dxa"/>
            <w:vAlign w:val="bottom"/>
            <w:tcBorders>
              <w:bottom w:val="single" w:sz="8" w:color="CF0A2C"/>
            </w:tcBorders>
          </w:tcPr>
          <w:p>
            <w:pPr>
              <w:spacing w:after="0"/>
              <w:rPr>
                <w:sz w:val="4"/>
                <w:szCs w:val="4"/>
                <w:color w:val="auto"/>
              </w:rPr>
            </w:pPr>
          </w:p>
        </w:tc>
        <w:tc>
          <w:tcPr>
            <w:tcW w:w="1360" w:type="dxa"/>
            <w:vAlign w:val="bottom"/>
            <w:tcBorders>
              <w:bottom w:val="single" w:sz="8" w:color="CF0A2C"/>
            </w:tcBorders>
          </w:tcPr>
          <w:p>
            <w:pPr>
              <w:spacing w:after="0"/>
              <w:rPr>
                <w:sz w:val="4"/>
                <w:szCs w:val="4"/>
                <w:color w:val="auto"/>
              </w:rPr>
            </w:pPr>
          </w:p>
        </w:tc>
        <w:tc>
          <w:tcPr>
            <w:tcW w:w="980" w:type="dxa"/>
            <w:vAlign w:val="bottom"/>
            <w:tcBorders>
              <w:bottom w:val="single" w:sz="8" w:color="CF0A2C"/>
            </w:tcBorders>
          </w:tcPr>
          <w:p>
            <w:pPr>
              <w:spacing w:after="0"/>
              <w:rPr>
                <w:sz w:val="4"/>
                <w:szCs w:val="4"/>
                <w:color w:val="auto"/>
              </w:rPr>
            </w:pPr>
          </w:p>
        </w:tc>
        <w:tc>
          <w:tcPr>
            <w:tcW w:w="1320" w:type="dxa"/>
            <w:vAlign w:val="bottom"/>
            <w:tcBorders>
              <w:bottom w:val="single" w:sz="8" w:color="CF0A2C"/>
            </w:tcBorders>
          </w:tcPr>
          <w:p>
            <w:pPr>
              <w:spacing w:after="0"/>
              <w:rPr>
                <w:sz w:val="4"/>
                <w:szCs w:val="4"/>
                <w:color w:val="auto"/>
              </w:rPr>
            </w:pPr>
          </w:p>
        </w:tc>
        <w:tc>
          <w:tcPr>
            <w:tcW w:w="1560" w:type="dxa"/>
            <w:vAlign w:val="bottom"/>
            <w:tcBorders>
              <w:bottom w:val="single" w:sz="8" w:color="CF0A2C"/>
            </w:tcBorders>
          </w:tcPr>
          <w:p>
            <w:pPr>
              <w:spacing w:after="0"/>
              <w:rPr>
                <w:sz w:val="4"/>
                <w:szCs w:val="4"/>
                <w:color w:val="auto"/>
              </w:rPr>
            </w:pPr>
          </w:p>
        </w:tc>
        <w:tc>
          <w:tcPr>
            <w:tcW w:w="1260" w:type="dxa"/>
            <w:vAlign w:val="bottom"/>
            <w:tcBorders>
              <w:bottom w:val="single" w:sz="8" w:color="CF0A2C"/>
            </w:tcBorders>
          </w:tcPr>
          <w:p>
            <w:pPr>
              <w:spacing w:after="0"/>
              <w:rPr>
                <w:sz w:val="4"/>
                <w:szCs w:val="4"/>
                <w:color w:val="auto"/>
              </w:rPr>
            </w:pPr>
          </w:p>
        </w:tc>
      </w:tr>
      <w:tr>
        <w:trPr>
          <w:trHeight w:val="383"/>
        </w:trPr>
        <w:tc>
          <w:tcPr>
            <w:tcW w:w="2220" w:type="dxa"/>
            <w:vAlign w:val="bottom"/>
          </w:tcPr>
          <w:p>
            <w:pPr>
              <w:spacing w:after="0"/>
              <w:rPr>
                <w:sz w:val="20"/>
                <w:szCs w:val="20"/>
                <w:color w:val="auto"/>
              </w:rPr>
            </w:pPr>
            <w:r>
              <w:rPr>
                <w:rFonts w:ascii="Arial" w:cs="Arial" w:eastAsia="Arial" w:hAnsi="Arial"/>
                <w:sz w:val="16"/>
                <w:szCs w:val="16"/>
                <w:color w:val="262626"/>
              </w:rPr>
              <w:t>Hock E. Tan</w:t>
            </w:r>
          </w:p>
        </w:tc>
        <w:tc>
          <w:tcPr>
            <w:tcW w:w="1360" w:type="dxa"/>
            <w:vAlign w:val="bottom"/>
          </w:tcPr>
          <w:p>
            <w:pPr>
              <w:jc w:val="right"/>
              <w:spacing w:after="0"/>
              <w:rPr>
                <w:sz w:val="20"/>
                <w:szCs w:val="20"/>
                <w:color w:val="auto"/>
              </w:rPr>
            </w:pPr>
            <w:r>
              <w:rPr>
                <w:rFonts w:ascii="Arial" w:cs="Arial" w:eastAsia="Arial" w:hAnsi="Arial"/>
                <w:sz w:val="16"/>
                <w:szCs w:val="16"/>
                <w:color w:val="262626"/>
              </w:rPr>
              <w:t>2,400,000</w:t>
            </w:r>
          </w:p>
        </w:tc>
        <w:tc>
          <w:tcPr>
            <w:tcW w:w="980" w:type="dxa"/>
            <w:vAlign w:val="bottom"/>
          </w:tcPr>
          <w:p>
            <w:pPr>
              <w:jc w:val="right"/>
              <w:spacing w:after="0"/>
              <w:rPr>
                <w:sz w:val="20"/>
                <w:szCs w:val="20"/>
                <w:color w:val="auto"/>
              </w:rPr>
            </w:pPr>
            <w:r>
              <w:rPr>
                <w:rFonts w:ascii="Arial" w:cs="Arial" w:eastAsia="Arial" w:hAnsi="Arial"/>
                <w:sz w:val="16"/>
                <w:szCs w:val="16"/>
                <w:color w:val="262626"/>
              </w:rPr>
              <w:t>—</w:t>
            </w:r>
          </w:p>
        </w:tc>
        <w:tc>
          <w:tcPr>
            <w:tcW w:w="1320" w:type="dxa"/>
            <w:vAlign w:val="bottom"/>
          </w:tcPr>
          <w:p>
            <w:pPr>
              <w:jc w:val="center"/>
              <w:spacing w:after="0"/>
              <w:rPr>
                <w:sz w:val="20"/>
                <w:szCs w:val="20"/>
                <w:color w:val="auto"/>
              </w:rPr>
            </w:pPr>
            <w:r>
              <w:rPr>
                <w:rFonts w:ascii="Arial" w:cs="Arial" w:eastAsia="Arial" w:hAnsi="Arial"/>
                <w:sz w:val="16"/>
                <w:szCs w:val="16"/>
                <w:color w:val="262626"/>
                <w:w w:val="98"/>
              </w:rPr>
              <w:t>35,363</w:t>
            </w:r>
          </w:p>
        </w:tc>
        <w:tc>
          <w:tcPr>
            <w:tcW w:w="1560" w:type="dxa"/>
            <w:vAlign w:val="bottom"/>
          </w:tcPr>
          <w:p>
            <w:pPr>
              <w:jc w:val="right"/>
              <w:ind w:right="81"/>
              <w:spacing w:after="0"/>
              <w:rPr>
                <w:sz w:val="20"/>
                <w:szCs w:val="20"/>
                <w:color w:val="auto"/>
              </w:rPr>
            </w:pPr>
            <w:r>
              <w:rPr>
                <w:rFonts w:ascii="Arial" w:cs="Arial" w:eastAsia="Arial" w:hAnsi="Arial"/>
                <w:sz w:val="16"/>
                <w:szCs w:val="16"/>
                <w:color w:val="262626"/>
                <w:w w:val="97"/>
              </w:rPr>
              <w:t>3,696,300,000</w:t>
            </w:r>
            <w:r>
              <w:rPr>
                <w:rFonts w:ascii="Arial" w:cs="Arial" w:eastAsia="Arial" w:hAnsi="Arial"/>
                <w:sz w:val="24"/>
                <w:szCs w:val="24"/>
                <w:color w:val="262626"/>
                <w:w w:val="97"/>
                <w:vertAlign w:val="superscript"/>
              </w:rPr>
              <w:t>(3)(4)</w:t>
            </w:r>
          </w:p>
        </w:tc>
        <w:tc>
          <w:tcPr>
            <w:tcW w:w="1260" w:type="dxa"/>
            <w:vAlign w:val="bottom"/>
          </w:tcPr>
          <w:p>
            <w:pPr>
              <w:jc w:val="right"/>
              <w:spacing w:after="0"/>
              <w:rPr>
                <w:sz w:val="20"/>
                <w:szCs w:val="20"/>
                <w:color w:val="auto"/>
              </w:rPr>
            </w:pPr>
            <w:r>
              <w:rPr>
                <w:rFonts w:ascii="Arial" w:cs="Arial" w:eastAsia="Arial" w:hAnsi="Arial"/>
                <w:sz w:val="16"/>
                <w:szCs w:val="16"/>
                <w:color w:val="262626"/>
              </w:rPr>
              <w:t>3,698,735,363</w:t>
            </w:r>
          </w:p>
        </w:tc>
      </w:tr>
      <w:tr>
        <w:trPr>
          <w:trHeight w:val="279"/>
        </w:trPr>
        <w:tc>
          <w:tcPr>
            <w:tcW w:w="2220" w:type="dxa"/>
            <w:vAlign w:val="bottom"/>
          </w:tcPr>
          <w:p>
            <w:pPr>
              <w:spacing w:after="0"/>
              <w:rPr>
                <w:sz w:val="20"/>
                <w:szCs w:val="20"/>
                <w:color w:val="auto"/>
              </w:rPr>
            </w:pPr>
            <w:r>
              <w:rPr>
                <w:rFonts w:ascii="Arial" w:cs="Arial" w:eastAsia="Arial" w:hAnsi="Arial"/>
                <w:sz w:val="16"/>
                <w:szCs w:val="16"/>
                <w:color w:val="262626"/>
              </w:rPr>
              <w:t>Kirsten M. Spears</w:t>
            </w:r>
          </w:p>
        </w:tc>
        <w:tc>
          <w:tcPr>
            <w:tcW w:w="1360" w:type="dxa"/>
            <w:vAlign w:val="bottom"/>
          </w:tcPr>
          <w:p>
            <w:pPr>
              <w:jc w:val="right"/>
              <w:spacing w:after="0"/>
              <w:rPr>
                <w:sz w:val="20"/>
                <w:szCs w:val="20"/>
                <w:color w:val="auto"/>
              </w:rPr>
            </w:pPr>
            <w:r>
              <w:rPr>
                <w:rFonts w:ascii="Arial" w:cs="Arial" w:eastAsia="Arial" w:hAnsi="Arial"/>
                <w:sz w:val="16"/>
                <w:szCs w:val="16"/>
                <w:color w:val="262626"/>
              </w:rPr>
              <w:t>412,000</w:t>
            </w:r>
          </w:p>
        </w:tc>
        <w:tc>
          <w:tcPr>
            <w:tcW w:w="980" w:type="dxa"/>
            <w:vAlign w:val="bottom"/>
          </w:tcPr>
          <w:p>
            <w:pPr>
              <w:jc w:val="right"/>
              <w:spacing w:after="0"/>
              <w:rPr>
                <w:sz w:val="20"/>
                <w:szCs w:val="20"/>
                <w:color w:val="auto"/>
              </w:rPr>
            </w:pPr>
            <w:r>
              <w:rPr>
                <w:rFonts w:ascii="Arial" w:cs="Arial" w:eastAsia="Arial" w:hAnsi="Arial"/>
                <w:sz w:val="16"/>
                <w:szCs w:val="16"/>
                <w:color w:val="262626"/>
              </w:rPr>
              <w:t>412,000</w:t>
            </w:r>
          </w:p>
        </w:tc>
        <w:tc>
          <w:tcPr>
            <w:tcW w:w="1320" w:type="dxa"/>
            <w:vAlign w:val="bottom"/>
          </w:tcPr>
          <w:p>
            <w:pPr>
              <w:jc w:val="center"/>
              <w:spacing w:after="0"/>
              <w:rPr>
                <w:sz w:val="20"/>
                <w:szCs w:val="20"/>
                <w:color w:val="auto"/>
              </w:rPr>
            </w:pPr>
            <w:r>
              <w:rPr>
                <w:rFonts w:ascii="Arial" w:cs="Arial" w:eastAsia="Arial" w:hAnsi="Arial"/>
                <w:sz w:val="16"/>
                <w:szCs w:val="16"/>
                <w:color w:val="262626"/>
                <w:w w:val="98"/>
              </w:rPr>
              <w:t>31,088</w:t>
            </w:r>
          </w:p>
        </w:tc>
        <w:tc>
          <w:tcPr>
            <w:tcW w:w="1560" w:type="dxa"/>
            <w:vAlign w:val="bottom"/>
          </w:tcPr>
          <w:p>
            <w:pPr>
              <w:jc w:val="right"/>
              <w:ind w:right="381"/>
              <w:spacing w:after="0"/>
              <w:rPr>
                <w:sz w:val="20"/>
                <w:szCs w:val="20"/>
                <w:color w:val="auto"/>
              </w:rPr>
            </w:pPr>
            <w:r>
              <w:rPr>
                <w:rFonts w:ascii="Arial" w:cs="Arial" w:eastAsia="Arial" w:hAnsi="Arial"/>
                <w:sz w:val="16"/>
                <w:szCs w:val="16"/>
                <w:color w:val="262626"/>
              </w:rPr>
              <w:t>153,286,670</w:t>
            </w:r>
          </w:p>
        </w:tc>
        <w:tc>
          <w:tcPr>
            <w:tcW w:w="1260" w:type="dxa"/>
            <w:vAlign w:val="bottom"/>
          </w:tcPr>
          <w:p>
            <w:pPr>
              <w:jc w:val="right"/>
              <w:spacing w:after="0"/>
              <w:rPr>
                <w:sz w:val="20"/>
                <w:szCs w:val="20"/>
                <w:color w:val="auto"/>
              </w:rPr>
            </w:pPr>
            <w:r>
              <w:rPr>
                <w:rFonts w:ascii="Arial" w:cs="Arial" w:eastAsia="Arial" w:hAnsi="Arial"/>
                <w:sz w:val="16"/>
                <w:szCs w:val="16"/>
                <w:color w:val="262626"/>
              </w:rPr>
              <w:t>154,141,758</w:t>
            </w:r>
          </w:p>
        </w:tc>
      </w:tr>
      <w:tr>
        <w:trPr>
          <w:trHeight w:val="389"/>
        </w:trPr>
        <w:tc>
          <w:tcPr>
            <w:tcW w:w="2220" w:type="dxa"/>
            <w:vAlign w:val="bottom"/>
          </w:tcPr>
          <w:p>
            <w:pPr>
              <w:spacing w:after="0"/>
              <w:rPr>
                <w:sz w:val="20"/>
                <w:szCs w:val="20"/>
                <w:color w:val="auto"/>
              </w:rPr>
            </w:pPr>
            <w:r>
              <w:rPr>
                <w:rFonts w:ascii="Arial" w:cs="Arial" w:eastAsia="Arial" w:hAnsi="Arial"/>
                <w:sz w:val="16"/>
                <w:szCs w:val="16"/>
                <w:color w:val="262626"/>
              </w:rPr>
              <w:t>Mark D. Brazeal</w:t>
            </w:r>
          </w:p>
        </w:tc>
        <w:tc>
          <w:tcPr>
            <w:tcW w:w="1360" w:type="dxa"/>
            <w:vAlign w:val="bottom"/>
          </w:tcPr>
          <w:p>
            <w:pPr>
              <w:jc w:val="right"/>
              <w:spacing w:after="0"/>
              <w:rPr>
                <w:sz w:val="20"/>
                <w:szCs w:val="20"/>
                <w:color w:val="auto"/>
              </w:rPr>
            </w:pPr>
            <w:r>
              <w:rPr>
                <w:rFonts w:ascii="Arial" w:cs="Arial" w:eastAsia="Arial" w:hAnsi="Arial"/>
                <w:sz w:val="16"/>
                <w:szCs w:val="16"/>
                <w:color w:val="262626"/>
              </w:rPr>
              <w:t>515,000</w:t>
            </w:r>
          </w:p>
        </w:tc>
        <w:tc>
          <w:tcPr>
            <w:tcW w:w="980" w:type="dxa"/>
            <w:vAlign w:val="bottom"/>
          </w:tcPr>
          <w:p>
            <w:pPr>
              <w:jc w:val="right"/>
              <w:spacing w:after="0"/>
              <w:rPr>
                <w:sz w:val="20"/>
                <w:szCs w:val="20"/>
                <w:color w:val="auto"/>
              </w:rPr>
            </w:pPr>
            <w:r>
              <w:rPr>
                <w:rFonts w:ascii="Arial" w:cs="Arial" w:eastAsia="Arial" w:hAnsi="Arial"/>
                <w:sz w:val="16"/>
                <w:szCs w:val="16"/>
                <w:color w:val="262626"/>
              </w:rPr>
              <w:t>515,000</w:t>
            </w:r>
          </w:p>
        </w:tc>
        <w:tc>
          <w:tcPr>
            <w:tcW w:w="1320" w:type="dxa"/>
            <w:vAlign w:val="bottom"/>
          </w:tcPr>
          <w:p>
            <w:pPr>
              <w:jc w:val="center"/>
              <w:spacing w:after="0"/>
              <w:rPr>
                <w:sz w:val="20"/>
                <w:szCs w:val="20"/>
                <w:color w:val="auto"/>
              </w:rPr>
            </w:pPr>
            <w:r>
              <w:rPr>
                <w:rFonts w:ascii="Arial" w:cs="Arial" w:eastAsia="Arial" w:hAnsi="Arial"/>
                <w:sz w:val="16"/>
                <w:szCs w:val="16"/>
                <w:color w:val="262626"/>
                <w:w w:val="98"/>
              </w:rPr>
              <w:t>30,896</w:t>
            </w:r>
          </w:p>
        </w:tc>
        <w:tc>
          <w:tcPr>
            <w:tcW w:w="1560" w:type="dxa"/>
            <w:vAlign w:val="bottom"/>
          </w:tcPr>
          <w:p>
            <w:pPr>
              <w:jc w:val="right"/>
              <w:ind w:right="381"/>
              <w:spacing w:after="0"/>
              <w:rPr>
                <w:sz w:val="20"/>
                <w:szCs w:val="20"/>
                <w:color w:val="auto"/>
              </w:rPr>
            </w:pPr>
            <w:r>
              <w:rPr>
                <w:rFonts w:ascii="Arial" w:cs="Arial" w:eastAsia="Arial" w:hAnsi="Arial"/>
                <w:sz w:val="16"/>
                <w:szCs w:val="16"/>
                <w:color w:val="262626"/>
              </w:rPr>
              <w:t>286,232,231</w:t>
            </w:r>
          </w:p>
        </w:tc>
        <w:tc>
          <w:tcPr>
            <w:tcW w:w="1260" w:type="dxa"/>
            <w:vAlign w:val="bottom"/>
          </w:tcPr>
          <w:p>
            <w:pPr>
              <w:jc w:val="right"/>
              <w:spacing w:after="0"/>
              <w:rPr>
                <w:sz w:val="20"/>
                <w:szCs w:val="20"/>
                <w:color w:val="auto"/>
              </w:rPr>
            </w:pPr>
            <w:r>
              <w:rPr>
                <w:rFonts w:ascii="Arial" w:cs="Arial" w:eastAsia="Arial" w:hAnsi="Arial"/>
                <w:sz w:val="16"/>
                <w:szCs w:val="16"/>
                <w:color w:val="262626"/>
              </w:rPr>
              <w:t>287,293,127</w:t>
            </w:r>
          </w:p>
        </w:tc>
      </w:tr>
      <w:tr>
        <w:trPr>
          <w:trHeight w:val="499"/>
        </w:trPr>
        <w:tc>
          <w:tcPr>
            <w:tcW w:w="2220" w:type="dxa"/>
            <w:vAlign w:val="bottom"/>
          </w:tcPr>
          <w:p>
            <w:pPr>
              <w:spacing w:after="0"/>
              <w:rPr>
                <w:sz w:val="20"/>
                <w:szCs w:val="20"/>
                <w:color w:val="auto"/>
              </w:rPr>
            </w:pPr>
            <w:r>
              <w:rPr>
                <w:rFonts w:ascii="Arial" w:cs="Arial" w:eastAsia="Arial" w:hAnsi="Arial"/>
                <w:sz w:val="16"/>
                <w:szCs w:val="16"/>
                <w:color w:val="262626"/>
              </w:rPr>
              <w:t>Charlie B. Kawwas, Ph.D.</w:t>
            </w:r>
          </w:p>
        </w:tc>
        <w:tc>
          <w:tcPr>
            <w:tcW w:w="1360" w:type="dxa"/>
            <w:vAlign w:val="bottom"/>
          </w:tcPr>
          <w:p>
            <w:pPr>
              <w:jc w:val="right"/>
              <w:spacing w:after="0"/>
              <w:rPr>
                <w:sz w:val="20"/>
                <w:szCs w:val="20"/>
                <w:color w:val="auto"/>
              </w:rPr>
            </w:pPr>
            <w:r>
              <w:rPr>
                <w:rFonts w:ascii="Arial" w:cs="Arial" w:eastAsia="Arial" w:hAnsi="Arial"/>
                <w:sz w:val="16"/>
                <w:szCs w:val="16"/>
                <w:color w:val="262626"/>
              </w:rPr>
              <w:t>721,000</w:t>
            </w:r>
          </w:p>
        </w:tc>
        <w:tc>
          <w:tcPr>
            <w:tcW w:w="980" w:type="dxa"/>
            <w:vAlign w:val="bottom"/>
          </w:tcPr>
          <w:p>
            <w:pPr>
              <w:jc w:val="right"/>
              <w:spacing w:after="0"/>
              <w:rPr>
                <w:sz w:val="20"/>
                <w:szCs w:val="20"/>
                <w:color w:val="auto"/>
              </w:rPr>
            </w:pPr>
            <w:r>
              <w:rPr>
                <w:rFonts w:ascii="Arial" w:cs="Arial" w:eastAsia="Arial" w:hAnsi="Arial"/>
                <w:sz w:val="16"/>
                <w:szCs w:val="16"/>
                <w:color w:val="262626"/>
              </w:rPr>
              <w:t>721,000</w:t>
            </w:r>
          </w:p>
        </w:tc>
        <w:tc>
          <w:tcPr>
            <w:tcW w:w="1320" w:type="dxa"/>
            <w:vAlign w:val="bottom"/>
          </w:tcPr>
          <w:p>
            <w:pPr>
              <w:jc w:val="center"/>
              <w:spacing w:after="0"/>
              <w:rPr>
                <w:sz w:val="20"/>
                <w:szCs w:val="20"/>
                <w:color w:val="auto"/>
              </w:rPr>
            </w:pPr>
            <w:r>
              <w:rPr>
                <w:rFonts w:ascii="Arial" w:cs="Arial" w:eastAsia="Arial" w:hAnsi="Arial"/>
                <w:sz w:val="16"/>
                <w:szCs w:val="16"/>
                <w:color w:val="262626"/>
                <w:w w:val="98"/>
              </w:rPr>
              <w:t>30,742</w:t>
            </w:r>
          </w:p>
        </w:tc>
        <w:tc>
          <w:tcPr>
            <w:tcW w:w="1560" w:type="dxa"/>
            <w:vAlign w:val="bottom"/>
          </w:tcPr>
          <w:p>
            <w:pPr>
              <w:jc w:val="right"/>
              <w:ind w:right="221"/>
              <w:spacing w:after="0"/>
              <w:rPr>
                <w:sz w:val="20"/>
                <w:szCs w:val="20"/>
                <w:color w:val="auto"/>
              </w:rPr>
            </w:pPr>
            <w:r>
              <w:rPr>
                <w:rFonts w:ascii="Arial" w:cs="Arial" w:eastAsia="Arial" w:hAnsi="Arial"/>
                <w:sz w:val="16"/>
                <w:szCs w:val="16"/>
                <w:color w:val="262626"/>
              </w:rPr>
              <w:t>1,159,714,125</w:t>
            </w:r>
            <w:r>
              <w:rPr>
                <w:rFonts w:ascii="Arial" w:cs="Arial" w:eastAsia="Arial" w:hAnsi="Arial"/>
                <w:sz w:val="24"/>
                <w:szCs w:val="24"/>
                <w:color w:val="262626"/>
                <w:vertAlign w:val="superscript"/>
              </w:rPr>
              <w:t>(3)</w:t>
            </w:r>
          </w:p>
        </w:tc>
        <w:tc>
          <w:tcPr>
            <w:tcW w:w="1260" w:type="dxa"/>
            <w:vAlign w:val="bottom"/>
          </w:tcPr>
          <w:p>
            <w:pPr>
              <w:jc w:val="right"/>
              <w:spacing w:after="0"/>
              <w:rPr>
                <w:sz w:val="20"/>
                <w:szCs w:val="20"/>
                <w:color w:val="auto"/>
              </w:rPr>
            </w:pPr>
            <w:r>
              <w:rPr>
                <w:rFonts w:ascii="Arial" w:cs="Arial" w:eastAsia="Arial" w:hAnsi="Arial"/>
                <w:sz w:val="16"/>
                <w:szCs w:val="16"/>
                <w:color w:val="262626"/>
              </w:rPr>
              <w:t>1,161,186,867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76200</wp:posOffset>
            </wp:positionV>
            <wp:extent cx="4343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171" w:lineRule="exact"/>
        <w:rPr>
          <w:sz w:val="20"/>
          <w:szCs w:val="20"/>
          <w:color w:val="auto"/>
        </w:rPr>
      </w:pPr>
    </w:p>
    <w:p>
      <w:pPr>
        <w:ind w:left="1620" w:hanging="344"/>
        <w:spacing w:after="0"/>
        <w:tabs>
          <w:tab w:leader="none" w:pos="1620" w:val="left"/>
        </w:tabs>
        <w:numPr>
          <w:ilvl w:val="0"/>
          <w:numId w:val="40"/>
        </w:numPr>
        <w:rPr>
          <w:rFonts w:ascii="Arial" w:cs="Arial" w:eastAsia="Arial" w:hAnsi="Arial"/>
          <w:sz w:val="14"/>
          <w:szCs w:val="14"/>
          <w:color w:val="262626"/>
        </w:rPr>
      </w:pPr>
      <w:r>
        <w:rPr>
          <w:rFonts w:ascii="Arial" w:cs="Arial" w:eastAsia="Arial" w:hAnsi="Arial"/>
          <w:sz w:val="14"/>
          <w:szCs w:val="14"/>
          <w:color w:val="262626"/>
        </w:rPr>
        <w:t>Represents the cost of our subsidized continued healthcare benefits based on our costs for such coverage as of November 2, 2025.</w:t>
      </w:r>
    </w:p>
    <w:p>
      <w:pPr>
        <w:spacing w:after="0" w:line="120" w:lineRule="exact"/>
        <w:rPr>
          <w:rFonts w:ascii="Arial" w:cs="Arial" w:eastAsia="Arial" w:hAnsi="Arial"/>
          <w:sz w:val="14"/>
          <w:szCs w:val="14"/>
          <w:color w:val="262626"/>
        </w:rPr>
      </w:pPr>
    </w:p>
    <w:p>
      <w:pPr>
        <w:jc w:val="both"/>
        <w:ind w:left="1620" w:right="159" w:hanging="344"/>
        <w:spacing w:after="0" w:line="341" w:lineRule="auto"/>
        <w:tabs>
          <w:tab w:leader="none" w:pos="1620" w:val="left"/>
        </w:tabs>
        <w:numPr>
          <w:ilvl w:val="0"/>
          <w:numId w:val="40"/>
        </w:numPr>
        <w:rPr>
          <w:rFonts w:ascii="Arial" w:cs="Arial" w:eastAsia="Arial" w:hAnsi="Arial"/>
          <w:sz w:val="14"/>
          <w:szCs w:val="14"/>
          <w:color w:val="262626"/>
        </w:rPr>
      </w:pPr>
      <w:r>
        <w:rPr>
          <w:rFonts w:ascii="Arial" w:cs="Arial" w:eastAsia="Arial" w:hAnsi="Arial"/>
          <w:sz w:val="14"/>
          <w:szCs w:val="14"/>
          <w:color w:val="262626"/>
        </w:rPr>
        <w:t>This amount includes the number of shares subject to (i) RSU awards and/or (ii) PSU awards for which the performance goals have been deemed satisfied based on Broadcom’s actual performance immediately prior to November 2, 2025, in each case multiplied by $369.63, the closing price of Broadcom common stock on October 31, 2025 (the last trading day of fiscal 2025).</w:t>
      </w:r>
    </w:p>
    <w:p>
      <w:pPr>
        <w:spacing w:after="0" w:line="25" w:lineRule="exact"/>
        <w:rPr>
          <w:rFonts w:ascii="Arial" w:cs="Arial" w:eastAsia="Arial" w:hAnsi="Arial"/>
          <w:sz w:val="14"/>
          <w:szCs w:val="14"/>
          <w:color w:val="262626"/>
        </w:rPr>
      </w:pPr>
    </w:p>
    <w:p>
      <w:pPr>
        <w:jc w:val="both"/>
        <w:ind w:left="1620" w:right="179" w:hanging="344"/>
        <w:spacing w:after="0" w:line="341" w:lineRule="auto"/>
        <w:tabs>
          <w:tab w:leader="none" w:pos="1620" w:val="left"/>
        </w:tabs>
        <w:numPr>
          <w:ilvl w:val="0"/>
          <w:numId w:val="40"/>
        </w:numPr>
        <w:rPr>
          <w:rFonts w:ascii="Arial" w:cs="Arial" w:eastAsia="Arial" w:hAnsi="Arial"/>
          <w:sz w:val="14"/>
          <w:szCs w:val="14"/>
          <w:color w:val="262626"/>
        </w:rPr>
      </w:pPr>
      <w:r>
        <w:rPr>
          <w:rFonts w:ascii="Arial" w:cs="Arial" w:eastAsia="Arial" w:hAnsi="Arial"/>
          <w:sz w:val="14"/>
          <w:szCs w:val="14"/>
          <w:color w:val="262626"/>
        </w:rPr>
        <w:t>This amount includes the number of shares subject to the 2023 Tan PSU Award and 2023 Kawwas PSU Award (as applicable) based on Broadcom’s performance through a date within 10 days prior to November 2, 2025 multiplied by $369.63, the closing price of Broadcom common stock on October 31, 2025 (the last trading day of fiscal 2025).</w:t>
      </w:r>
    </w:p>
    <w:p>
      <w:pPr>
        <w:spacing w:after="0" w:line="25" w:lineRule="exact"/>
        <w:rPr>
          <w:rFonts w:ascii="Arial" w:cs="Arial" w:eastAsia="Arial" w:hAnsi="Arial"/>
          <w:sz w:val="14"/>
          <w:szCs w:val="14"/>
          <w:color w:val="262626"/>
        </w:rPr>
      </w:pPr>
    </w:p>
    <w:p>
      <w:pPr>
        <w:jc w:val="both"/>
        <w:ind w:left="1620" w:right="179" w:hanging="344"/>
        <w:spacing w:after="0" w:line="375" w:lineRule="auto"/>
        <w:tabs>
          <w:tab w:leader="none" w:pos="1620" w:val="left"/>
        </w:tabs>
        <w:numPr>
          <w:ilvl w:val="0"/>
          <w:numId w:val="40"/>
        </w:numPr>
        <w:rPr>
          <w:rFonts w:ascii="Arial" w:cs="Arial" w:eastAsia="Arial" w:hAnsi="Arial"/>
          <w:sz w:val="14"/>
          <w:szCs w:val="14"/>
          <w:color w:val="262626"/>
        </w:rPr>
      </w:pPr>
      <w:r>
        <w:rPr>
          <w:rFonts w:ascii="Arial" w:cs="Arial" w:eastAsia="Arial" w:hAnsi="Arial"/>
          <w:sz w:val="14"/>
          <w:szCs w:val="14"/>
          <w:color w:val="262626"/>
        </w:rPr>
        <w:t>This amount does not include any shares subject to the 2025 Tan PSU Award as the Performance Period had not commenced prior to November 2, 2025 and any termination as of November 2, 2025 would result in the 2025 Tan PSU Award being forfeited in its entirety.</w:t>
      </w:r>
    </w:p>
    <w:p>
      <w:pPr>
        <w:spacing w:after="0" w:line="254"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850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POTENTIAL PAYMENTS AND BENEFITS UPON CERTAIN TERMINATIONS OF EMPLOYMENT</w:t>
      </w:r>
    </w:p>
    <w:p>
      <w:pPr>
        <w:spacing w:after="0" w:line="160" w:lineRule="exact"/>
        <w:rPr>
          <w:sz w:val="20"/>
          <w:szCs w:val="20"/>
          <w:color w:val="auto"/>
        </w:rPr>
      </w:pPr>
    </w:p>
    <w:p>
      <w:pPr>
        <w:jc w:val="both"/>
        <w:ind w:left="1280" w:right="159"/>
        <w:spacing w:after="0" w:line="337" w:lineRule="auto"/>
        <w:rPr>
          <w:sz w:val="20"/>
          <w:szCs w:val="20"/>
          <w:color w:val="auto"/>
        </w:rPr>
      </w:pPr>
      <w:r>
        <w:rPr>
          <w:rFonts w:ascii="Arial" w:cs="Arial" w:eastAsia="Arial" w:hAnsi="Arial"/>
          <w:sz w:val="16"/>
          <w:szCs w:val="16"/>
          <w:color w:val="262626"/>
        </w:rPr>
        <w:t>The following table reflects the potential payments and benefits to which our NEOs would be entitled under their severance benefits agreements in effect as of the end of fiscal 2025, in the event of a Covered Termination taking place not in connection with a change in control of Broadcom. The amounts presented in the table assume an employment termination date of November 2, 2025 and that all eligibility requirements contemplated by the NEO’s respective agreements and our policies and practices, as applicable, were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57785</wp:posOffset>
            </wp:positionV>
            <wp:extent cx="55225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65"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2140" w:type="dxa"/>
            <w:vAlign w:val="bottom"/>
          </w:tcPr>
          <w:p>
            <w:pPr>
              <w:spacing w:after="0"/>
              <w:rPr>
                <w:sz w:val="16"/>
                <w:szCs w:val="16"/>
                <w:color w:val="auto"/>
              </w:rPr>
            </w:pPr>
          </w:p>
        </w:tc>
        <w:tc>
          <w:tcPr>
            <w:tcW w:w="1280" w:type="dxa"/>
            <w:vAlign w:val="bottom"/>
          </w:tcPr>
          <w:p>
            <w:pPr>
              <w:jc w:val="center"/>
              <w:ind w:left="139"/>
              <w:spacing w:after="0"/>
              <w:rPr>
                <w:sz w:val="20"/>
                <w:szCs w:val="20"/>
                <w:color w:val="auto"/>
              </w:rPr>
            </w:pPr>
            <w:r>
              <w:rPr>
                <w:rFonts w:ascii="Arial" w:cs="Arial" w:eastAsia="Arial" w:hAnsi="Arial"/>
                <w:sz w:val="16"/>
                <w:szCs w:val="16"/>
                <w:b w:val="1"/>
                <w:bCs w:val="1"/>
                <w:color w:val="262626"/>
                <w:w w:val="97"/>
              </w:rPr>
              <w:t>Cash</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262626"/>
                <w:w w:val="97"/>
              </w:rPr>
              <w:t>Cash</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62626"/>
              </w:rPr>
              <w:t>Health Benefits</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262626"/>
                <w:w w:val="96"/>
              </w:rPr>
              <w:t>    Value of RSU/</w:t>
            </w:r>
          </w:p>
        </w:tc>
        <w:tc>
          <w:tcPr>
            <w:tcW w:w="1260" w:type="dxa"/>
            <w:vAlign w:val="bottom"/>
          </w:tcPr>
          <w:p>
            <w:pPr>
              <w:spacing w:after="0"/>
              <w:rPr>
                <w:sz w:val="16"/>
                <w:szCs w:val="16"/>
                <w:color w:val="auto"/>
              </w:rPr>
            </w:pPr>
          </w:p>
        </w:tc>
      </w:tr>
      <w:tr>
        <w:trPr>
          <w:trHeight w:val="188"/>
        </w:trPr>
        <w:tc>
          <w:tcPr>
            <w:tcW w:w="2140" w:type="dxa"/>
            <w:vAlign w:val="bottom"/>
          </w:tcPr>
          <w:p>
            <w:pPr>
              <w:spacing w:after="0"/>
              <w:rPr>
                <w:sz w:val="16"/>
                <w:szCs w:val="16"/>
                <w:color w:val="auto"/>
              </w:rPr>
            </w:pPr>
          </w:p>
        </w:tc>
        <w:tc>
          <w:tcPr>
            <w:tcW w:w="1280" w:type="dxa"/>
            <w:vAlign w:val="bottom"/>
          </w:tcPr>
          <w:p>
            <w:pPr>
              <w:jc w:val="center"/>
              <w:ind w:left="139"/>
              <w:spacing w:after="0"/>
              <w:rPr>
                <w:sz w:val="20"/>
                <w:szCs w:val="20"/>
                <w:color w:val="auto"/>
              </w:rPr>
            </w:pPr>
            <w:r>
              <w:rPr>
                <w:rFonts w:ascii="Arial" w:cs="Arial" w:eastAsia="Arial" w:hAnsi="Arial"/>
                <w:sz w:val="16"/>
                <w:szCs w:val="16"/>
                <w:b w:val="1"/>
                <w:bCs w:val="1"/>
                <w:color w:val="262626"/>
              </w:rPr>
              <w:t>Severance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262626"/>
              </w:rPr>
              <w:t>Severance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62626"/>
              </w:rPr>
              <w:t>Continuation</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262626"/>
                <w:w w:val="92"/>
              </w:rPr>
              <w:t>    PSU</w:t>
            </w:r>
          </w:p>
        </w:tc>
        <w:tc>
          <w:tcPr>
            <w:tcW w:w="1260" w:type="dxa"/>
            <w:vAlign w:val="bottom"/>
          </w:tcPr>
          <w:p>
            <w:pPr>
              <w:spacing w:after="0"/>
              <w:rPr>
                <w:sz w:val="16"/>
                <w:szCs w:val="16"/>
                <w:color w:val="auto"/>
              </w:rPr>
            </w:pPr>
          </w:p>
        </w:tc>
      </w:tr>
      <w:tr>
        <w:trPr>
          <w:trHeight w:val="188"/>
        </w:trPr>
        <w:tc>
          <w:tcPr>
            <w:tcW w:w="2140" w:type="dxa"/>
            <w:vAlign w:val="bottom"/>
          </w:tcPr>
          <w:p>
            <w:pPr>
              <w:spacing w:after="0"/>
              <w:rPr>
                <w:sz w:val="16"/>
                <w:szCs w:val="16"/>
                <w:color w:val="auto"/>
              </w:rPr>
            </w:pPr>
          </w:p>
        </w:tc>
        <w:tc>
          <w:tcPr>
            <w:tcW w:w="1280" w:type="dxa"/>
            <w:vAlign w:val="bottom"/>
          </w:tcPr>
          <w:p>
            <w:pPr>
              <w:jc w:val="center"/>
              <w:ind w:left="139"/>
              <w:spacing w:after="0"/>
              <w:rPr>
                <w:sz w:val="20"/>
                <w:szCs w:val="20"/>
                <w:color w:val="auto"/>
              </w:rPr>
            </w:pPr>
            <w:r>
              <w:rPr>
                <w:rFonts w:ascii="Arial" w:cs="Arial" w:eastAsia="Arial" w:hAnsi="Arial"/>
                <w:sz w:val="16"/>
                <w:szCs w:val="16"/>
                <w:b w:val="1"/>
                <w:bCs w:val="1"/>
                <w:color w:val="262626"/>
                <w:w w:val="99"/>
              </w:rPr>
              <w:t>Base Salary</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262626"/>
              </w:rPr>
              <w:t>Bonus</w:t>
            </w:r>
          </w:p>
        </w:tc>
        <w:tc>
          <w:tcPr>
            <w:tcW w:w="1300" w:type="dxa"/>
            <w:vAlign w:val="bottom"/>
          </w:tcPr>
          <w:p>
            <w:pPr>
              <w:jc w:val="center"/>
              <w:spacing w:after="0" w:line="188" w:lineRule="exact"/>
              <w:rPr>
                <w:sz w:val="20"/>
                <w:szCs w:val="20"/>
                <w:color w:val="auto"/>
              </w:rPr>
            </w:pPr>
            <w:r>
              <w:rPr>
                <w:rFonts w:ascii="Arial" w:cs="Arial" w:eastAsia="Arial" w:hAnsi="Arial"/>
                <w:sz w:val="14"/>
                <w:szCs w:val="14"/>
                <w:b w:val="1"/>
                <w:bCs w:val="1"/>
                <w:color w:val="262626"/>
              </w:rPr>
              <w:t>Coverage</w:t>
            </w:r>
            <w:r>
              <w:rPr>
                <w:rFonts w:ascii="Arial" w:cs="Arial" w:eastAsia="Arial" w:hAnsi="Arial"/>
                <w:sz w:val="21"/>
                <w:szCs w:val="21"/>
                <w:b w:val="1"/>
                <w:bCs w:val="1"/>
                <w:color w:val="262626"/>
                <w:vertAlign w:val="superscript"/>
              </w:rPr>
              <w:t>(1)</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262626"/>
                <w:w w:val="95"/>
              </w:rPr>
              <w:t>    Acceleration</w:t>
            </w: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262626"/>
              </w:rPr>
              <w:t>Total</w:t>
            </w:r>
          </w:p>
        </w:tc>
      </w:tr>
      <w:tr>
        <w:trPr>
          <w:trHeight w:val="235"/>
        </w:trPr>
        <w:tc>
          <w:tcPr>
            <w:tcW w:w="2140" w:type="dxa"/>
            <w:vAlign w:val="bottom"/>
          </w:tcPr>
          <w:p>
            <w:pPr>
              <w:spacing w:after="0"/>
              <w:rPr>
                <w:sz w:val="20"/>
                <w:szCs w:val="20"/>
                <w:color w:val="auto"/>
              </w:rPr>
            </w:pPr>
            <w:r>
              <w:rPr>
                <w:rFonts w:ascii="Arial" w:cs="Arial" w:eastAsia="Arial" w:hAnsi="Arial"/>
                <w:sz w:val="16"/>
                <w:szCs w:val="16"/>
                <w:b w:val="1"/>
                <w:bCs w:val="1"/>
                <w:color w:val="262626"/>
              </w:rPr>
              <w:t>Name</w:t>
            </w:r>
          </w:p>
        </w:tc>
        <w:tc>
          <w:tcPr>
            <w:tcW w:w="1280" w:type="dxa"/>
            <w:vAlign w:val="bottom"/>
          </w:tcPr>
          <w:p>
            <w:pPr>
              <w:jc w:val="center"/>
              <w:ind w:left="119"/>
              <w:spacing w:after="0"/>
              <w:rPr>
                <w:sz w:val="20"/>
                <w:szCs w:val="20"/>
                <w:color w:val="auto"/>
              </w:rPr>
            </w:pPr>
            <w:r>
              <w:rPr>
                <w:rFonts w:ascii="Arial" w:cs="Arial" w:eastAsia="Arial" w:hAnsi="Arial"/>
                <w:sz w:val="16"/>
                <w:szCs w:val="16"/>
                <w:b w:val="1"/>
                <w:bCs w:val="1"/>
                <w:color w:val="262626"/>
              </w:rPr>
              <w:t>($)</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262626"/>
              </w:rPr>
              <w: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262626"/>
              </w:rPr>
              <w:t>($)</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262626"/>
                <w:w w:val="87"/>
              </w:rPr>
              <w:t>    ($)</w:t>
            </w:r>
          </w:p>
        </w:tc>
        <w:tc>
          <w:tcPr>
            <w:tcW w:w="1260" w:type="dxa"/>
            <w:vAlign w:val="bottom"/>
          </w:tcPr>
          <w:p>
            <w:pPr>
              <w:jc w:val="right"/>
              <w:ind w:right="419"/>
              <w:spacing w:after="0"/>
              <w:rPr>
                <w:sz w:val="20"/>
                <w:szCs w:val="20"/>
                <w:color w:val="auto"/>
              </w:rPr>
            </w:pPr>
            <w:r>
              <w:rPr>
                <w:rFonts w:ascii="Arial" w:cs="Arial" w:eastAsia="Arial" w:hAnsi="Arial"/>
                <w:sz w:val="16"/>
                <w:szCs w:val="16"/>
                <w:b w:val="1"/>
                <w:bCs w:val="1"/>
                <w:color w:val="262626"/>
              </w:rPr>
              <w:t>($)</w:t>
            </w:r>
          </w:p>
        </w:tc>
      </w:tr>
      <w:tr>
        <w:trPr>
          <w:trHeight w:val="47"/>
        </w:trPr>
        <w:tc>
          <w:tcPr>
            <w:tcW w:w="2140" w:type="dxa"/>
            <w:vAlign w:val="bottom"/>
            <w:tcBorders>
              <w:bottom w:val="single" w:sz="8" w:color="CF0A2C"/>
            </w:tcBorders>
          </w:tcPr>
          <w:p>
            <w:pPr>
              <w:spacing w:after="0"/>
              <w:rPr>
                <w:sz w:val="4"/>
                <w:szCs w:val="4"/>
                <w:color w:val="auto"/>
              </w:rPr>
            </w:pPr>
          </w:p>
        </w:tc>
        <w:tc>
          <w:tcPr>
            <w:tcW w:w="1280" w:type="dxa"/>
            <w:vAlign w:val="bottom"/>
            <w:tcBorders>
              <w:bottom w:val="single" w:sz="8" w:color="CF0A2C"/>
            </w:tcBorders>
          </w:tcPr>
          <w:p>
            <w:pPr>
              <w:spacing w:after="0"/>
              <w:rPr>
                <w:sz w:val="4"/>
                <w:szCs w:val="4"/>
                <w:color w:val="auto"/>
              </w:rPr>
            </w:pPr>
          </w:p>
        </w:tc>
        <w:tc>
          <w:tcPr>
            <w:tcW w:w="980" w:type="dxa"/>
            <w:vAlign w:val="bottom"/>
            <w:tcBorders>
              <w:bottom w:val="single" w:sz="8" w:color="CF0A2C"/>
            </w:tcBorders>
          </w:tcPr>
          <w:p>
            <w:pPr>
              <w:spacing w:after="0"/>
              <w:rPr>
                <w:sz w:val="4"/>
                <w:szCs w:val="4"/>
                <w:color w:val="auto"/>
              </w:rPr>
            </w:pPr>
          </w:p>
        </w:tc>
        <w:tc>
          <w:tcPr>
            <w:tcW w:w="1300" w:type="dxa"/>
            <w:vAlign w:val="bottom"/>
            <w:tcBorders>
              <w:bottom w:val="single" w:sz="8" w:color="CF0A2C"/>
            </w:tcBorders>
          </w:tcPr>
          <w:p>
            <w:pPr>
              <w:spacing w:after="0"/>
              <w:rPr>
                <w:sz w:val="4"/>
                <w:szCs w:val="4"/>
                <w:color w:val="auto"/>
              </w:rPr>
            </w:pPr>
          </w:p>
        </w:tc>
        <w:tc>
          <w:tcPr>
            <w:tcW w:w="1740" w:type="dxa"/>
            <w:vAlign w:val="bottom"/>
            <w:tcBorders>
              <w:bottom w:val="single" w:sz="8" w:color="CF0A2C"/>
            </w:tcBorders>
          </w:tcPr>
          <w:p>
            <w:pPr>
              <w:spacing w:after="0"/>
              <w:rPr>
                <w:sz w:val="4"/>
                <w:szCs w:val="4"/>
                <w:color w:val="auto"/>
              </w:rPr>
            </w:pPr>
          </w:p>
        </w:tc>
        <w:tc>
          <w:tcPr>
            <w:tcW w:w="1260" w:type="dxa"/>
            <w:vAlign w:val="bottom"/>
            <w:tcBorders>
              <w:bottom w:val="single" w:sz="8" w:color="CF0A2C"/>
            </w:tcBorders>
          </w:tcPr>
          <w:p>
            <w:pPr>
              <w:spacing w:after="0"/>
              <w:rPr>
                <w:sz w:val="4"/>
                <w:szCs w:val="4"/>
                <w:color w:val="auto"/>
              </w:rPr>
            </w:pPr>
          </w:p>
        </w:tc>
      </w:tr>
      <w:tr>
        <w:trPr>
          <w:trHeight w:val="383"/>
        </w:trPr>
        <w:tc>
          <w:tcPr>
            <w:tcW w:w="2140" w:type="dxa"/>
            <w:vAlign w:val="bottom"/>
          </w:tcPr>
          <w:p>
            <w:pPr>
              <w:spacing w:after="0"/>
              <w:rPr>
                <w:sz w:val="20"/>
                <w:szCs w:val="20"/>
                <w:color w:val="auto"/>
              </w:rPr>
            </w:pPr>
            <w:r>
              <w:rPr>
                <w:rFonts w:ascii="Arial" w:cs="Arial" w:eastAsia="Arial" w:hAnsi="Arial"/>
                <w:sz w:val="16"/>
                <w:szCs w:val="16"/>
                <w:color w:val="262626"/>
              </w:rPr>
              <w:t>Hock E. Tan</w:t>
            </w:r>
          </w:p>
        </w:tc>
        <w:tc>
          <w:tcPr>
            <w:tcW w:w="1280" w:type="dxa"/>
            <w:vAlign w:val="bottom"/>
          </w:tcPr>
          <w:p>
            <w:pPr>
              <w:jc w:val="right"/>
              <w:spacing w:after="0"/>
              <w:rPr>
                <w:sz w:val="20"/>
                <w:szCs w:val="20"/>
                <w:color w:val="auto"/>
              </w:rPr>
            </w:pPr>
            <w:r>
              <w:rPr>
                <w:rFonts w:ascii="Arial" w:cs="Arial" w:eastAsia="Arial" w:hAnsi="Arial"/>
                <w:sz w:val="16"/>
                <w:szCs w:val="16"/>
                <w:color w:val="262626"/>
              </w:rPr>
              <w:t>1,200,000</w:t>
            </w:r>
          </w:p>
        </w:tc>
        <w:tc>
          <w:tcPr>
            <w:tcW w:w="980" w:type="dxa"/>
            <w:vAlign w:val="bottom"/>
          </w:tcPr>
          <w:p>
            <w:pPr>
              <w:jc w:val="right"/>
              <w:spacing w:after="0"/>
              <w:rPr>
                <w:sz w:val="20"/>
                <w:szCs w:val="20"/>
                <w:color w:val="auto"/>
              </w:rPr>
            </w:pPr>
            <w:r>
              <w:rPr>
                <w:rFonts w:ascii="Arial" w:cs="Arial" w:eastAsia="Arial" w:hAnsi="Arial"/>
                <w:sz w:val="16"/>
                <w:szCs w:val="16"/>
                <w:color w:val="262626"/>
              </w:rPr>
              <w:t>—</w:t>
            </w:r>
          </w:p>
        </w:tc>
        <w:tc>
          <w:tcPr>
            <w:tcW w:w="1300" w:type="dxa"/>
            <w:vAlign w:val="bottom"/>
          </w:tcPr>
          <w:p>
            <w:pPr>
              <w:jc w:val="center"/>
              <w:spacing w:after="0"/>
              <w:rPr>
                <w:sz w:val="20"/>
                <w:szCs w:val="20"/>
                <w:color w:val="auto"/>
              </w:rPr>
            </w:pPr>
            <w:r>
              <w:rPr>
                <w:rFonts w:ascii="Arial" w:cs="Arial" w:eastAsia="Arial" w:hAnsi="Arial"/>
                <w:sz w:val="16"/>
                <w:szCs w:val="16"/>
                <w:color w:val="262626"/>
              </w:rPr>
              <w:t>17,682</w:t>
            </w:r>
          </w:p>
        </w:tc>
        <w:tc>
          <w:tcPr>
            <w:tcW w:w="1740" w:type="dxa"/>
            <w:vAlign w:val="bottom"/>
          </w:tcPr>
          <w:p>
            <w:pPr>
              <w:jc w:val="right"/>
              <w:ind w:right="79"/>
              <w:spacing w:after="0"/>
              <w:rPr>
                <w:sz w:val="20"/>
                <w:szCs w:val="20"/>
                <w:color w:val="auto"/>
              </w:rPr>
            </w:pPr>
            <w:r>
              <w:rPr>
                <w:rFonts w:ascii="Arial" w:cs="Arial" w:eastAsia="Arial" w:hAnsi="Arial"/>
                <w:sz w:val="16"/>
                <w:szCs w:val="16"/>
                <w:color w:val="262626"/>
                <w:w w:val="91"/>
              </w:rPr>
              <w:t>    3,696,300,000</w:t>
            </w:r>
            <w:r>
              <w:rPr>
                <w:rFonts w:ascii="Arial" w:cs="Arial" w:eastAsia="Arial" w:hAnsi="Arial"/>
                <w:sz w:val="24"/>
                <w:szCs w:val="24"/>
                <w:color w:val="262626"/>
                <w:w w:val="91"/>
                <w:vertAlign w:val="superscript"/>
              </w:rPr>
              <w:t>(2)(3)</w:t>
            </w:r>
          </w:p>
        </w:tc>
        <w:tc>
          <w:tcPr>
            <w:tcW w:w="1260" w:type="dxa"/>
            <w:vAlign w:val="bottom"/>
          </w:tcPr>
          <w:p>
            <w:pPr>
              <w:jc w:val="right"/>
              <w:spacing w:after="0"/>
              <w:rPr>
                <w:sz w:val="20"/>
                <w:szCs w:val="20"/>
                <w:color w:val="auto"/>
              </w:rPr>
            </w:pPr>
            <w:r>
              <w:rPr>
                <w:rFonts w:ascii="Arial" w:cs="Arial" w:eastAsia="Arial" w:hAnsi="Arial"/>
                <w:sz w:val="16"/>
                <w:szCs w:val="16"/>
                <w:color w:val="262626"/>
              </w:rPr>
              <w:t>3,697,517,682</w:t>
            </w:r>
          </w:p>
        </w:tc>
      </w:tr>
      <w:tr>
        <w:trPr>
          <w:trHeight w:val="279"/>
        </w:trPr>
        <w:tc>
          <w:tcPr>
            <w:tcW w:w="2140" w:type="dxa"/>
            <w:vAlign w:val="bottom"/>
          </w:tcPr>
          <w:p>
            <w:pPr>
              <w:spacing w:after="0"/>
              <w:rPr>
                <w:sz w:val="20"/>
                <w:szCs w:val="20"/>
                <w:color w:val="auto"/>
              </w:rPr>
            </w:pPr>
            <w:r>
              <w:rPr>
                <w:rFonts w:ascii="Arial" w:cs="Arial" w:eastAsia="Arial" w:hAnsi="Arial"/>
                <w:sz w:val="16"/>
                <w:szCs w:val="16"/>
                <w:color w:val="262626"/>
              </w:rPr>
              <w:t>Kirsten M. Spears</w:t>
            </w:r>
          </w:p>
        </w:tc>
        <w:tc>
          <w:tcPr>
            <w:tcW w:w="1280" w:type="dxa"/>
            <w:vAlign w:val="bottom"/>
          </w:tcPr>
          <w:p>
            <w:pPr>
              <w:jc w:val="right"/>
              <w:spacing w:after="0"/>
              <w:rPr>
                <w:sz w:val="20"/>
                <w:szCs w:val="20"/>
                <w:color w:val="auto"/>
              </w:rPr>
            </w:pPr>
            <w:r>
              <w:rPr>
                <w:rFonts w:ascii="Arial" w:cs="Arial" w:eastAsia="Arial" w:hAnsi="Arial"/>
                <w:sz w:val="16"/>
                <w:szCs w:val="16"/>
                <w:color w:val="262626"/>
              </w:rPr>
              <w:t>309,000</w:t>
            </w:r>
          </w:p>
        </w:tc>
        <w:tc>
          <w:tcPr>
            <w:tcW w:w="980" w:type="dxa"/>
            <w:vAlign w:val="bottom"/>
          </w:tcPr>
          <w:p>
            <w:pPr>
              <w:jc w:val="right"/>
              <w:spacing w:after="0"/>
              <w:rPr>
                <w:sz w:val="20"/>
                <w:szCs w:val="20"/>
                <w:color w:val="auto"/>
              </w:rPr>
            </w:pPr>
            <w:r>
              <w:rPr>
                <w:rFonts w:ascii="Arial" w:cs="Arial" w:eastAsia="Arial" w:hAnsi="Arial"/>
                <w:sz w:val="16"/>
                <w:szCs w:val="16"/>
                <w:color w:val="262626"/>
              </w:rPr>
              <w:t>206,000</w:t>
            </w:r>
          </w:p>
        </w:tc>
        <w:tc>
          <w:tcPr>
            <w:tcW w:w="1300" w:type="dxa"/>
            <w:vAlign w:val="bottom"/>
          </w:tcPr>
          <w:p>
            <w:pPr>
              <w:jc w:val="center"/>
              <w:spacing w:after="0"/>
              <w:rPr>
                <w:sz w:val="20"/>
                <w:szCs w:val="20"/>
                <w:color w:val="auto"/>
              </w:rPr>
            </w:pPr>
            <w:r>
              <w:rPr>
                <w:rFonts w:ascii="Arial" w:cs="Arial" w:eastAsia="Arial" w:hAnsi="Arial"/>
                <w:sz w:val="16"/>
                <w:szCs w:val="16"/>
                <w:color w:val="262626"/>
              </w:rPr>
              <w:t>15,544</w:t>
            </w:r>
          </w:p>
        </w:tc>
        <w:tc>
          <w:tcPr>
            <w:tcW w:w="1740" w:type="dxa"/>
            <w:vAlign w:val="bottom"/>
          </w:tcPr>
          <w:p>
            <w:pPr>
              <w:jc w:val="right"/>
              <w:ind w:right="379"/>
              <w:spacing w:after="0"/>
              <w:rPr>
                <w:sz w:val="20"/>
                <w:szCs w:val="20"/>
                <w:color w:val="auto"/>
              </w:rPr>
            </w:pPr>
            <w:r>
              <w:rPr>
                <w:rFonts w:ascii="Arial" w:cs="Arial" w:eastAsia="Arial" w:hAnsi="Arial"/>
                <w:sz w:val="16"/>
                <w:szCs w:val="16"/>
                <w:color w:val="262626"/>
              </w:rPr>
              <w:t>—</w:t>
            </w:r>
          </w:p>
        </w:tc>
        <w:tc>
          <w:tcPr>
            <w:tcW w:w="1260" w:type="dxa"/>
            <w:vAlign w:val="bottom"/>
          </w:tcPr>
          <w:p>
            <w:pPr>
              <w:jc w:val="right"/>
              <w:spacing w:after="0"/>
              <w:rPr>
                <w:sz w:val="20"/>
                <w:szCs w:val="20"/>
                <w:color w:val="auto"/>
              </w:rPr>
            </w:pPr>
            <w:r>
              <w:rPr>
                <w:rFonts w:ascii="Arial" w:cs="Arial" w:eastAsia="Arial" w:hAnsi="Arial"/>
                <w:sz w:val="16"/>
                <w:szCs w:val="16"/>
                <w:color w:val="262626"/>
              </w:rPr>
              <w:t>530,544</w:t>
            </w:r>
          </w:p>
        </w:tc>
      </w:tr>
      <w:tr>
        <w:trPr>
          <w:trHeight w:val="389"/>
        </w:trPr>
        <w:tc>
          <w:tcPr>
            <w:tcW w:w="2140" w:type="dxa"/>
            <w:vAlign w:val="bottom"/>
          </w:tcPr>
          <w:p>
            <w:pPr>
              <w:spacing w:after="0"/>
              <w:rPr>
                <w:sz w:val="20"/>
                <w:szCs w:val="20"/>
                <w:color w:val="auto"/>
              </w:rPr>
            </w:pPr>
            <w:r>
              <w:rPr>
                <w:rFonts w:ascii="Arial" w:cs="Arial" w:eastAsia="Arial" w:hAnsi="Arial"/>
                <w:sz w:val="16"/>
                <w:szCs w:val="16"/>
                <w:color w:val="262626"/>
              </w:rPr>
              <w:t>Mark D. Brazeal</w:t>
            </w:r>
          </w:p>
        </w:tc>
        <w:tc>
          <w:tcPr>
            <w:tcW w:w="1280" w:type="dxa"/>
            <w:vAlign w:val="bottom"/>
          </w:tcPr>
          <w:p>
            <w:pPr>
              <w:jc w:val="right"/>
              <w:spacing w:after="0"/>
              <w:rPr>
                <w:sz w:val="20"/>
                <w:szCs w:val="20"/>
                <w:color w:val="auto"/>
              </w:rPr>
            </w:pPr>
            <w:r>
              <w:rPr>
                <w:rFonts w:ascii="Arial" w:cs="Arial" w:eastAsia="Arial" w:hAnsi="Arial"/>
                <w:sz w:val="16"/>
                <w:szCs w:val="16"/>
                <w:color w:val="262626"/>
              </w:rPr>
              <w:t>386,250</w:t>
            </w:r>
          </w:p>
        </w:tc>
        <w:tc>
          <w:tcPr>
            <w:tcW w:w="980" w:type="dxa"/>
            <w:vAlign w:val="bottom"/>
          </w:tcPr>
          <w:p>
            <w:pPr>
              <w:jc w:val="right"/>
              <w:spacing w:after="0"/>
              <w:rPr>
                <w:sz w:val="20"/>
                <w:szCs w:val="20"/>
                <w:color w:val="auto"/>
              </w:rPr>
            </w:pPr>
            <w:r>
              <w:rPr>
                <w:rFonts w:ascii="Arial" w:cs="Arial" w:eastAsia="Arial" w:hAnsi="Arial"/>
                <w:sz w:val="16"/>
                <w:szCs w:val="16"/>
                <w:color w:val="262626"/>
              </w:rPr>
              <w:t>257,500</w:t>
            </w:r>
          </w:p>
        </w:tc>
        <w:tc>
          <w:tcPr>
            <w:tcW w:w="1300" w:type="dxa"/>
            <w:vAlign w:val="bottom"/>
          </w:tcPr>
          <w:p>
            <w:pPr>
              <w:jc w:val="center"/>
              <w:spacing w:after="0"/>
              <w:rPr>
                <w:sz w:val="20"/>
                <w:szCs w:val="20"/>
                <w:color w:val="auto"/>
              </w:rPr>
            </w:pPr>
            <w:r>
              <w:rPr>
                <w:rFonts w:ascii="Arial" w:cs="Arial" w:eastAsia="Arial" w:hAnsi="Arial"/>
                <w:sz w:val="16"/>
                <w:szCs w:val="16"/>
                <w:color w:val="262626"/>
              </w:rPr>
              <w:t>15,448</w:t>
            </w:r>
          </w:p>
        </w:tc>
        <w:tc>
          <w:tcPr>
            <w:tcW w:w="1740" w:type="dxa"/>
            <w:vAlign w:val="bottom"/>
          </w:tcPr>
          <w:p>
            <w:pPr>
              <w:jc w:val="right"/>
              <w:ind w:right="379"/>
              <w:spacing w:after="0"/>
              <w:rPr>
                <w:sz w:val="20"/>
                <w:szCs w:val="20"/>
                <w:color w:val="auto"/>
              </w:rPr>
            </w:pPr>
            <w:r>
              <w:rPr>
                <w:rFonts w:ascii="Arial" w:cs="Arial" w:eastAsia="Arial" w:hAnsi="Arial"/>
                <w:sz w:val="16"/>
                <w:szCs w:val="16"/>
                <w:color w:val="262626"/>
              </w:rPr>
              <w:t>—</w:t>
            </w:r>
          </w:p>
        </w:tc>
        <w:tc>
          <w:tcPr>
            <w:tcW w:w="1260" w:type="dxa"/>
            <w:vAlign w:val="bottom"/>
          </w:tcPr>
          <w:p>
            <w:pPr>
              <w:jc w:val="right"/>
              <w:spacing w:after="0"/>
              <w:rPr>
                <w:sz w:val="20"/>
                <w:szCs w:val="20"/>
                <w:color w:val="auto"/>
              </w:rPr>
            </w:pPr>
            <w:r>
              <w:rPr>
                <w:rFonts w:ascii="Arial" w:cs="Arial" w:eastAsia="Arial" w:hAnsi="Arial"/>
                <w:sz w:val="16"/>
                <w:szCs w:val="16"/>
                <w:color w:val="262626"/>
              </w:rPr>
              <w:t>659,198</w:t>
            </w:r>
          </w:p>
        </w:tc>
      </w:tr>
      <w:tr>
        <w:trPr>
          <w:trHeight w:val="499"/>
        </w:trPr>
        <w:tc>
          <w:tcPr>
            <w:tcW w:w="2140" w:type="dxa"/>
            <w:vAlign w:val="bottom"/>
          </w:tcPr>
          <w:p>
            <w:pPr>
              <w:spacing w:after="0"/>
              <w:rPr>
                <w:sz w:val="20"/>
                <w:szCs w:val="20"/>
                <w:color w:val="auto"/>
              </w:rPr>
            </w:pPr>
            <w:r>
              <w:rPr>
                <w:rFonts w:ascii="Arial" w:cs="Arial" w:eastAsia="Arial" w:hAnsi="Arial"/>
                <w:sz w:val="16"/>
                <w:szCs w:val="16"/>
                <w:color w:val="262626"/>
              </w:rPr>
              <w:t>Charlie B. Kawwas, Ph.D.</w:t>
            </w:r>
          </w:p>
        </w:tc>
        <w:tc>
          <w:tcPr>
            <w:tcW w:w="1280" w:type="dxa"/>
            <w:vAlign w:val="bottom"/>
          </w:tcPr>
          <w:p>
            <w:pPr>
              <w:jc w:val="right"/>
              <w:spacing w:after="0"/>
              <w:rPr>
                <w:sz w:val="20"/>
                <w:szCs w:val="20"/>
                <w:color w:val="auto"/>
              </w:rPr>
            </w:pPr>
            <w:r>
              <w:rPr>
                <w:rFonts w:ascii="Arial" w:cs="Arial" w:eastAsia="Arial" w:hAnsi="Arial"/>
                <w:sz w:val="16"/>
                <w:szCs w:val="16"/>
                <w:color w:val="262626"/>
              </w:rPr>
              <w:t>540,750</w:t>
            </w:r>
          </w:p>
        </w:tc>
        <w:tc>
          <w:tcPr>
            <w:tcW w:w="980" w:type="dxa"/>
            <w:vAlign w:val="bottom"/>
          </w:tcPr>
          <w:p>
            <w:pPr>
              <w:jc w:val="right"/>
              <w:spacing w:after="0"/>
              <w:rPr>
                <w:sz w:val="20"/>
                <w:szCs w:val="20"/>
                <w:color w:val="auto"/>
              </w:rPr>
            </w:pPr>
            <w:r>
              <w:rPr>
                <w:rFonts w:ascii="Arial" w:cs="Arial" w:eastAsia="Arial" w:hAnsi="Arial"/>
                <w:sz w:val="16"/>
                <w:szCs w:val="16"/>
                <w:color w:val="262626"/>
              </w:rPr>
              <w:t>360,500</w:t>
            </w:r>
          </w:p>
        </w:tc>
        <w:tc>
          <w:tcPr>
            <w:tcW w:w="1300" w:type="dxa"/>
            <w:vAlign w:val="bottom"/>
          </w:tcPr>
          <w:p>
            <w:pPr>
              <w:jc w:val="center"/>
              <w:spacing w:after="0"/>
              <w:rPr>
                <w:sz w:val="20"/>
                <w:szCs w:val="20"/>
                <w:color w:val="auto"/>
              </w:rPr>
            </w:pPr>
            <w:r>
              <w:rPr>
                <w:rFonts w:ascii="Arial" w:cs="Arial" w:eastAsia="Arial" w:hAnsi="Arial"/>
                <w:sz w:val="16"/>
                <w:szCs w:val="16"/>
                <w:color w:val="262626"/>
              </w:rPr>
              <w:t>15,371</w:t>
            </w:r>
          </w:p>
        </w:tc>
        <w:tc>
          <w:tcPr>
            <w:tcW w:w="1740" w:type="dxa"/>
            <w:vAlign w:val="bottom"/>
          </w:tcPr>
          <w:p>
            <w:pPr>
              <w:jc w:val="right"/>
              <w:ind w:right="219"/>
              <w:spacing w:after="0"/>
              <w:rPr>
                <w:sz w:val="20"/>
                <w:szCs w:val="20"/>
                <w:color w:val="auto"/>
              </w:rPr>
            </w:pPr>
            <w:r>
              <w:rPr>
                <w:rFonts w:ascii="Arial" w:cs="Arial" w:eastAsia="Arial" w:hAnsi="Arial"/>
                <w:sz w:val="16"/>
                <w:szCs w:val="16"/>
                <w:color w:val="262626"/>
              </w:rPr>
              <w:t>1,108,890,000</w:t>
            </w:r>
            <w:r>
              <w:rPr>
                <w:rFonts w:ascii="Arial" w:cs="Arial" w:eastAsia="Arial" w:hAnsi="Arial"/>
                <w:sz w:val="24"/>
                <w:szCs w:val="24"/>
                <w:color w:val="262626"/>
                <w:vertAlign w:val="superscript"/>
              </w:rPr>
              <w:t>(2)</w:t>
            </w:r>
          </w:p>
        </w:tc>
        <w:tc>
          <w:tcPr>
            <w:tcW w:w="1260" w:type="dxa"/>
            <w:vAlign w:val="bottom"/>
          </w:tcPr>
          <w:p>
            <w:pPr>
              <w:jc w:val="right"/>
              <w:spacing w:after="0"/>
              <w:rPr>
                <w:sz w:val="20"/>
                <w:szCs w:val="20"/>
                <w:color w:val="auto"/>
              </w:rPr>
            </w:pPr>
            <w:r>
              <w:rPr>
                <w:rFonts w:ascii="Arial" w:cs="Arial" w:eastAsia="Arial" w:hAnsi="Arial"/>
                <w:sz w:val="16"/>
                <w:szCs w:val="16"/>
                <w:color w:val="262626"/>
              </w:rPr>
              <w:t>1,109,806,621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85090</wp:posOffset>
            </wp:positionV>
            <wp:extent cx="4343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185" w:lineRule="exact"/>
        <w:rPr>
          <w:sz w:val="20"/>
          <w:szCs w:val="20"/>
          <w:color w:val="auto"/>
        </w:rPr>
      </w:pPr>
    </w:p>
    <w:p>
      <w:pPr>
        <w:ind w:left="1620" w:right="179" w:hanging="344"/>
        <w:spacing w:after="0" w:line="362" w:lineRule="auto"/>
        <w:tabs>
          <w:tab w:leader="none" w:pos="1620" w:val="left"/>
        </w:tabs>
        <w:numPr>
          <w:ilvl w:val="0"/>
          <w:numId w:val="41"/>
        </w:numPr>
        <w:rPr>
          <w:rFonts w:ascii="Arial" w:cs="Arial" w:eastAsia="Arial" w:hAnsi="Arial"/>
          <w:sz w:val="14"/>
          <w:szCs w:val="14"/>
          <w:color w:val="262626"/>
        </w:rPr>
      </w:pPr>
      <w:r>
        <w:rPr>
          <w:rFonts w:ascii="Arial" w:cs="Arial" w:eastAsia="Arial" w:hAnsi="Arial"/>
          <w:sz w:val="14"/>
          <w:szCs w:val="14"/>
          <w:color w:val="262626"/>
        </w:rPr>
        <w:t>Represents the cost of subsidized continued healthcare benefits based on our costs to provide such coverage as of November 2, 2025.</w:t>
      </w:r>
    </w:p>
    <w:p>
      <w:pPr>
        <w:spacing w:after="0" w:line="24" w:lineRule="exact"/>
        <w:rPr>
          <w:rFonts w:ascii="Arial" w:cs="Arial" w:eastAsia="Arial" w:hAnsi="Arial"/>
          <w:sz w:val="14"/>
          <w:szCs w:val="14"/>
          <w:color w:val="262626"/>
        </w:rPr>
      </w:pPr>
    </w:p>
    <w:p>
      <w:pPr>
        <w:jc w:val="both"/>
        <w:ind w:left="1620" w:right="179" w:hanging="344"/>
        <w:spacing w:after="0" w:line="341" w:lineRule="auto"/>
        <w:tabs>
          <w:tab w:leader="none" w:pos="1620" w:val="left"/>
        </w:tabs>
        <w:numPr>
          <w:ilvl w:val="0"/>
          <w:numId w:val="41"/>
        </w:numPr>
        <w:rPr>
          <w:rFonts w:ascii="Arial" w:cs="Arial" w:eastAsia="Arial" w:hAnsi="Arial"/>
          <w:sz w:val="14"/>
          <w:szCs w:val="14"/>
          <w:color w:val="262626"/>
        </w:rPr>
      </w:pPr>
      <w:r>
        <w:rPr>
          <w:rFonts w:ascii="Arial" w:cs="Arial" w:eastAsia="Arial" w:hAnsi="Arial"/>
          <w:sz w:val="14"/>
          <w:szCs w:val="14"/>
          <w:color w:val="262626"/>
        </w:rPr>
        <w:t>This amount includes the number of shares subject to the 2023 Tan PSU Award and the 2023 Kawwas PSU Award (as applicable) based on Broadcom’s performance through November 2, 2025 multiplied by $369.63, the closing price of Broadcom common stock on October 31, 2025 (the last trading day of fiscal 2025).</w:t>
      </w:r>
    </w:p>
    <w:p>
      <w:pPr>
        <w:spacing w:after="0" w:line="38" w:lineRule="exact"/>
        <w:rPr>
          <w:rFonts w:ascii="Arial" w:cs="Arial" w:eastAsia="Arial" w:hAnsi="Arial"/>
          <w:sz w:val="14"/>
          <w:szCs w:val="14"/>
          <w:color w:val="262626"/>
        </w:rPr>
      </w:pPr>
    </w:p>
    <w:p>
      <w:pPr>
        <w:ind w:left="1620" w:right="179" w:hanging="344"/>
        <w:spacing w:after="0" w:line="362" w:lineRule="auto"/>
        <w:tabs>
          <w:tab w:leader="none" w:pos="1620" w:val="left"/>
        </w:tabs>
        <w:numPr>
          <w:ilvl w:val="0"/>
          <w:numId w:val="41"/>
        </w:numPr>
        <w:rPr>
          <w:rFonts w:ascii="Arial" w:cs="Arial" w:eastAsia="Arial" w:hAnsi="Arial"/>
          <w:sz w:val="14"/>
          <w:szCs w:val="14"/>
          <w:color w:val="262626"/>
        </w:rPr>
      </w:pPr>
      <w:r>
        <w:rPr>
          <w:rFonts w:ascii="Arial" w:cs="Arial" w:eastAsia="Arial" w:hAnsi="Arial"/>
          <w:sz w:val="14"/>
          <w:szCs w:val="14"/>
          <w:color w:val="262626"/>
        </w:rPr>
        <w:t>This amount does not include any shares subject to the 2025 Tan PSU Award as the Performance Period had not commenced prior to November 2, 2025 and any termination as of November 2, 2025 would mean the entirety of the 2025 Tan PSU Award is forfeited.</w:t>
      </w:r>
    </w:p>
    <w:p>
      <w:pPr>
        <w:spacing w:after="0" w:line="12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POTENTIAL PAYMENTS UNDER OUR DEATH AND PERMANENT DISABILITY POLICIES</w:t>
      </w:r>
    </w:p>
    <w:p>
      <w:pPr>
        <w:spacing w:after="0" w:line="160"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The following table reflects the additional potential payments and benefits to which our NEOs would be entitled under the Death Policy and Permanent Disability Policy in effect as of November 2, 2025, in the event of the NEO’s death or permanent disability. The amounts presented in the table assume a termination of employment date of November 2, 2025 and that all eligibility requirements contemplated by these policies were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64770</wp:posOffset>
            </wp:positionV>
            <wp:extent cx="55225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75"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3800" w:type="dxa"/>
            <w:vAlign w:val="bottom"/>
          </w:tcPr>
          <w:p>
            <w:pPr>
              <w:spacing w:after="0"/>
              <w:rPr>
                <w:sz w:val="16"/>
                <w:szCs w:val="16"/>
                <w:color w:val="auto"/>
              </w:rPr>
            </w:pPr>
          </w:p>
        </w:tc>
        <w:tc>
          <w:tcPr>
            <w:tcW w:w="4900" w:type="dxa"/>
            <w:vAlign w:val="bottom"/>
          </w:tcPr>
          <w:p>
            <w:pPr>
              <w:jc w:val="right"/>
              <w:ind w:right="479"/>
              <w:spacing w:after="0"/>
              <w:rPr>
                <w:sz w:val="20"/>
                <w:szCs w:val="20"/>
                <w:color w:val="auto"/>
              </w:rPr>
            </w:pPr>
            <w:r>
              <w:rPr>
                <w:rFonts w:ascii="Arial" w:cs="Arial" w:eastAsia="Arial" w:hAnsi="Arial"/>
                <w:sz w:val="16"/>
                <w:szCs w:val="16"/>
                <w:b w:val="1"/>
                <w:bCs w:val="1"/>
                <w:color w:val="262626"/>
              </w:rPr>
              <w:t>Value of RSU/PSU Acceleration</w:t>
            </w:r>
          </w:p>
        </w:tc>
      </w:tr>
      <w:tr>
        <w:trPr>
          <w:trHeight w:val="269"/>
        </w:trPr>
        <w:tc>
          <w:tcPr>
            <w:tcW w:w="3800" w:type="dxa"/>
            <w:vAlign w:val="bottom"/>
            <w:tcBorders>
              <w:bottom w:val="single" w:sz="8" w:color="CF0A2C"/>
            </w:tcBorders>
          </w:tcPr>
          <w:p>
            <w:pPr>
              <w:spacing w:after="0"/>
              <w:rPr>
                <w:sz w:val="20"/>
                <w:szCs w:val="20"/>
                <w:color w:val="auto"/>
              </w:rPr>
            </w:pPr>
            <w:r>
              <w:rPr>
                <w:rFonts w:ascii="Arial" w:cs="Arial" w:eastAsia="Arial" w:hAnsi="Arial"/>
                <w:sz w:val="16"/>
                <w:szCs w:val="16"/>
                <w:b w:val="1"/>
                <w:bCs w:val="1"/>
                <w:color w:val="262626"/>
              </w:rPr>
              <w:t>Name</w:t>
            </w:r>
          </w:p>
        </w:tc>
        <w:tc>
          <w:tcPr>
            <w:tcW w:w="4900" w:type="dxa"/>
            <w:vAlign w:val="bottom"/>
            <w:tcBorders>
              <w:bottom w:val="single" w:sz="8" w:color="CF0A2C"/>
            </w:tcBorders>
          </w:tcPr>
          <w:p>
            <w:pPr>
              <w:jc w:val="right"/>
              <w:ind w:right="1499"/>
              <w:spacing w:after="0" w:line="270" w:lineRule="exact"/>
              <w:rPr>
                <w:sz w:val="20"/>
                <w:szCs w:val="20"/>
                <w:color w:val="auto"/>
              </w:rPr>
            </w:pPr>
            <w:r>
              <w:rPr>
                <w:rFonts w:ascii="Arial" w:cs="Arial" w:eastAsia="Arial" w:hAnsi="Arial"/>
                <w:sz w:val="16"/>
                <w:szCs w:val="16"/>
                <w:b w:val="1"/>
                <w:bCs w:val="1"/>
                <w:color w:val="262626"/>
              </w:rPr>
              <w:t>($)</w:t>
            </w:r>
            <w:r>
              <w:rPr>
                <w:rFonts w:ascii="Arial" w:cs="Arial" w:eastAsia="Arial" w:hAnsi="Arial"/>
                <w:sz w:val="24"/>
                <w:szCs w:val="24"/>
                <w:b w:val="1"/>
                <w:bCs w:val="1"/>
                <w:color w:val="262626"/>
                <w:vertAlign w:val="superscript"/>
              </w:rPr>
              <w:t>(1)</w:t>
            </w:r>
          </w:p>
        </w:tc>
      </w:tr>
      <w:tr>
        <w:trPr>
          <w:trHeight w:val="355"/>
        </w:trPr>
        <w:tc>
          <w:tcPr>
            <w:tcW w:w="3800" w:type="dxa"/>
            <w:vAlign w:val="bottom"/>
          </w:tcPr>
          <w:p>
            <w:pPr>
              <w:spacing w:after="0"/>
              <w:rPr>
                <w:sz w:val="20"/>
                <w:szCs w:val="20"/>
                <w:color w:val="auto"/>
              </w:rPr>
            </w:pPr>
            <w:r>
              <w:rPr>
                <w:rFonts w:ascii="Arial" w:cs="Arial" w:eastAsia="Arial" w:hAnsi="Arial"/>
                <w:sz w:val="16"/>
                <w:szCs w:val="16"/>
                <w:color w:val="262626"/>
              </w:rPr>
              <w:t>Hock E. Tan</w:t>
            </w:r>
          </w:p>
        </w:tc>
        <w:tc>
          <w:tcPr>
            <w:tcW w:w="4900" w:type="dxa"/>
            <w:vAlign w:val="bottom"/>
          </w:tcPr>
          <w:p>
            <w:pPr>
              <w:jc w:val="right"/>
              <w:ind w:right="819"/>
              <w:spacing w:after="0"/>
              <w:rPr>
                <w:sz w:val="20"/>
                <w:szCs w:val="20"/>
                <w:color w:val="auto"/>
              </w:rPr>
            </w:pPr>
            <w:r>
              <w:rPr>
                <w:rFonts w:ascii="Arial" w:cs="Arial" w:eastAsia="Arial" w:hAnsi="Arial"/>
                <w:sz w:val="16"/>
                <w:szCs w:val="16"/>
                <w:color w:val="262626"/>
              </w:rPr>
              <w:t>3,696,300,000</w:t>
            </w:r>
            <w:r>
              <w:rPr>
                <w:rFonts w:ascii="Arial" w:cs="Arial" w:eastAsia="Arial" w:hAnsi="Arial"/>
                <w:sz w:val="24"/>
                <w:szCs w:val="24"/>
                <w:color w:val="262626"/>
                <w:vertAlign w:val="superscript"/>
              </w:rPr>
              <w:t>(2)(3)</w:t>
            </w:r>
          </w:p>
        </w:tc>
      </w:tr>
      <w:tr>
        <w:trPr>
          <w:trHeight w:val="214"/>
        </w:trPr>
        <w:tc>
          <w:tcPr>
            <w:tcW w:w="3800" w:type="dxa"/>
            <w:vAlign w:val="bottom"/>
          </w:tcPr>
          <w:p>
            <w:pPr>
              <w:spacing w:after="0"/>
              <w:rPr>
                <w:sz w:val="20"/>
                <w:szCs w:val="20"/>
                <w:color w:val="auto"/>
              </w:rPr>
            </w:pPr>
            <w:r>
              <w:rPr>
                <w:rFonts w:ascii="Arial" w:cs="Arial" w:eastAsia="Arial" w:hAnsi="Arial"/>
                <w:sz w:val="16"/>
                <w:szCs w:val="16"/>
                <w:color w:val="262626"/>
              </w:rPr>
              <w:t>Kirsten M. Spears</w:t>
            </w:r>
          </w:p>
        </w:tc>
        <w:tc>
          <w:tcPr>
            <w:tcW w:w="4900" w:type="dxa"/>
            <w:vAlign w:val="bottom"/>
          </w:tcPr>
          <w:p>
            <w:pPr>
              <w:jc w:val="right"/>
              <w:ind w:right="1119"/>
              <w:spacing w:after="0"/>
              <w:rPr>
                <w:sz w:val="20"/>
                <w:szCs w:val="20"/>
                <w:color w:val="auto"/>
              </w:rPr>
            </w:pPr>
            <w:r>
              <w:rPr>
                <w:rFonts w:ascii="Arial" w:cs="Arial" w:eastAsia="Arial" w:hAnsi="Arial"/>
                <w:sz w:val="16"/>
                <w:szCs w:val="16"/>
                <w:color w:val="262626"/>
              </w:rPr>
              <w:t>71,043,995</w:t>
            </w:r>
          </w:p>
        </w:tc>
      </w:tr>
      <w:tr>
        <w:trPr>
          <w:trHeight w:val="322"/>
        </w:trPr>
        <w:tc>
          <w:tcPr>
            <w:tcW w:w="3800" w:type="dxa"/>
            <w:vAlign w:val="bottom"/>
          </w:tcPr>
          <w:p>
            <w:pPr>
              <w:spacing w:after="0"/>
              <w:rPr>
                <w:sz w:val="20"/>
                <w:szCs w:val="20"/>
                <w:color w:val="auto"/>
              </w:rPr>
            </w:pPr>
            <w:r>
              <w:rPr>
                <w:rFonts w:ascii="Arial" w:cs="Arial" w:eastAsia="Arial" w:hAnsi="Arial"/>
                <w:sz w:val="16"/>
                <w:szCs w:val="16"/>
                <w:color w:val="262626"/>
              </w:rPr>
              <w:t>Mark D. Brazeal</w:t>
            </w:r>
          </w:p>
        </w:tc>
        <w:tc>
          <w:tcPr>
            <w:tcW w:w="4900" w:type="dxa"/>
            <w:vAlign w:val="bottom"/>
          </w:tcPr>
          <w:p>
            <w:pPr>
              <w:jc w:val="right"/>
              <w:ind w:right="1119"/>
              <w:spacing w:after="0"/>
              <w:rPr>
                <w:sz w:val="20"/>
                <w:szCs w:val="20"/>
                <w:color w:val="auto"/>
              </w:rPr>
            </w:pPr>
            <w:r>
              <w:rPr>
                <w:rFonts w:ascii="Arial" w:cs="Arial" w:eastAsia="Arial" w:hAnsi="Arial"/>
                <w:sz w:val="16"/>
                <w:szCs w:val="16"/>
                <w:color w:val="262626"/>
              </w:rPr>
              <w:t>162,406,181</w:t>
            </w:r>
          </w:p>
        </w:tc>
      </w:tr>
      <w:tr>
        <w:trPr>
          <w:trHeight w:val="432"/>
        </w:trPr>
        <w:tc>
          <w:tcPr>
            <w:tcW w:w="3800" w:type="dxa"/>
            <w:vAlign w:val="bottom"/>
          </w:tcPr>
          <w:p>
            <w:pPr>
              <w:spacing w:after="0"/>
              <w:rPr>
                <w:sz w:val="20"/>
                <w:szCs w:val="20"/>
                <w:color w:val="auto"/>
              </w:rPr>
            </w:pPr>
            <w:r>
              <w:rPr>
                <w:rFonts w:ascii="Arial" w:cs="Arial" w:eastAsia="Arial" w:hAnsi="Arial"/>
                <w:sz w:val="16"/>
                <w:szCs w:val="16"/>
                <w:color w:val="262626"/>
              </w:rPr>
              <w:t>Charlie B. Kawwas, Ph.D.</w:t>
            </w:r>
          </w:p>
        </w:tc>
        <w:tc>
          <w:tcPr>
            <w:tcW w:w="4900" w:type="dxa"/>
            <w:vAlign w:val="bottom"/>
          </w:tcPr>
          <w:p>
            <w:pPr>
              <w:jc w:val="right"/>
              <w:ind w:right="979"/>
              <w:spacing w:after="0"/>
              <w:rPr>
                <w:sz w:val="20"/>
                <w:szCs w:val="20"/>
                <w:color w:val="auto"/>
              </w:rPr>
            </w:pPr>
            <w:r>
              <w:rPr>
                <w:rFonts w:ascii="Arial" w:cs="Arial" w:eastAsia="Arial" w:hAnsi="Arial"/>
                <w:sz w:val="16"/>
                <w:szCs w:val="16"/>
                <w:color w:val="262626"/>
              </w:rPr>
              <w:t>1,122,751,125</w:t>
            </w:r>
            <w:r>
              <w:rPr>
                <w:rFonts w:ascii="Arial" w:cs="Arial" w:eastAsia="Arial" w:hAnsi="Arial"/>
                <w:sz w:val="24"/>
                <w:szCs w:val="24"/>
                <w:color w:val="262626"/>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59055</wp:posOffset>
            </wp:positionV>
            <wp:extent cx="4343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131" w:lineRule="exact"/>
        <w:rPr>
          <w:sz w:val="20"/>
          <w:szCs w:val="20"/>
          <w:color w:val="auto"/>
        </w:rPr>
      </w:pPr>
    </w:p>
    <w:p>
      <w:pPr>
        <w:jc w:val="both"/>
        <w:ind w:left="1620" w:right="179" w:hanging="344"/>
        <w:spacing w:after="0" w:line="334" w:lineRule="auto"/>
        <w:tabs>
          <w:tab w:leader="none" w:pos="1620" w:val="left"/>
        </w:tabs>
        <w:numPr>
          <w:ilvl w:val="0"/>
          <w:numId w:val="42"/>
        </w:numPr>
        <w:rPr>
          <w:rFonts w:ascii="Arial" w:cs="Arial" w:eastAsia="Arial" w:hAnsi="Arial"/>
          <w:sz w:val="14"/>
          <w:szCs w:val="14"/>
          <w:color w:val="262626"/>
        </w:rPr>
      </w:pPr>
      <w:r>
        <w:rPr>
          <w:rFonts w:ascii="Arial" w:cs="Arial" w:eastAsia="Arial" w:hAnsi="Arial"/>
          <w:sz w:val="14"/>
          <w:szCs w:val="14"/>
          <w:color w:val="262626"/>
        </w:rPr>
        <w:t>Except as set forth below, the amounts represent the number of shares issued upon full acceleration of each RSU award that has begun vesting and each PSU award for which the performance period has begun, with the performance goals deemed achieved at target performance levels, multiplied by $369.63, the closing price of Broadcom common stock on October 31, 2025 (the last trading day of fiscal 2025).</w:t>
      </w:r>
    </w:p>
    <w:p>
      <w:pPr>
        <w:spacing w:after="0" w:line="29" w:lineRule="exact"/>
        <w:rPr>
          <w:rFonts w:ascii="Arial" w:cs="Arial" w:eastAsia="Arial" w:hAnsi="Arial"/>
          <w:sz w:val="14"/>
          <w:szCs w:val="14"/>
          <w:color w:val="262626"/>
        </w:rPr>
      </w:pPr>
    </w:p>
    <w:p>
      <w:pPr>
        <w:jc w:val="both"/>
        <w:ind w:left="1620" w:right="179" w:hanging="344"/>
        <w:spacing w:after="0" w:line="341" w:lineRule="auto"/>
        <w:tabs>
          <w:tab w:leader="none" w:pos="1620" w:val="left"/>
        </w:tabs>
        <w:numPr>
          <w:ilvl w:val="0"/>
          <w:numId w:val="42"/>
        </w:numPr>
        <w:rPr>
          <w:rFonts w:ascii="Arial" w:cs="Arial" w:eastAsia="Arial" w:hAnsi="Arial"/>
          <w:sz w:val="14"/>
          <w:szCs w:val="14"/>
          <w:color w:val="262626"/>
        </w:rPr>
      </w:pPr>
      <w:r>
        <w:rPr>
          <w:rFonts w:ascii="Arial" w:cs="Arial" w:eastAsia="Arial" w:hAnsi="Arial"/>
          <w:sz w:val="14"/>
          <w:szCs w:val="14"/>
          <w:color w:val="262626"/>
        </w:rPr>
        <w:t>This amount includes the number of shares subject to the 2023 Tan PSU Award and the 2023 Kawwas PSU Award (as applicable) based on Broadcom’s performance through November 2, 2025 multiplied by $369.63, the closing price of Broadcom common stock on October 31, 2025 (the last trading day of fiscal 2025).</w:t>
      </w:r>
    </w:p>
    <w:p>
      <w:pPr>
        <w:spacing w:after="0" w:line="25" w:lineRule="exact"/>
        <w:rPr>
          <w:rFonts w:ascii="Arial" w:cs="Arial" w:eastAsia="Arial" w:hAnsi="Arial"/>
          <w:sz w:val="14"/>
          <w:szCs w:val="14"/>
          <w:color w:val="262626"/>
        </w:rPr>
      </w:pPr>
    </w:p>
    <w:p>
      <w:pPr>
        <w:ind w:left="1620" w:right="179" w:hanging="344"/>
        <w:spacing w:after="0" w:line="362" w:lineRule="auto"/>
        <w:tabs>
          <w:tab w:leader="none" w:pos="1620" w:val="left"/>
        </w:tabs>
        <w:numPr>
          <w:ilvl w:val="0"/>
          <w:numId w:val="42"/>
        </w:numPr>
        <w:rPr>
          <w:rFonts w:ascii="Arial" w:cs="Arial" w:eastAsia="Arial" w:hAnsi="Arial"/>
          <w:sz w:val="14"/>
          <w:szCs w:val="14"/>
          <w:color w:val="262626"/>
        </w:rPr>
      </w:pPr>
      <w:r>
        <w:rPr>
          <w:rFonts w:ascii="Arial" w:cs="Arial" w:eastAsia="Arial" w:hAnsi="Arial"/>
          <w:sz w:val="14"/>
          <w:szCs w:val="14"/>
          <w:color w:val="262626"/>
        </w:rPr>
        <w:t>This amount does not include any shares subject to the 2025 Tan PSU Award as the Performance Period had not commenced prior to November 2, 2025 and any termination as of November 2, 2025 would mean the entirety of the 2025 Tan PSU Award is forfeited.</w:t>
      </w:r>
    </w:p>
    <w:p>
      <w:pPr>
        <w:spacing w:after="0" w:line="56" w:lineRule="exact"/>
        <w:rPr>
          <w:sz w:val="20"/>
          <w:szCs w:val="20"/>
          <w:color w:val="auto"/>
        </w:rPr>
      </w:pPr>
    </w:p>
    <w:p>
      <w:pPr>
        <w:jc w:val="right"/>
        <w:ind w:right="159"/>
        <w:spacing w:after="0"/>
        <w:rPr>
          <w:sz w:val="20"/>
          <w:szCs w:val="20"/>
          <w:color w:val="auto"/>
        </w:rPr>
      </w:pPr>
      <w:r>
        <w:rPr>
          <w:rFonts w:ascii="Arial" w:cs="Arial" w:eastAsia="Arial" w:hAnsi="Arial"/>
          <w:sz w:val="15"/>
          <w:szCs w:val="15"/>
          <w:color w:val="262626"/>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4680"/>
        <w:spacing w:after="0"/>
        <w:rPr>
          <w:sz w:val="20"/>
          <w:szCs w:val="20"/>
          <w:color w:val="auto"/>
        </w:rPr>
      </w:pPr>
      <w:r>
        <w:rPr>
          <w:rFonts w:ascii="Arial" w:cs="Arial" w:eastAsia="Arial" w:hAnsi="Arial"/>
          <w:sz w:val="25"/>
          <w:szCs w:val="25"/>
          <w:color w:val="CF0A2C"/>
        </w:rPr>
        <w:t>CEO PAY RATIO</w:t>
      </w:r>
    </w:p>
    <w:p>
      <w:pPr>
        <w:spacing w:after="0" w:line="258"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In accordance with SEC rules, Broadcom is providing the ratio of the annual total compensation of our CEO to the median of the annual total compensation of all our employees (the “Ratio”).</w:t>
      </w:r>
    </w:p>
    <w:p>
      <w:pPr>
        <w:spacing w:after="0" w:line="13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CEO PAY RATIO</w:t>
      </w:r>
    </w:p>
    <w:p>
      <w:pPr>
        <w:spacing w:after="0" w:line="174" w:lineRule="exact"/>
        <w:rPr>
          <w:sz w:val="20"/>
          <w:szCs w:val="20"/>
          <w:color w:val="auto"/>
        </w:rPr>
      </w:pPr>
    </w:p>
    <w:p>
      <w:pPr>
        <w:jc w:val="both"/>
        <w:ind w:left="1280" w:right="159"/>
        <w:spacing w:after="0" w:line="343" w:lineRule="auto"/>
        <w:rPr>
          <w:sz w:val="20"/>
          <w:szCs w:val="20"/>
          <w:color w:val="auto"/>
        </w:rPr>
      </w:pPr>
      <w:r>
        <w:rPr>
          <w:rFonts w:ascii="Arial" w:cs="Arial" w:eastAsia="Arial" w:hAnsi="Arial"/>
          <w:sz w:val="16"/>
          <w:szCs w:val="16"/>
          <w:color w:val="262626"/>
        </w:rPr>
        <w:t>For fiscal 2025, the annual total compensation of our CEO, as reported in the “</w:t>
      </w:r>
      <w:r>
        <w:rPr>
          <w:rFonts w:ascii="Arial" w:cs="Arial" w:eastAsia="Arial" w:hAnsi="Arial"/>
          <w:sz w:val="16"/>
          <w:szCs w:val="16"/>
          <w:i w:val="1"/>
          <w:iCs w:val="1"/>
          <w:color w:val="262626"/>
        </w:rPr>
        <w:t>Fiscal 2025 Summary Compensation</w:t>
      </w:r>
      <w:r>
        <w:rPr>
          <w:rFonts w:ascii="Arial" w:cs="Arial" w:eastAsia="Arial" w:hAnsi="Arial"/>
          <w:sz w:val="16"/>
          <w:szCs w:val="16"/>
          <w:color w:val="262626"/>
        </w:rPr>
        <w:t xml:space="preserve"> </w:t>
      </w:r>
      <w:r>
        <w:rPr>
          <w:rFonts w:ascii="Arial" w:cs="Arial" w:eastAsia="Arial" w:hAnsi="Arial"/>
          <w:sz w:val="16"/>
          <w:szCs w:val="16"/>
          <w:i w:val="1"/>
          <w:iCs w:val="1"/>
          <w:color w:val="262626"/>
        </w:rPr>
        <w:t>Table</w:t>
      </w:r>
      <w:r>
        <w:rPr>
          <w:rFonts w:ascii="Arial" w:cs="Arial" w:eastAsia="Arial" w:hAnsi="Arial"/>
          <w:sz w:val="16"/>
          <w:szCs w:val="16"/>
          <w:color w:val="262626"/>
        </w:rPr>
        <w:t>,” is $205,278,006. The median of the annual total compensation of all our employees is $378,281. Therefore, the</w:t>
      </w:r>
      <w:r>
        <w:rPr>
          <w:rFonts w:ascii="Arial" w:cs="Arial" w:eastAsia="Arial" w:hAnsi="Arial"/>
          <w:sz w:val="16"/>
          <w:szCs w:val="16"/>
          <w:i w:val="1"/>
          <w:iCs w:val="1"/>
          <w:color w:val="262626"/>
        </w:rPr>
        <w:t xml:space="preserve"> </w:t>
      </w:r>
      <w:r>
        <w:rPr>
          <w:rFonts w:ascii="Arial" w:cs="Arial" w:eastAsia="Arial" w:hAnsi="Arial"/>
          <w:sz w:val="16"/>
          <w:szCs w:val="16"/>
          <w:color w:val="262626"/>
        </w:rPr>
        <w:t>Ratio calculated in accordance with Item 402(u) of Regulation S-K is 543 to 1.</w:t>
      </w:r>
    </w:p>
    <w:p>
      <w:pPr>
        <w:spacing w:after="0" w:line="97" w:lineRule="exact"/>
        <w:rPr>
          <w:sz w:val="20"/>
          <w:szCs w:val="20"/>
          <w:color w:val="auto"/>
        </w:rPr>
      </w:pPr>
    </w:p>
    <w:p>
      <w:pPr>
        <w:jc w:val="both"/>
        <w:ind w:left="1280" w:right="159"/>
        <w:spacing w:after="0" w:line="343" w:lineRule="auto"/>
        <w:rPr>
          <w:sz w:val="20"/>
          <w:szCs w:val="20"/>
          <w:color w:val="auto"/>
        </w:rPr>
      </w:pPr>
      <w:r>
        <w:rPr>
          <w:rFonts w:ascii="Arial" w:cs="Arial" w:eastAsia="Arial" w:hAnsi="Arial"/>
          <w:sz w:val="16"/>
          <w:szCs w:val="16"/>
          <w:color w:val="262626"/>
        </w:rPr>
        <w:t>In determining the annual total compensation of the median employee, we calculated such employee’s compensation in accordance with SEC executive compensation disclosure rules. This calculation is the same calculation used to determine the total compensation of each of our NEOs for purposes of the “</w:t>
      </w:r>
      <w:r>
        <w:rPr>
          <w:rFonts w:ascii="Arial" w:cs="Arial" w:eastAsia="Arial" w:hAnsi="Arial"/>
          <w:sz w:val="16"/>
          <w:szCs w:val="16"/>
          <w:i w:val="1"/>
          <w:iCs w:val="1"/>
          <w:color w:val="262626"/>
        </w:rPr>
        <w:t>Fiscal 2025 Summary Compensation Table</w:t>
      </w:r>
      <w:r>
        <w:rPr>
          <w:rFonts w:ascii="Arial" w:cs="Arial" w:eastAsia="Arial" w:hAnsi="Arial"/>
          <w:sz w:val="16"/>
          <w:szCs w:val="16"/>
          <w:color w:val="262626"/>
        </w:rPr>
        <w:t>.”</w:t>
      </w:r>
    </w:p>
    <w:p>
      <w:pPr>
        <w:spacing w:after="0" w:line="14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SUPPLEMENTAL CEO PAY RATIO</w:t>
      </w:r>
    </w:p>
    <w:p>
      <w:pPr>
        <w:spacing w:after="0" w:line="174" w:lineRule="exact"/>
        <w:rPr>
          <w:sz w:val="20"/>
          <w:szCs w:val="20"/>
          <w:color w:val="auto"/>
        </w:rPr>
      </w:pPr>
    </w:p>
    <w:p>
      <w:pPr>
        <w:jc w:val="both"/>
        <w:ind w:left="1280" w:right="179"/>
        <w:spacing w:after="0" w:line="330" w:lineRule="auto"/>
        <w:rPr>
          <w:sz w:val="20"/>
          <w:szCs w:val="20"/>
          <w:color w:val="auto"/>
        </w:rPr>
      </w:pPr>
      <w:r>
        <w:rPr>
          <w:rFonts w:ascii="Arial" w:cs="Arial" w:eastAsia="Arial" w:hAnsi="Arial"/>
          <w:sz w:val="16"/>
          <w:szCs w:val="16"/>
          <w:color w:val="262626"/>
        </w:rPr>
        <w:t>As discussed in “</w:t>
      </w:r>
      <w:r>
        <w:rPr>
          <w:rFonts w:ascii="Arial" w:cs="Arial" w:eastAsia="Arial" w:hAnsi="Arial"/>
          <w:sz w:val="16"/>
          <w:szCs w:val="16"/>
          <w:i w:val="1"/>
          <w:iCs w:val="1"/>
          <w:color w:val="262626"/>
        </w:rPr>
        <w:t>Compensation Discussion and Analysis</w:t>
      </w:r>
      <w:r>
        <w:rPr>
          <w:rFonts w:ascii="Arial" w:cs="Arial" w:eastAsia="Arial" w:hAnsi="Arial"/>
          <w:sz w:val="16"/>
          <w:szCs w:val="16"/>
          <w:color w:val="262626"/>
        </w:rPr>
        <w:t>,” the 2025 Tan PSU Award is front-loaded to cover three years of annual equity awards from fiscal 2028 through fiscal 2030 and the performance period of the 2025 Tan PSU Award does not start until the first day of fiscal 2028. The 2023 Tan PSU Award, however, is front-loaded to cover five years of annual equity awards from fiscal 2023 through fiscal 2027 and is subject to a performance period during that time period. Hence, the fiscal 2025 “Stock Awards” amount shown above in the “</w:t>
      </w:r>
      <w:r>
        <w:rPr>
          <w:rFonts w:ascii="Arial" w:cs="Arial" w:eastAsia="Arial" w:hAnsi="Arial"/>
          <w:sz w:val="16"/>
          <w:szCs w:val="16"/>
          <w:i w:val="1"/>
          <w:iCs w:val="1"/>
          <w:color w:val="262626"/>
        </w:rPr>
        <w:t>Supplemental Fiscal 2025 Summary Compensation</w:t>
      </w:r>
      <w:r>
        <w:rPr>
          <w:rFonts w:ascii="Arial" w:cs="Arial" w:eastAsia="Arial" w:hAnsi="Arial"/>
          <w:sz w:val="16"/>
          <w:szCs w:val="16"/>
          <w:color w:val="262626"/>
        </w:rPr>
        <w:t xml:space="preserve"> </w:t>
      </w:r>
      <w:r>
        <w:rPr>
          <w:rFonts w:ascii="Arial" w:cs="Arial" w:eastAsia="Arial" w:hAnsi="Arial"/>
          <w:sz w:val="16"/>
          <w:szCs w:val="16"/>
          <w:i w:val="1"/>
          <w:iCs w:val="1"/>
          <w:color w:val="262626"/>
        </w:rPr>
        <w:t>Table</w:t>
      </w:r>
      <w:r>
        <w:rPr>
          <w:rFonts w:ascii="Arial" w:cs="Arial" w:eastAsia="Arial" w:hAnsi="Arial"/>
          <w:sz w:val="16"/>
          <w:szCs w:val="16"/>
          <w:color w:val="262626"/>
        </w:rPr>
        <w:t>” excludes the grant date fair value for the 2025 Tan PSU Award at the target attainment level calculated in</w:t>
      </w:r>
      <w:r>
        <w:rPr>
          <w:rFonts w:ascii="Arial" w:cs="Arial" w:eastAsia="Arial" w:hAnsi="Arial"/>
          <w:sz w:val="16"/>
          <w:szCs w:val="16"/>
          <w:i w:val="1"/>
          <w:iCs w:val="1"/>
          <w:color w:val="262626"/>
        </w:rPr>
        <w:t xml:space="preserve"> </w:t>
      </w:r>
      <w:r>
        <w:rPr>
          <w:rFonts w:ascii="Arial" w:cs="Arial" w:eastAsia="Arial" w:hAnsi="Arial"/>
          <w:sz w:val="16"/>
          <w:szCs w:val="16"/>
          <w:color w:val="262626"/>
        </w:rPr>
        <w:t>accordance with ASC 718 and instead includes one-fifth of the grant date fair value of the 2023 Tan PSU Award calculated in accordance with ASC 718.</w:t>
      </w:r>
    </w:p>
    <w:p>
      <w:pPr>
        <w:spacing w:after="0" w:line="123" w:lineRule="exact"/>
        <w:rPr>
          <w:sz w:val="20"/>
          <w:szCs w:val="20"/>
          <w:color w:val="auto"/>
        </w:rPr>
      </w:pPr>
    </w:p>
    <w:p>
      <w:pPr>
        <w:jc w:val="both"/>
        <w:ind w:left="1280" w:right="179"/>
        <w:spacing w:after="0" w:line="353" w:lineRule="auto"/>
        <w:rPr>
          <w:sz w:val="20"/>
          <w:szCs w:val="20"/>
          <w:color w:val="auto"/>
        </w:rPr>
      </w:pPr>
      <w:r>
        <w:rPr>
          <w:rFonts w:ascii="Arial" w:cs="Arial" w:eastAsia="Arial" w:hAnsi="Arial"/>
          <w:sz w:val="16"/>
          <w:szCs w:val="16"/>
          <w:color w:val="262626"/>
        </w:rPr>
        <w:t>When applying the annual total compensation of our CEO of $35,034,926 as shown in the “</w:t>
      </w:r>
      <w:r>
        <w:rPr>
          <w:rFonts w:ascii="Arial" w:cs="Arial" w:eastAsia="Arial" w:hAnsi="Arial"/>
          <w:sz w:val="16"/>
          <w:szCs w:val="16"/>
          <w:i w:val="1"/>
          <w:iCs w:val="1"/>
          <w:color w:val="262626"/>
        </w:rPr>
        <w:t>Supplemental Fiscal 2025</w:t>
      </w:r>
      <w:r>
        <w:rPr>
          <w:rFonts w:ascii="Arial" w:cs="Arial" w:eastAsia="Arial" w:hAnsi="Arial"/>
          <w:sz w:val="16"/>
          <w:szCs w:val="16"/>
          <w:color w:val="262626"/>
        </w:rPr>
        <w:t xml:space="preserve"> </w:t>
      </w:r>
      <w:r>
        <w:rPr>
          <w:rFonts w:ascii="Arial" w:cs="Arial" w:eastAsia="Arial" w:hAnsi="Arial"/>
          <w:sz w:val="16"/>
          <w:szCs w:val="16"/>
          <w:i w:val="1"/>
          <w:iCs w:val="1"/>
          <w:color w:val="262626"/>
        </w:rPr>
        <w:t>Summary Compensation Table</w:t>
      </w:r>
      <w:r>
        <w:rPr>
          <w:rFonts w:ascii="Arial" w:cs="Arial" w:eastAsia="Arial" w:hAnsi="Arial"/>
          <w:sz w:val="16"/>
          <w:szCs w:val="16"/>
          <w:color w:val="262626"/>
        </w:rPr>
        <w:t>” above, the supplemental ratio is 93 to 1.</w:t>
      </w:r>
    </w:p>
    <w:p>
      <w:pPr>
        <w:spacing w:after="0" w:line="13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IDENTIFICATION OF MEDIAN EMPLOYEE</w:t>
      </w:r>
    </w:p>
    <w:p>
      <w:pPr>
        <w:spacing w:after="0" w:line="174" w:lineRule="exact"/>
        <w:rPr>
          <w:sz w:val="20"/>
          <w:szCs w:val="20"/>
          <w:color w:val="auto"/>
        </w:rPr>
      </w:pPr>
    </w:p>
    <w:p>
      <w:pPr>
        <w:jc w:val="both"/>
        <w:ind w:left="1280" w:right="159"/>
        <w:spacing w:after="0" w:line="339" w:lineRule="auto"/>
        <w:rPr>
          <w:sz w:val="20"/>
          <w:szCs w:val="20"/>
          <w:color w:val="auto"/>
        </w:rPr>
      </w:pPr>
      <w:r>
        <w:rPr>
          <w:rFonts w:ascii="Arial" w:cs="Arial" w:eastAsia="Arial" w:hAnsi="Arial"/>
          <w:sz w:val="16"/>
          <w:szCs w:val="16"/>
          <w:color w:val="262626"/>
        </w:rPr>
        <w:t>As permitted by SEC rules, for purposes of calculating the Ratio set forth above, we used the same median employee that we identified for purposes of our pay ratio disclosure in fiscal 2024, based on our determination that there was no change in our employee population or employee compensation arrangements that we believe would significantly impact the pay ratio.</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16"/>
          <w:szCs w:val="16"/>
          <w:color w:val="262626"/>
        </w:rPr>
        <w:t>We identified the median employee based on the following methodology for fiscal 2024:</w:t>
      </w:r>
    </w:p>
    <w:p>
      <w:pPr>
        <w:spacing w:after="0" w:line="192" w:lineRule="exact"/>
        <w:rPr>
          <w:sz w:val="20"/>
          <w:szCs w:val="20"/>
          <w:color w:val="auto"/>
        </w:rPr>
      </w:pPr>
    </w:p>
    <w:p>
      <w:pPr>
        <w:jc w:val="both"/>
        <w:ind w:left="1940" w:right="159" w:hanging="235"/>
        <w:spacing w:after="0" w:line="326" w:lineRule="auto"/>
        <w:tabs>
          <w:tab w:leader="none" w:pos="1940" w:val="left"/>
        </w:tabs>
        <w:numPr>
          <w:ilvl w:val="0"/>
          <w:numId w:val="43"/>
        </w:numPr>
        <w:rPr>
          <w:rFonts w:ascii="Arial" w:cs="Arial" w:eastAsia="Arial" w:hAnsi="Arial"/>
          <w:sz w:val="16"/>
          <w:szCs w:val="16"/>
          <w:color w:val="262626"/>
        </w:rPr>
      </w:pPr>
      <w:r>
        <w:rPr>
          <w:rFonts w:ascii="Arial" w:cs="Arial" w:eastAsia="Arial" w:hAnsi="Arial"/>
          <w:sz w:val="16"/>
          <w:szCs w:val="16"/>
          <w:color w:val="262626"/>
        </w:rPr>
        <w:t>We collected compensation data from our human resources system of record for approximately 17,000 U.S. employees and 19,800 non-U.S. employees, excluding our CEO, whether employed on a full-time, part-time, temporary or seasonal basis, as of November 3, 2024, which was the last day of fiscal 2024. We excluded non-U.S. employees in certain jurisdictions that, in aggregate, make up less than 5% of our global workforce.</w:t>
      </w:r>
      <w:r>
        <w:rPr>
          <w:rFonts w:ascii="Arial" w:cs="Arial" w:eastAsia="Arial" w:hAnsi="Arial"/>
          <w:sz w:val="24"/>
          <w:szCs w:val="24"/>
          <w:color w:val="262626"/>
          <w:vertAlign w:val="superscript"/>
        </w:rPr>
        <w:t>(1)</w:t>
      </w:r>
    </w:p>
    <w:p>
      <w:pPr>
        <w:spacing w:after="0" w:line="2" w:lineRule="exact"/>
        <w:rPr>
          <w:rFonts w:ascii="Arial" w:cs="Arial" w:eastAsia="Arial" w:hAnsi="Arial"/>
          <w:sz w:val="16"/>
          <w:szCs w:val="16"/>
          <w:color w:val="262626"/>
        </w:rPr>
      </w:pPr>
    </w:p>
    <w:p>
      <w:pPr>
        <w:jc w:val="both"/>
        <w:ind w:left="1940" w:right="179" w:hanging="235"/>
        <w:spacing w:after="0" w:line="343" w:lineRule="auto"/>
        <w:tabs>
          <w:tab w:leader="none" w:pos="1940" w:val="left"/>
        </w:tabs>
        <w:numPr>
          <w:ilvl w:val="0"/>
          <w:numId w:val="43"/>
        </w:numPr>
        <w:rPr>
          <w:rFonts w:ascii="Arial" w:cs="Arial" w:eastAsia="Arial" w:hAnsi="Arial"/>
          <w:sz w:val="16"/>
          <w:szCs w:val="16"/>
          <w:color w:val="262626"/>
        </w:rPr>
      </w:pPr>
      <w:r>
        <w:rPr>
          <w:rFonts w:ascii="Arial" w:cs="Arial" w:eastAsia="Arial" w:hAnsi="Arial"/>
          <w:sz w:val="16"/>
          <w:szCs w:val="16"/>
          <w:color w:val="262626"/>
        </w:rPr>
        <w:t>We annualized the compensation of all permanent full-time and part-time employees who we hired between October 30, 2023 and November 3, 2024. We applied an exchange rate used in our human resources system of record as of November 1, 2025 to convert all international currencies into U.S. dollars.</w:t>
      </w:r>
    </w:p>
    <w:p>
      <w:pPr>
        <w:spacing w:after="0" w:line="83" w:lineRule="exact"/>
        <w:rPr>
          <w:rFonts w:ascii="Arial" w:cs="Arial" w:eastAsia="Arial" w:hAnsi="Arial"/>
          <w:sz w:val="16"/>
          <w:szCs w:val="16"/>
          <w:color w:val="262626"/>
        </w:rPr>
      </w:pPr>
    </w:p>
    <w:p>
      <w:pPr>
        <w:jc w:val="both"/>
        <w:ind w:left="1940" w:right="179" w:hanging="235"/>
        <w:spacing w:after="0" w:line="339" w:lineRule="auto"/>
        <w:tabs>
          <w:tab w:leader="none" w:pos="1940" w:val="left"/>
        </w:tabs>
        <w:numPr>
          <w:ilvl w:val="0"/>
          <w:numId w:val="43"/>
        </w:numPr>
        <w:rPr>
          <w:rFonts w:ascii="Arial" w:cs="Arial" w:eastAsia="Arial" w:hAnsi="Arial"/>
          <w:sz w:val="16"/>
          <w:szCs w:val="16"/>
          <w:color w:val="262626"/>
        </w:rPr>
      </w:pPr>
      <w:r>
        <w:rPr>
          <w:rFonts w:ascii="Arial" w:cs="Arial" w:eastAsia="Arial" w:hAnsi="Arial"/>
          <w:sz w:val="16"/>
          <w:szCs w:val="16"/>
          <w:color w:val="262626"/>
        </w:rPr>
        <w:t>We used target total cash compensation as of November 3, 2024, as our consistently applied compensation measure. In this context, target total cash compensation meant (1) the applicable annual base salary level in effect as of November 3, 2024 and (2) the annual incentive cash target amount or commission target amount payable for service in fiscal 2024.</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COMPARABILITY</w:t>
      </w:r>
    </w:p>
    <w:p>
      <w:pPr>
        <w:spacing w:after="0" w:line="160"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The Ratio presented above is a reasonable estimate calculated in a manner consistent with SEC rules based on our human resources system of record. Because the SEC rules for identifying the median employee and calculating the pay ratio allow companies to use different methodologies, exemptions, estimates and assumptions, this pay ratio disclosure may not be comparable to the pay ratio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107315</wp:posOffset>
            </wp:positionV>
            <wp:extent cx="4343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207" w:lineRule="exact"/>
        <w:rPr>
          <w:sz w:val="20"/>
          <w:szCs w:val="20"/>
          <w:color w:val="auto"/>
        </w:rPr>
      </w:pPr>
    </w:p>
    <w:p>
      <w:pPr>
        <w:ind w:left="1620" w:right="179" w:hanging="344"/>
        <w:spacing w:after="0" w:line="362" w:lineRule="auto"/>
        <w:tabs>
          <w:tab w:leader="none" w:pos="1620" w:val="left"/>
        </w:tabs>
        <w:numPr>
          <w:ilvl w:val="0"/>
          <w:numId w:val="44"/>
        </w:numPr>
        <w:rPr>
          <w:rFonts w:ascii="Arial" w:cs="Arial" w:eastAsia="Arial" w:hAnsi="Arial"/>
          <w:sz w:val="14"/>
          <w:szCs w:val="14"/>
          <w:color w:val="262626"/>
        </w:rPr>
      </w:pPr>
      <w:r>
        <w:rPr>
          <w:rFonts w:ascii="Arial" w:cs="Arial" w:eastAsia="Arial" w:hAnsi="Arial"/>
          <w:sz w:val="14"/>
          <w:szCs w:val="14"/>
          <w:color w:val="262626"/>
        </w:rPr>
        <w:t>Approximate number of employees in each excluded jurisdiction: Estonia (60), Malaysia (1,297), Poland (110), Romania (11) and Taiwan (304).</w:t>
      </w:r>
    </w:p>
    <w:p>
      <w:pPr>
        <w:sectPr>
          <w:pgSz w:w="11900" w:h="16838" w:orient="portrait"/>
          <w:cols w:equalWidth="0" w:num="1">
            <w:col w:w="10139"/>
          </w:cols>
          <w:pgMar w:left="320" w:top="480" w:right="1440" w:bottom="1440" w:gutter="0" w:footer="0" w:header="0"/>
        </w:sectPr>
      </w:pPr>
    </w:p>
    <w:p>
      <w:pPr>
        <w:spacing w:after="0" w:line="56"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850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3840"/>
        <w:spacing w:after="0"/>
        <w:rPr>
          <w:sz w:val="20"/>
          <w:szCs w:val="20"/>
          <w:color w:val="auto"/>
        </w:rPr>
      </w:pPr>
      <w:r>
        <w:rPr>
          <w:rFonts w:ascii="Arial" w:cs="Arial" w:eastAsia="Arial" w:hAnsi="Arial"/>
          <w:sz w:val="25"/>
          <w:szCs w:val="25"/>
          <w:color w:val="CF0A2C"/>
        </w:rPr>
        <w:t>PAY VERSUS PERFORMANCE</w:t>
      </w:r>
    </w:p>
    <w:p>
      <w:pPr>
        <w:spacing w:after="0" w:line="365" w:lineRule="exact"/>
        <w:rPr>
          <w:sz w:val="20"/>
          <w:szCs w:val="20"/>
          <w:color w:val="auto"/>
        </w:rPr>
      </w:pPr>
    </w:p>
    <w:p>
      <w:pPr>
        <w:jc w:val="both"/>
        <w:ind w:left="1280" w:right="700"/>
        <w:spacing w:after="0" w:line="333" w:lineRule="auto"/>
        <w:rPr>
          <w:sz w:val="20"/>
          <w:szCs w:val="20"/>
          <w:color w:val="auto"/>
        </w:rPr>
      </w:pPr>
      <w:r>
        <w:rPr>
          <w:rFonts w:ascii="Arial" w:cs="Arial" w:eastAsia="Arial" w:hAnsi="Arial"/>
          <w:sz w:val="16"/>
          <w:szCs w:val="16"/>
          <w:color w:val="262626"/>
        </w:rPr>
        <w:t>The following tables and related disclosure have been prepared in accordance with the SEC’s pay versus performance rules and do not reflect compensation actually earned, realized or received by the NEOs. The Compensation Committee did not consider this pay versus performance disclosure in making its pay decisions for any of the years shown. For a discussion of how the Compensation Committee seeks to align pay with performance when setting NEO compensation, see “</w:t>
      </w:r>
      <w:r>
        <w:rPr>
          <w:rFonts w:ascii="Arial" w:cs="Arial" w:eastAsia="Arial" w:hAnsi="Arial"/>
          <w:sz w:val="16"/>
          <w:szCs w:val="16"/>
          <w:i w:val="1"/>
          <w:iCs w:val="1"/>
          <w:color w:val="262626"/>
        </w:rPr>
        <w:t>Compensation Discussion and Analysis</w:t>
      </w:r>
      <w:r>
        <w:rPr>
          <w:rFonts w:ascii="Arial" w:cs="Arial" w:eastAsia="Arial" w:hAnsi="Arial"/>
          <w:sz w:val="16"/>
          <w:szCs w:val="16"/>
          <w:color w:val="262626"/>
        </w:rPr>
        <w:t>” above.</w:t>
      </w:r>
    </w:p>
    <w:p>
      <w:pPr>
        <w:spacing w:after="0" w:line="181" w:lineRule="exact"/>
        <w:rPr>
          <w:sz w:val="20"/>
          <w:szCs w:val="20"/>
          <w:color w:val="auto"/>
        </w:rPr>
      </w:pPr>
    </w:p>
    <w:tbl>
      <w:tblPr>
        <w:tblLayout w:type="fixed"/>
        <w:tblInd w:w="1280" w:type="dxa"/>
        <w:tblCellMar>
          <w:top w:w="0" w:type="dxa"/>
          <w:left w:w="0" w:type="dxa"/>
          <w:bottom w:w="0" w:type="dxa"/>
          <w:right w:w="0" w:type="dxa"/>
        </w:tblCellMar>
      </w:tblPr>
      <w:tr>
        <w:trPr>
          <w:trHeight w:val="146"/>
        </w:trPr>
        <w:tc>
          <w:tcPr>
            <w:tcW w:w="420" w:type="dxa"/>
            <w:vAlign w:val="bottom"/>
            <w:tcBorders>
              <w:top w:val="single" w:sz="8" w:color="CF0A2C"/>
            </w:tcBorders>
          </w:tcPr>
          <w:p>
            <w:pPr>
              <w:spacing w:after="0"/>
              <w:rPr>
                <w:sz w:val="12"/>
                <w:szCs w:val="12"/>
                <w:color w:val="auto"/>
              </w:rPr>
            </w:pPr>
          </w:p>
        </w:tc>
        <w:tc>
          <w:tcPr>
            <w:tcW w:w="1040" w:type="dxa"/>
            <w:vAlign w:val="bottom"/>
            <w:tcBorders>
              <w:top w:val="single" w:sz="8" w:color="CF0A2C"/>
            </w:tcBorders>
          </w:tcPr>
          <w:p>
            <w:pPr>
              <w:jc w:val="center"/>
              <w:spacing w:after="0" w:line="146" w:lineRule="exact"/>
              <w:rPr>
                <w:sz w:val="20"/>
                <w:szCs w:val="20"/>
                <w:color w:val="auto"/>
              </w:rPr>
            </w:pPr>
            <w:r>
              <w:rPr>
                <w:rFonts w:ascii="Arial" w:cs="Arial" w:eastAsia="Arial" w:hAnsi="Arial"/>
                <w:sz w:val="13"/>
                <w:szCs w:val="13"/>
                <w:b w:val="1"/>
                <w:bCs w:val="1"/>
                <w:color w:val="262626"/>
              </w:rPr>
              <w:t>Summary</w:t>
            </w:r>
          </w:p>
        </w:tc>
        <w:tc>
          <w:tcPr>
            <w:tcW w:w="1060" w:type="dxa"/>
            <w:vAlign w:val="bottom"/>
            <w:tcBorders>
              <w:top w:val="single" w:sz="8" w:color="CF0A2C"/>
            </w:tcBorders>
          </w:tcPr>
          <w:p>
            <w:pPr>
              <w:spacing w:after="0"/>
              <w:rPr>
                <w:sz w:val="12"/>
                <w:szCs w:val="12"/>
                <w:color w:val="auto"/>
              </w:rPr>
            </w:pPr>
          </w:p>
        </w:tc>
        <w:tc>
          <w:tcPr>
            <w:tcW w:w="1020" w:type="dxa"/>
            <w:vAlign w:val="bottom"/>
            <w:tcBorders>
              <w:top w:val="single" w:sz="8" w:color="CF0A2C"/>
            </w:tcBorders>
          </w:tcPr>
          <w:p>
            <w:pPr>
              <w:spacing w:after="0"/>
              <w:rPr>
                <w:sz w:val="12"/>
                <w:szCs w:val="12"/>
                <w:color w:val="auto"/>
              </w:rPr>
            </w:pPr>
          </w:p>
        </w:tc>
        <w:tc>
          <w:tcPr>
            <w:tcW w:w="1060" w:type="dxa"/>
            <w:vAlign w:val="bottom"/>
            <w:tcBorders>
              <w:top w:val="single" w:sz="8" w:color="CF0A2C"/>
            </w:tcBorders>
          </w:tcPr>
          <w:p>
            <w:pPr>
              <w:spacing w:after="0"/>
              <w:rPr>
                <w:sz w:val="12"/>
                <w:szCs w:val="12"/>
                <w:color w:val="auto"/>
              </w:rPr>
            </w:pPr>
          </w:p>
        </w:tc>
        <w:tc>
          <w:tcPr>
            <w:tcW w:w="1660" w:type="dxa"/>
            <w:vAlign w:val="bottom"/>
            <w:tcBorders>
              <w:top w:val="single" w:sz="8" w:color="CF0A2C"/>
            </w:tcBorders>
            <w:gridSpan w:val="5"/>
            <w:vMerge w:val="restart"/>
          </w:tcPr>
          <w:p>
            <w:pPr>
              <w:jc w:val="right"/>
              <w:spacing w:after="0"/>
              <w:rPr>
                <w:sz w:val="20"/>
                <w:szCs w:val="20"/>
                <w:color w:val="auto"/>
              </w:rPr>
            </w:pPr>
            <w:r>
              <w:rPr>
                <w:rFonts w:ascii="Arial" w:cs="Arial" w:eastAsia="Arial" w:hAnsi="Arial"/>
                <w:sz w:val="13"/>
                <w:szCs w:val="13"/>
                <w:b w:val="1"/>
                <w:bCs w:val="1"/>
                <w:color w:val="262626"/>
              </w:rPr>
              <w:t>Value of Initial       </w:t>
            </w:r>
          </w:p>
        </w:tc>
        <w:tc>
          <w:tcPr>
            <w:tcW w:w="120" w:type="dxa"/>
            <w:vAlign w:val="bottom"/>
            <w:tcBorders>
              <w:top w:val="single" w:sz="8" w:color="CF0A2C"/>
            </w:tcBorders>
          </w:tcPr>
          <w:p>
            <w:pPr>
              <w:spacing w:after="0"/>
              <w:rPr>
                <w:sz w:val="12"/>
                <w:szCs w:val="12"/>
                <w:color w:val="auto"/>
              </w:rPr>
            </w:pPr>
          </w:p>
        </w:tc>
        <w:tc>
          <w:tcPr>
            <w:tcW w:w="260" w:type="dxa"/>
            <w:vAlign w:val="bottom"/>
            <w:tcBorders>
              <w:top w:val="single" w:sz="8" w:color="CF0A2C"/>
            </w:tcBorders>
          </w:tcPr>
          <w:p>
            <w:pPr>
              <w:spacing w:after="0"/>
              <w:rPr>
                <w:sz w:val="12"/>
                <w:szCs w:val="12"/>
                <w:color w:val="auto"/>
              </w:rPr>
            </w:pPr>
          </w:p>
        </w:tc>
        <w:tc>
          <w:tcPr>
            <w:tcW w:w="1260" w:type="dxa"/>
            <w:vAlign w:val="bottom"/>
            <w:tcBorders>
              <w:top w:val="single" w:sz="8" w:color="CF0A2C"/>
            </w:tcBorders>
          </w:tcPr>
          <w:p>
            <w:pPr>
              <w:spacing w:after="0"/>
              <w:rPr>
                <w:sz w:val="12"/>
                <w:szCs w:val="12"/>
                <w:color w:val="auto"/>
              </w:rPr>
            </w:pPr>
          </w:p>
        </w:tc>
        <w:tc>
          <w:tcPr>
            <w:tcW w:w="1500" w:type="dxa"/>
            <w:vAlign w:val="bottom"/>
            <w:tcBorders>
              <w:top w:val="single" w:sz="8" w:color="CF0A2C"/>
            </w:tcBorders>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104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262626"/>
              </w:rPr>
              <w:t>Compensation</w:t>
            </w: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40" w:type="dxa"/>
            <w:vAlign w:val="bottom"/>
            <w:gridSpan w:val="4"/>
            <w:vMerge w:val="restart"/>
          </w:tcPr>
          <w:p>
            <w:pPr>
              <w:jc w:val="center"/>
              <w:ind w:left="427"/>
              <w:spacing w:after="0" w:line="148" w:lineRule="exact"/>
              <w:rPr>
                <w:sz w:val="20"/>
                <w:szCs w:val="20"/>
                <w:color w:val="auto"/>
              </w:rPr>
            </w:pPr>
            <w:r>
              <w:rPr>
                <w:rFonts w:ascii="Arial" w:cs="Arial" w:eastAsia="Arial" w:hAnsi="Arial"/>
                <w:sz w:val="13"/>
                <w:szCs w:val="13"/>
                <w:b w:val="1"/>
                <w:bCs w:val="1"/>
                <w:color w:val="262626"/>
                <w:w w:val="90"/>
              </w:rPr>
              <w:t>Fixed $100 </w:t>
            </w:r>
          </w:p>
        </w:tc>
        <w:tc>
          <w:tcPr>
            <w:tcW w:w="320" w:type="dxa"/>
            <w:vAlign w:val="bottom"/>
            <w:vMerge w:val="restart"/>
          </w:tcPr>
          <w:p>
            <w:pPr>
              <w:jc w:val="center"/>
              <w:ind w:right="13"/>
              <w:spacing w:after="0" w:line="148" w:lineRule="exact"/>
              <w:rPr>
                <w:sz w:val="20"/>
                <w:szCs w:val="20"/>
                <w:color w:val="auto"/>
              </w:rPr>
            </w:pPr>
            <w:r>
              <w:rPr>
                <w:rFonts w:ascii="Arial" w:cs="Arial" w:eastAsia="Arial" w:hAnsi="Arial"/>
                <w:sz w:val="13"/>
                <w:szCs w:val="13"/>
                <w:b w:val="1"/>
                <w:bCs w:val="1"/>
                <w:color w:val="262626"/>
              </w:rPr>
              <w:t>    </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262626"/>
                <w:w w:val="99"/>
              </w:rPr>
              <w:t>Table</w:t>
            </w: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4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40" w:type="dxa"/>
            <w:vAlign w:val="bottom"/>
            <w:gridSpan w:val="4"/>
            <w:vMerge w:val="restart"/>
          </w:tcPr>
          <w:p>
            <w:pPr>
              <w:jc w:val="center"/>
              <w:ind w:left="447"/>
              <w:spacing w:after="0"/>
              <w:rPr>
                <w:sz w:val="20"/>
                <w:szCs w:val="20"/>
                <w:color w:val="auto"/>
              </w:rPr>
            </w:pPr>
            <w:r>
              <w:rPr>
                <w:rFonts w:ascii="Arial" w:cs="Arial" w:eastAsia="Arial" w:hAnsi="Arial"/>
                <w:sz w:val="13"/>
                <w:szCs w:val="13"/>
                <w:b w:val="1"/>
                <w:bCs w:val="1"/>
                <w:color w:val="262626"/>
                <w:w w:val="90"/>
              </w:rPr>
              <w:t>Investment </w:t>
            </w:r>
          </w:p>
        </w:tc>
        <w:tc>
          <w:tcPr>
            <w:tcW w:w="320" w:type="dxa"/>
            <w:vAlign w:val="bottom"/>
            <w:vMerge w:val="restart"/>
          </w:tcPr>
          <w:p>
            <w:pPr>
              <w:jc w:val="center"/>
              <w:spacing w:after="0"/>
              <w:rPr>
                <w:sz w:val="20"/>
                <w:szCs w:val="20"/>
                <w:color w:val="auto"/>
              </w:rPr>
            </w:pPr>
            <w:r>
              <w:rPr>
                <w:rFonts w:ascii="Arial" w:cs="Arial" w:eastAsia="Arial" w:hAnsi="Arial"/>
                <w:sz w:val="13"/>
                <w:szCs w:val="13"/>
                <w:b w:val="1"/>
                <w:bCs w:val="1"/>
                <w:color w:val="262626"/>
                <w:w w:val="89"/>
              </w:rPr>
              <w:t>    </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262626"/>
              </w:rPr>
              <w:t>(“SCT”) Total</w:t>
            </w: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262626"/>
              </w:rPr>
              <w:t>Compensation</w:t>
            </w:r>
          </w:p>
        </w:tc>
        <w:tc>
          <w:tcPr>
            <w:tcW w:w="1020" w:type="dxa"/>
            <w:vAlign w:val="bottom"/>
            <w:vMerge w:val="restart"/>
          </w:tcPr>
          <w:p>
            <w:pPr>
              <w:jc w:val="center"/>
              <w:ind w:right="6"/>
              <w:spacing w:after="0"/>
              <w:rPr>
                <w:sz w:val="20"/>
                <w:szCs w:val="20"/>
                <w:color w:val="auto"/>
              </w:rPr>
            </w:pPr>
            <w:r>
              <w:rPr>
                <w:rFonts w:ascii="Arial" w:cs="Arial" w:eastAsia="Arial" w:hAnsi="Arial"/>
                <w:sz w:val="13"/>
                <w:szCs w:val="13"/>
                <w:b w:val="1"/>
                <w:bCs w:val="1"/>
                <w:color w:val="262626"/>
              </w:rPr>
              <w:t>Average SCT</w:t>
            </w:r>
          </w:p>
        </w:tc>
        <w:tc>
          <w:tcPr>
            <w:tcW w:w="1060" w:type="dxa"/>
            <w:vAlign w:val="bottom"/>
          </w:tcPr>
          <w:p>
            <w:pPr>
              <w:spacing w:after="0"/>
              <w:rPr>
                <w:sz w:val="11"/>
                <w:szCs w:val="11"/>
                <w:color w:val="auto"/>
              </w:rPr>
            </w:pPr>
          </w:p>
        </w:tc>
        <w:tc>
          <w:tcPr>
            <w:tcW w:w="1340" w:type="dxa"/>
            <w:vAlign w:val="bottom"/>
            <w:gridSpan w:val="4"/>
          </w:tcPr>
          <w:p>
            <w:pPr>
              <w:jc w:val="center"/>
              <w:ind w:left="427"/>
              <w:spacing w:after="0" w:line="136" w:lineRule="exact"/>
              <w:rPr>
                <w:sz w:val="20"/>
                <w:szCs w:val="20"/>
                <w:color w:val="auto"/>
              </w:rPr>
            </w:pPr>
            <w:r>
              <w:rPr>
                <w:rFonts w:ascii="Arial" w:cs="Arial" w:eastAsia="Arial" w:hAnsi="Arial"/>
                <w:sz w:val="13"/>
                <w:szCs w:val="13"/>
                <w:b w:val="1"/>
                <w:bCs w:val="1"/>
                <w:color w:val="262626"/>
              </w:rPr>
              <w:t xml:space="preserve">based on: </w:t>
            </w:r>
            <w:r>
              <w:rPr>
                <w:rFonts w:ascii="Arial" w:cs="Arial" w:eastAsia="Arial" w:hAnsi="Arial"/>
                <w:sz w:val="8"/>
                <w:szCs w:val="8"/>
                <w:b w:val="1"/>
                <w:bCs w:val="1"/>
                <w:color w:val="262626"/>
              </w:rPr>
              <w:t>(4)</w:t>
            </w:r>
            <w:r>
              <w:rPr>
                <w:rFonts w:ascii="Arial" w:cs="Arial" w:eastAsia="Arial" w:hAnsi="Arial"/>
                <w:sz w:val="13"/>
                <w:szCs w:val="13"/>
                <w:b w:val="1"/>
                <w:bCs w:val="1"/>
                <w:color w:val="262626"/>
              </w:rPr>
              <w:t xml:space="preserve"> </w:t>
            </w:r>
          </w:p>
        </w:tc>
        <w:tc>
          <w:tcPr>
            <w:tcW w:w="320" w:type="dxa"/>
            <w:vAlign w:val="bottom"/>
          </w:tcPr>
          <w:p>
            <w:pPr>
              <w:jc w:val="right"/>
              <w:ind w:right="33"/>
              <w:spacing w:after="0" w:line="136" w:lineRule="exact"/>
              <w:rPr>
                <w:sz w:val="20"/>
                <w:szCs w:val="20"/>
                <w:color w:val="auto"/>
              </w:rPr>
            </w:pPr>
            <w:r>
              <w:rPr>
                <w:rFonts w:ascii="Arial" w:cs="Arial" w:eastAsia="Arial" w:hAnsi="Arial"/>
                <w:sz w:val="13"/>
                <w:szCs w:val="13"/>
                <w:b w:val="1"/>
                <w:bCs w:val="1"/>
                <w:color w:val="262626"/>
              </w:rPr>
              <w:t>    </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1040" w:type="dxa"/>
            <w:vAlign w:val="bottom"/>
          </w:tcPr>
          <w:p>
            <w:pPr>
              <w:jc w:val="center"/>
              <w:spacing w:after="0" w:line="74" w:lineRule="exact"/>
              <w:rPr>
                <w:sz w:val="20"/>
                <w:szCs w:val="20"/>
                <w:color w:val="auto"/>
              </w:rPr>
            </w:pPr>
            <w:r>
              <w:rPr>
                <w:rFonts w:ascii="Arial" w:cs="Arial" w:eastAsia="Arial" w:hAnsi="Arial"/>
                <w:sz w:val="8"/>
                <w:szCs w:val="8"/>
                <w:b w:val="1"/>
                <w:bCs w:val="1"/>
                <w:color w:val="262626"/>
              </w:rPr>
              <w:t>for Principal</w:t>
            </w:r>
          </w:p>
        </w:tc>
        <w:tc>
          <w:tcPr>
            <w:tcW w:w="10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Borders>
              <w:bottom w:val="single" w:sz="8" w:color="A5A5A5"/>
            </w:tcBorders>
          </w:tcPr>
          <w:p>
            <w:pPr>
              <w:spacing w:after="0"/>
              <w:rPr>
                <w:sz w:val="8"/>
                <w:szCs w:val="8"/>
                <w:color w:val="auto"/>
              </w:rPr>
            </w:pPr>
          </w:p>
        </w:tc>
        <w:tc>
          <w:tcPr>
            <w:tcW w:w="280" w:type="dxa"/>
            <w:vAlign w:val="bottom"/>
            <w:tcBorders>
              <w:bottom w:val="single" w:sz="8" w:color="A5A5A5"/>
            </w:tcBorders>
          </w:tcPr>
          <w:p>
            <w:pPr>
              <w:spacing w:after="0"/>
              <w:rPr>
                <w:sz w:val="8"/>
                <w:szCs w:val="8"/>
                <w:color w:val="auto"/>
              </w:rPr>
            </w:pPr>
          </w:p>
        </w:tc>
        <w:tc>
          <w:tcPr>
            <w:tcW w:w="260" w:type="dxa"/>
            <w:vAlign w:val="bottom"/>
            <w:tcBorders>
              <w:bottom w:val="single" w:sz="8" w:color="A5A5A5"/>
            </w:tcBorders>
          </w:tcPr>
          <w:p>
            <w:pPr>
              <w:spacing w:after="0"/>
              <w:rPr>
                <w:sz w:val="8"/>
                <w:szCs w:val="8"/>
                <w:color w:val="auto"/>
              </w:rPr>
            </w:pPr>
          </w:p>
        </w:tc>
        <w:tc>
          <w:tcPr>
            <w:tcW w:w="180" w:type="dxa"/>
            <w:vAlign w:val="bottom"/>
            <w:tcBorders>
              <w:bottom w:val="single" w:sz="8" w:color="A5A5A5"/>
            </w:tcBorders>
          </w:tcPr>
          <w:p>
            <w:pPr>
              <w:spacing w:after="0"/>
              <w:rPr>
                <w:sz w:val="8"/>
                <w:szCs w:val="8"/>
                <w:color w:val="auto"/>
              </w:rPr>
            </w:pPr>
          </w:p>
        </w:tc>
        <w:tc>
          <w:tcPr>
            <w:tcW w:w="320" w:type="dxa"/>
            <w:vAlign w:val="bottom"/>
            <w:tcBorders>
              <w:bottom w:val="single" w:sz="8" w:color="A5A5A5"/>
            </w:tcBorders>
          </w:tcPr>
          <w:p>
            <w:pPr>
              <w:spacing w:after="0"/>
              <w:rPr>
                <w:sz w:val="8"/>
                <w:szCs w:val="8"/>
                <w:color w:val="auto"/>
              </w:rPr>
            </w:pPr>
          </w:p>
        </w:tc>
        <w:tc>
          <w:tcPr>
            <w:tcW w:w="120" w:type="dxa"/>
            <w:vAlign w:val="bottom"/>
            <w:tcBorders>
              <w:bottom w:val="single" w:sz="8" w:color="A5A5A5"/>
            </w:tcBorders>
          </w:tcPr>
          <w:p>
            <w:pPr>
              <w:spacing w:after="0"/>
              <w:rPr>
                <w:sz w:val="8"/>
                <w:szCs w:val="8"/>
                <w:color w:val="auto"/>
              </w:rPr>
            </w:pPr>
          </w:p>
        </w:tc>
        <w:tc>
          <w:tcPr>
            <w:tcW w:w="260" w:type="dxa"/>
            <w:vAlign w:val="bottom"/>
            <w:tcBorders>
              <w:bottom w:val="single" w:sz="8" w:color="A5A5A5"/>
            </w:tcBorders>
          </w:tcPr>
          <w:p>
            <w:pPr>
              <w:spacing w:after="0"/>
              <w:rPr>
                <w:sz w:val="8"/>
                <w:szCs w:val="8"/>
                <w:color w:val="auto"/>
              </w:rPr>
            </w:pPr>
          </w:p>
        </w:tc>
        <w:tc>
          <w:tcPr>
            <w:tcW w:w="1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Arial" w:cs="Arial" w:eastAsia="Arial" w:hAnsi="Arial"/>
                <w:sz w:val="13"/>
                <w:szCs w:val="13"/>
                <w:b w:val="1"/>
                <w:bCs w:val="1"/>
                <w:color w:val="262626"/>
              </w:rPr>
              <w:t>Executive</w:t>
            </w:r>
          </w:p>
        </w:tc>
        <w:tc>
          <w:tcPr>
            <w:tcW w:w="1060" w:type="dxa"/>
            <w:vAlign w:val="bottom"/>
          </w:tcPr>
          <w:p>
            <w:pPr>
              <w:jc w:val="center"/>
              <w:spacing w:after="0" w:line="128" w:lineRule="exact"/>
              <w:rPr>
                <w:sz w:val="20"/>
                <w:szCs w:val="20"/>
                <w:color w:val="auto"/>
              </w:rPr>
            </w:pPr>
            <w:r>
              <w:rPr>
                <w:rFonts w:ascii="Arial" w:cs="Arial" w:eastAsia="Arial" w:hAnsi="Arial"/>
                <w:sz w:val="13"/>
                <w:szCs w:val="13"/>
                <w:b w:val="1"/>
                <w:bCs w:val="1"/>
                <w:color w:val="262626"/>
              </w:rPr>
              <w:t>Actually Paid</w:t>
            </w:r>
          </w:p>
        </w:tc>
        <w:tc>
          <w:tcPr>
            <w:tcW w:w="1020" w:type="dxa"/>
            <w:vAlign w:val="bottom"/>
          </w:tcPr>
          <w:p>
            <w:pPr>
              <w:jc w:val="center"/>
              <w:ind w:right="6"/>
              <w:spacing w:after="0" w:line="128" w:lineRule="exact"/>
              <w:rPr>
                <w:sz w:val="20"/>
                <w:szCs w:val="20"/>
                <w:color w:val="auto"/>
              </w:rPr>
            </w:pPr>
            <w:r>
              <w:rPr>
                <w:rFonts w:ascii="Arial" w:cs="Arial" w:eastAsia="Arial" w:hAnsi="Arial"/>
                <w:sz w:val="13"/>
                <w:szCs w:val="13"/>
                <w:b w:val="1"/>
                <w:bCs w:val="1"/>
                <w:color w:val="262626"/>
              </w:rPr>
              <w:t>Total for</w:t>
            </w:r>
          </w:p>
        </w:tc>
        <w:tc>
          <w:tcPr>
            <w:tcW w:w="1060" w:type="dxa"/>
            <w:vAlign w:val="bottom"/>
          </w:tcPr>
          <w:p>
            <w:pPr>
              <w:jc w:val="center"/>
              <w:spacing w:after="0" w:line="128" w:lineRule="exact"/>
              <w:rPr>
                <w:sz w:val="20"/>
                <w:szCs w:val="20"/>
                <w:color w:val="auto"/>
              </w:rPr>
            </w:pPr>
            <w:r>
              <w:rPr>
                <w:rFonts w:ascii="Arial" w:cs="Arial" w:eastAsia="Arial" w:hAnsi="Arial"/>
                <w:sz w:val="13"/>
                <w:szCs w:val="13"/>
                <w:b w:val="1"/>
                <w:bCs w:val="1"/>
                <w:color w:val="262626"/>
              </w:rPr>
              <w:t>Average CAP</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gridSpan w:val="2"/>
          </w:tcPr>
          <w:p>
            <w:pPr>
              <w:jc w:val="center"/>
              <w:ind w:left="45"/>
              <w:spacing w:after="0" w:line="128" w:lineRule="exact"/>
              <w:rPr>
                <w:sz w:val="20"/>
                <w:szCs w:val="20"/>
                <w:color w:val="auto"/>
              </w:rPr>
            </w:pPr>
            <w:r>
              <w:rPr>
                <w:rFonts w:ascii="Arial" w:cs="Arial" w:eastAsia="Arial" w:hAnsi="Arial"/>
                <w:sz w:val="13"/>
                <w:szCs w:val="13"/>
                <w:b w:val="1"/>
                <w:bCs w:val="1"/>
                <w:color w:val="262626"/>
                <w:w w:val="82"/>
              </w:rPr>
              <w:t>Peer </w:t>
            </w:r>
          </w:p>
        </w:tc>
        <w:tc>
          <w:tcPr>
            <w:tcW w:w="380" w:type="dxa"/>
            <w:vAlign w:val="bottom"/>
            <w:gridSpan w:val="2"/>
          </w:tcPr>
          <w:p>
            <w:pPr>
              <w:ind w:left="60"/>
              <w:spacing w:after="0" w:line="128" w:lineRule="exact"/>
              <w:rPr>
                <w:sz w:val="20"/>
                <w:szCs w:val="20"/>
                <w:color w:val="auto"/>
              </w:rPr>
            </w:pPr>
            <w:r>
              <w:rPr>
                <w:rFonts w:ascii="Arial" w:cs="Arial" w:eastAsia="Arial" w:hAnsi="Arial"/>
                <w:sz w:val="13"/>
                <w:szCs w:val="13"/>
                <w:b w:val="1"/>
                <w:bCs w:val="1"/>
                <w:color w:val="262626"/>
              </w:rPr>
              <w:t>    </w:t>
            </w:r>
          </w:p>
        </w:tc>
        <w:tc>
          <w:tcPr>
            <w:tcW w:w="1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262626"/>
              </w:rPr>
              <w:t>Officer</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262626"/>
              </w:rPr>
              <w:t>(“CAP”) to</w:t>
            </w:r>
          </w:p>
        </w:tc>
        <w:tc>
          <w:tcPr>
            <w:tcW w:w="1020" w:type="dxa"/>
            <w:vAlign w:val="bottom"/>
          </w:tcPr>
          <w:p>
            <w:pPr>
              <w:jc w:val="center"/>
              <w:ind w:right="6"/>
              <w:spacing w:after="0"/>
              <w:rPr>
                <w:sz w:val="20"/>
                <w:szCs w:val="20"/>
                <w:color w:val="auto"/>
              </w:rPr>
            </w:pPr>
            <w:r>
              <w:rPr>
                <w:rFonts w:ascii="Arial" w:cs="Arial" w:eastAsia="Arial" w:hAnsi="Arial"/>
                <w:sz w:val="13"/>
                <w:szCs w:val="13"/>
                <w:b w:val="1"/>
                <w:bCs w:val="1"/>
                <w:color w:val="262626"/>
              </w:rPr>
              <w:t>Non-PEO</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262626"/>
              </w:rPr>
              <w:t>to Non-PEO</w:t>
            </w:r>
          </w:p>
        </w:tc>
        <w:tc>
          <w:tcPr>
            <w:tcW w:w="620" w:type="dxa"/>
            <w:vAlign w:val="bottom"/>
            <w:vMerge w:val="restart"/>
          </w:tcPr>
          <w:p>
            <w:pPr>
              <w:jc w:val="center"/>
              <w:ind w:left="207"/>
              <w:spacing w:after="0"/>
              <w:rPr>
                <w:sz w:val="20"/>
                <w:szCs w:val="20"/>
                <w:color w:val="auto"/>
              </w:rPr>
            </w:pPr>
            <w:r>
              <w:rPr>
                <w:rFonts w:ascii="Arial" w:cs="Arial" w:eastAsia="Arial" w:hAnsi="Arial"/>
                <w:sz w:val="13"/>
                <w:szCs w:val="13"/>
                <w:b w:val="1"/>
                <w:bCs w:val="1"/>
                <w:color w:val="262626"/>
                <w:w w:val="76"/>
              </w:rPr>
              <w:t>TSR </w:t>
            </w:r>
          </w:p>
        </w:tc>
        <w:tc>
          <w:tcPr>
            <w:tcW w:w="280" w:type="dxa"/>
            <w:vAlign w:val="bottom"/>
            <w:vMerge w:val="restart"/>
          </w:tcPr>
          <w:p>
            <w:pPr>
              <w:jc w:val="right"/>
              <w:spacing w:after="0"/>
              <w:rPr>
                <w:sz w:val="20"/>
                <w:szCs w:val="20"/>
                <w:color w:val="auto"/>
              </w:rPr>
            </w:pPr>
            <w:r>
              <w:rPr>
                <w:rFonts w:ascii="Arial" w:cs="Arial" w:eastAsia="Arial" w:hAnsi="Arial"/>
                <w:sz w:val="13"/>
                <w:szCs w:val="13"/>
                <w:b w:val="1"/>
                <w:bCs w:val="1"/>
                <w:color w:val="262626"/>
              </w:rPr>
              <w:t>    </w:t>
            </w:r>
          </w:p>
        </w:tc>
        <w:tc>
          <w:tcPr>
            <w:tcW w:w="26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3"/>
                <w:szCs w:val="13"/>
                <w:b w:val="1"/>
                <w:bCs w:val="1"/>
                <w:color w:val="262626"/>
                <w:w w:val="99"/>
              </w:rPr>
              <w:t>Group </w:t>
            </w:r>
          </w:p>
        </w:tc>
        <w:tc>
          <w:tcPr>
            <w:tcW w:w="260" w:type="dxa"/>
            <w:vAlign w:val="bottom"/>
          </w:tcPr>
          <w:p>
            <w:pPr>
              <w:spacing w:after="0"/>
              <w:rPr>
                <w:sz w:val="20"/>
                <w:szCs w:val="20"/>
                <w:color w:val="auto"/>
              </w:rPr>
            </w:pPr>
            <w:r>
              <w:rPr>
                <w:rFonts w:ascii="Arial" w:cs="Arial" w:eastAsia="Arial" w:hAnsi="Arial"/>
                <w:sz w:val="13"/>
                <w:szCs w:val="13"/>
                <w:b w:val="1"/>
                <w:bCs w:val="1"/>
                <w:color w:val="262626"/>
              </w:rPr>
              <w:t>    </w:t>
            </w:r>
          </w:p>
        </w:tc>
        <w:tc>
          <w:tcPr>
            <w:tcW w:w="1260" w:type="dxa"/>
            <w:vAlign w:val="bottom"/>
            <w:vMerge w:val="restart"/>
          </w:tcPr>
          <w:p>
            <w:pPr>
              <w:jc w:val="right"/>
              <w:ind w:right="163"/>
              <w:spacing w:after="0"/>
              <w:rPr>
                <w:sz w:val="20"/>
                <w:szCs w:val="20"/>
                <w:color w:val="auto"/>
              </w:rPr>
            </w:pPr>
            <w:r>
              <w:rPr>
                <w:rFonts w:ascii="Arial" w:cs="Arial" w:eastAsia="Arial" w:hAnsi="Arial"/>
                <w:sz w:val="13"/>
                <w:szCs w:val="13"/>
                <w:b w:val="1"/>
                <w:bCs w:val="1"/>
                <w:color w:val="262626"/>
              </w:rPr>
              <w:t>Net Income</w:t>
            </w:r>
          </w:p>
        </w:tc>
        <w:tc>
          <w:tcPr>
            <w:tcW w:w="1500" w:type="dxa"/>
            <w:vAlign w:val="bottom"/>
          </w:tcPr>
          <w:p>
            <w:pPr>
              <w:jc w:val="center"/>
              <w:ind w:left="44"/>
              <w:spacing w:after="0"/>
              <w:rPr>
                <w:sz w:val="20"/>
                <w:szCs w:val="20"/>
                <w:color w:val="auto"/>
              </w:rPr>
            </w:pPr>
            <w:r>
              <w:rPr>
                <w:rFonts w:ascii="Arial" w:cs="Arial" w:eastAsia="Arial" w:hAnsi="Arial"/>
                <w:sz w:val="13"/>
                <w:szCs w:val="13"/>
                <w:b w:val="1"/>
                <w:bCs w:val="1"/>
                <w:color w:val="262626"/>
                <w:w w:val="92"/>
              </w:rPr>
              <w:t>Net       </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3"/>
                <w:szCs w:val="13"/>
                <w:b w:val="1"/>
                <w:bCs w:val="1"/>
                <w:color w:val="262626"/>
              </w:rPr>
              <w:t>Year</w:t>
            </w:r>
          </w:p>
        </w:tc>
        <w:tc>
          <w:tcPr>
            <w:tcW w:w="1040" w:type="dxa"/>
            <w:vAlign w:val="bottom"/>
          </w:tcPr>
          <w:p>
            <w:pPr>
              <w:jc w:val="center"/>
              <w:spacing w:after="0" w:line="148" w:lineRule="exact"/>
              <w:rPr>
                <w:sz w:val="20"/>
                <w:szCs w:val="20"/>
                <w:color w:val="auto"/>
              </w:rPr>
            </w:pPr>
            <w:r>
              <w:rPr>
                <w:rFonts w:ascii="Arial" w:cs="Arial" w:eastAsia="Arial" w:hAnsi="Arial"/>
                <w:sz w:val="13"/>
                <w:szCs w:val="13"/>
                <w:b w:val="1"/>
                <w:bCs w:val="1"/>
                <w:color w:val="262626"/>
              </w:rPr>
              <w:t>(“PEO”)</w:t>
            </w:r>
            <w:r>
              <w:rPr>
                <w:rFonts w:ascii="Arial" w:cs="Arial" w:eastAsia="Arial" w:hAnsi="Arial"/>
                <w:sz w:val="8"/>
                <w:szCs w:val="8"/>
                <w:b w:val="1"/>
                <w:bCs w:val="1"/>
                <w:color w:val="262626"/>
              </w:rPr>
              <w:t>(1)</w:t>
            </w:r>
          </w:p>
        </w:tc>
        <w:tc>
          <w:tcPr>
            <w:tcW w:w="1060" w:type="dxa"/>
            <w:vAlign w:val="bottom"/>
          </w:tcPr>
          <w:p>
            <w:pPr>
              <w:jc w:val="center"/>
              <w:spacing w:after="0" w:line="148" w:lineRule="exact"/>
              <w:rPr>
                <w:sz w:val="20"/>
                <w:szCs w:val="20"/>
                <w:color w:val="auto"/>
              </w:rPr>
            </w:pPr>
            <w:r>
              <w:rPr>
                <w:rFonts w:ascii="Arial" w:cs="Arial" w:eastAsia="Arial" w:hAnsi="Arial"/>
                <w:sz w:val="17"/>
                <w:szCs w:val="17"/>
                <w:b w:val="1"/>
                <w:bCs w:val="1"/>
                <w:color w:val="262626"/>
                <w:vertAlign w:val="subscript"/>
              </w:rPr>
              <w:t>PEO</w:t>
            </w:r>
            <w:r>
              <w:rPr>
                <w:rFonts w:ascii="Arial" w:cs="Arial" w:eastAsia="Arial" w:hAnsi="Arial"/>
                <w:sz w:val="7"/>
                <w:szCs w:val="7"/>
                <w:b w:val="1"/>
                <w:bCs w:val="1"/>
                <w:color w:val="262626"/>
              </w:rPr>
              <w:t>(2)</w:t>
            </w:r>
          </w:p>
        </w:tc>
        <w:tc>
          <w:tcPr>
            <w:tcW w:w="1020" w:type="dxa"/>
            <w:vAlign w:val="bottom"/>
          </w:tcPr>
          <w:p>
            <w:pPr>
              <w:jc w:val="center"/>
              <w:ind w:right="6"/>
              <w:spacing w:after="0" w:line="148" w:lineRule="exact"/>
              <w:rPr>
                <w:sz w:val="20"/>
                <w:szCs w:val="20"/>
                <w:color w:val="auto"/>
              </w:rPr>
            </w:pPr>
            <w:r>
              <w:rPr>
                <w:rFonts w:ascii="Arial" w:cs="Arial" w:eastAsia="Arial" w:hAnsi="Arial"/>
                <w:sz w:val="13"/>
                <w:szCs w:val="13"/>
                <w:b w:val="1"/>
                <w:bCs w:val="1"/>
                <w:color w:val="262626"/>
              </w:rPr>
              <w:t>NEOs</w:t>
            </w:r>
            <w:r>
              <w:rPr>
                <w:rFonts w:ascii="Arial" w:cs="Arial" w:eastAsia="Arial" w:hAnsi="Arial"/>
                <w:sz w:val="8"/>
                <w:szCs w:val="8"/>
                <w:b w:val="1"/>
                <w:bCs w:val="1"/>
                <w:color w:val="262626"/>
              </w:rPr>
              <w:t>(3)</w:t>
            </w:r>
          </w:p>
        </w:tc>
        <w:tc>
          <w:tcPr>
            <w:tcW w:w="1060" w:type="dxa"/>
            <w:vAlign w:val="bottom"/>
          </w:tcPr>
          <w:p>
            <w:pPr>
              <w:jc w:val="center"/>
              <w:spacing w:after="0" w:line="148" w:lineRule="exact"/>
              <w:rPr>
                <w:sz w:val="20"/>
                <w:szCs w:val="20"/>
                <w:color w:val="auto"/>
              </w:rPr>
            </w:pPr>
            <w:r>
              <w:rPr>
                <w:rFonts w:ascii="Arial" w:cs="Arial" w:eastAsia="Arial" w:hAnsi="Arial"/>
                <w:sz w:val="13"/>
                <w:szCs w:val="13"/>
                <w:b w:val="1"/>
                <w:bCs w:val="1"/>
                <w:color w:val="262626"/>
              </w:rPr>
              <w:t>NEOs</w:t>
            </w:r>
            <w:r>
              <w:rPr>
                <w:rFonts w:ascii="Arial" w:cs="Arial" w:eastAsia="Arial" w:hAnsi="Arial"/>
                <w:sz w:val="8"/>
                <w:szCs w:val="8"/>
                <w:b w:val="1"/>
                <w:bCs w:val="1"/>
                <w:color w:val="262626"/>
              </w:rPr>
              <w:t>(2)</w:t>
            </w:r>
          </w:p>
        </w:tc>
        <w:tc>
          <w:tcPr>
            <w:tcW w:w="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center"/>
              <w:ind w:left="45"/>
              <w:spacing w:after="0" w:line="148" w:lineRule="exact"/>
              <w:rPr>
                <w:sz w:val="20"/>
                <w:szCs w:val="20"/>
                <w:color w:val="auto"/>
              </w:rPr>
            </w:pPr>
            <w:r>
              <w:rPr>
                <w:rFonts w:ascii="Arial" w:cs="Arial" w:eastAsia="Arial" w:hAnsi="Arial"/>
                <w:sz w:val="13"/>
                <w:szCs w:val="13"/>
                <w:b w:val="1"/>
                <w:bCs w:val="1"/>
                <w:color w:val="262626"/>
                <w:w w:val="76"/>
              </w:rPr>
              <w:t>TSR </w:t>
            </w:r>
          </w:p>
        </w:tc>
        <w:tc>
          <w:tcPr>
            <w:tcW w:w="380" w:type="dxa"/>
            <w:vAlign w:val="bottom"/>
            <w:gridSpan w:val="2"/>
          </w:tcPr>
          <w:p>
            <w:pPr>
              <w:ind w:left="60"/>
              <w:spacing w:after="0" w:line="148" w:lineRule="exact"/>
              <w:rPr>
                <w:sz w:val="20"/>
                <w:szCs w:val="20"/>
                <w:color w:val="auto"/>
              </w:rPr>
            </w:pPr>
            <w:r>
              <w:rPr>
                <w:rFonts w:ascii="Arial" w:cs="Arial" w:eastAsia="Arial" w:hAnsi="Arial"/>
                <w:sz w:val="13"/>
                <w:szCs w:val="13"/>
                <w:b w:val="1"/>
                <w:bCs w:val="1"/>
                <w:color w:val="262626"/>
              </w:rPr>
              <w:t>    </w:t>
            </w:r>
          </w:p>
        </w:tc>
        <w:tc>
          <w:tcPr>
            <w:tcW w:w="1260" w:type="dxa"/>
            <w:vAlign w:val="bottom"/>
            <w:vMerge w:val="continue"/>
          </w:tcPr>
          <w:p>
            <w:pPr>
              <w:spacing w:after="0"/>
              <w:rPr>
                <w:sz w:val="12"/>
                <w:szCs w:val="12"/>
                <w:color w:val="auto"/>
              </w:rPr>
            </w:pPr>
          </w:p>
        </w:tc>
        <w:tc>
          <w:tcPr>
            <w:tcW w:w="1500" w:type="dxa"/>
            <w:vAlign w:val="bottom"/>
          </w:tcPr>
          <w:p>
            <w:pPr>
              <w:jc w:val="center"/>
              <w:ind w:left="24"/>
              <w:spacing w:after="0" w:line="148" w:lineRule="exact"/>
              <w:rPr>
                <w:sz w:val="20"/>
                <w:szCs w:val="20"/>
                <w:color w:val="auto"/>
              </w:rPr>
            </w:pPr>
            <w:r>
              <w:rPr>
                <w:rFonts w:ascii="Arial" w:cs="Arial" w:eastAsia="Arial" w:hAnsi="Arial"/>
                <w:sz w:val="13"/>
                <w:szCs w:val="13"/>
                <w:b w:val="1"/>
                <w:bCs w:val="1"/>
                <w:color w:val="262626"/>
                <w:w w:val="96"/>
              </w:rPr>
              <w:t>Revenue       </w:t>
            </w:r>
          </w:p>
        </w:tc>
        <w:tc>
          <w:tcPr>
            <w:tcW w:w="0" w:type="dxa"/>
            <w:vAlign w:val="bottom"/>
          </w:tcPr>
          <w:p>
            <w:pPr>
              <w:spacing w:after="0"/>
              <w:rPr>
                <w:sz w:val="1"/>
                <w:szCs w:val="1"/>
                <w:color w:val="auto"/>
              </w:rPr>
            </w:pPr>
          </w:p>
        </w:tc>
      </w:tr>
      <w:tr>
        <w:trPr>
          <w:trHeight w:val="199"/>
        </w:trPr>
        <w:tc>
          <w:tcPr>
            <w:tcW w:w="420" w:type="dxa"/>
            <w:vAlign w:val="bottom"/>
            <w:tcBorders>
              <w:bottom w:val="single" w:sz="8" w:color="CF0A2C"/>
            </w:tcBorders>
            <w:vMerge w:val="continue"/>
          </w:tcPr>
          <w:p>
            <w:pPr>
              <w:spacing w:after="0"/>
              <w:rPr>
                <w:sz w:val="17"/>
                <w:szCs w:val="17"/>
                <w:color w:val="auto"/>
              </w:rPr>
            </w:pPr>
          </w:p>
        </w:tc>
        <w:tc>
          <w:tcPr>
            <w:tcW w:w="1040" w:type="dxa"/>
            <w:vAlign w:val="bottom"/>
            <w:tcBorders>
              <w:bottom w:val="single" w:sz="8" w:color="CF0A2C"/>
            </w:tcBorders>
          </w:tcPr>
          <w:p>
            <w:pPr>
              <w:jc w:val="center"/>
              <w:spacing w:after="0"/>
              <w:rPr>
                <w:sz w:val="20"/>
                <w:szCs w:val="20"/>
                <w:color w:val="auto"/>
              </w:rPr>
            </w:pPr>
            <w:r>
              <w:rPr>
                <w:rFonts w:ascii="Arial" w:cs="Arial" w:eastAsia="Arial" w:hAnsi="Arial"/>
                <w:sz w:val="13"/>
                <w:szCs w:val="13"/>
                <w:b w:val="1"/>
                <w:bCs w:val="1"/>
                <w:color w:val="262626"/>
              </w:rPr>
              <w:t>($)</w:t>
            </w:r>
          </w:p>
        </w:tc>
        <w:tc>
          <w:tcPr>
            <w:tcW w:w="1060" w:type="dxa"/>
            <w:vAlign w:val="bottom"/>
            <w:tcBorders>
              <w:bottom w:val="single" w:sz="8" w:color="CF0A2C"/>
            </w:tcBorders>
          </w:tcPr>
          <w:p>
            <w:pPr>
              <w:jc w:val="center"/>
              <w:spacing w:after="0"/>
              <w:rPr>
                <w:sz w:val="20"/>
                <w:szCs w:val="20"/>
                <w:color w:val="auto"/>
              </w:rPr>
            </w:pPr>
            <w:r>
              <w:rPr>
                <w:rFonts w:ascii="Arial" w:cs="Arial" w:eastAsia="Arial" w:hAnsi="Arial"/>
                <w:sz w:val="13"/>
                <w:szCs w:val="13"/>
                <w:b w:val="1"/>
                <w:bCs w:val="1"/>
                <w:color w:val="262626"/>
              </w:rPr>
              <w:t>($ Millions)</w:t>
            </w:r>
          </w:p>
        </w:tc>
        <w:tc>
          <w:tcPr>
            <w:tcW w:w="1020" w:type="dxa"/>
            <w:vAlign w:val="bottom"/>
            <w:tcBorders>
              <w:bottom w:val="single" w:sz="8" w:color="CF0A2C"/>
            </w:tcBorders>
          </w:tcPr>
          <w:p>
            <w:pPr>
              <w:jc w:val="center"/>
              <w:ind w:right="6"/>
              <w:spacing w:after="0"/>
              <w:rPr>
                <w:sz w:val="20"/>
                <w:szCs w:val="20"/>
                <w:color w:val="auto"/>
              </w:rPr>
            </w:pPr>
            <w:r>
              <w:rPr>
                <w:rFonts w:ascii="Arial" w:cs="Arial" w:eastAsia="Arial" w:hAnsi="Arial"/>
                <w:sz w:val="13"/>
                <w:szCs w:val="13"/>
                <w:b w:val="1"/>
                <w:bCs w:val="1"/>
                <w:color w:val="262626"/>
              </w:rPr>
              <w:t>($)</w:t>
            </w:r>
          </w:p>
        </w:tc>
        <w:tc>
          <w:tcPr>
            <w:tcW w:w="1060" w:type="dxa"/>
            <w:vAlign w:val="bottom"/>
            <w:tcBorders>
              <w:bottom w:val="single" w:sz="8" w:color="CF0A2C"/>
            </w:tcBorders>
          </w:tcPr>
          <w:p>
            <w:pPr>
              <w:jc w:val="center"/>
              <w:spacing w:after="0"/>
              <w:rPr>
                <w:sz w:val="20"/>
                <w:szCs w:val="20"/>
                <w:color w:val="auto"/>
              </w:rPr>
            </w:pPr>
            <w:r>
              <w:rPr>
                <w:rFonts w:ascii="Arial" w:cs="Arial" w:eastAsia="Arial" w:hAnsi="Arial"/>
                <w:sz w:val="13"/>
                <w:szCs w:val="13"/>
                <w:b w:val="1"/>
                <w:bCs w:val="1"/>
                <w:color w:val="262626"/>
              </w:rPr>
              <w:t>($)</w:t>
            </w:r>
          </w:p>
        </w:tc>
        <w:tc>
          <w:tcPr>
            <w:tcW w:w="620" w:type="dxa"/>
            <w:vAlign w:val="bottom"/>
            <w:tcBorders>
              <w:bottom w:val="single" w:sz="8" w:color="CF0A2C"/>
            </w:tcBorders>
          </w:tcPr>
          <w:p>
            <w:pPr>
              <w:jc w:val="right"/>
              <w:ind w:right="7"/>
              <w:spacing w:after="0"/>
              <w:rPr>
                <w:sz w:val="20"/>
                <w:szCs w:val="20"/>
                <w:color w:val="auto"/>
              </w:rPr>
            </w:pPr>
            <w:r>
              <w:rPr>
                <w:rFonts w:ascii="Arial" w:cs="Arial" w:eastAsia="Arial" w:hAnsi="Arial"/>
                <w:sz w:val="13"/>
                <w:szCs w:val="13"/>
                <w:b w:val="1"/>
                <w:bCs w:val="1"/>
                <w:color w:val="262626"/>
              </w:rPr>
              <w:t xml:space="preserve">($) </w:t>
            </w:r>
          </w:p>
        </w:tc>
        <w:tc>
          <w:tcPr>
            <w:tcW w:w="280" w:type="dxa"/>
            <w:vAlign w:val="bottom"/>
            <w:tcBorders>
              <w:bottom w:val="single" w:sz="8" w:color="CF0A2C"/>
            </w:tcBorders>
          </w:tcPr>
          <w:p>
            <w:pPr>
              <w:jc w:val="right"/>
              <w:ind w:right="33"/>
              <w:spacing w:after="0"/>
              <w:rPr>
                <w:sz w:val="20"/>
                <w:szCs w:val="20"/>
                <w:color w:val="auto"/>
              </w:rPr>
            </w:pPr>
            <w:r>
              <w:rPr>
                <w:rFonts w:ascii="Arial" w:cs="Arial" w:eastAsia="Arial" w:hAnsi="Arial"/>
                <w:sz w:val="13"/>
                <w:szCs w:val="13"/>
                <w:b w:val="1"/>
                <w:bCs w:val="1"/>
                <w:color w:val="262626"/>
              </w:rPr>
              <w:t>    </w:t>
            </w:r>
          </w:p>
        </w:tc>
        <w:tc>
          <w:tcPr>
            <w:tcW w:w="260" w:type="dxa"/>
            <w:vAlign w:val="bottom"/>
            <w:tcBorders>
              <w:bottom w:val="single" w:sz="8" w:color="CF0A2C"/>
            </w:tcBorders>
          </w:tcPr>
          <w:p>
            <w:pPr>
              <w:spacing w:after="0"/>
              <w:rPr>
                <w:sz w:val="17"/>
                <w:szCs w:val="17"/>
                <w:color w:val="auto"/>
              </w:rPr>
            </w:pPr>
          </w:p>
        </w:tc>
        <w:tc>
          <w:tcPr>
            <w:tcW w:w="180" w:type="dxa"/>
            <w:vAlign w:val="bottom"/>
            <w:tcBorders>
              <w:bottom w:val="single" w:sz="8" w:color="CF0A2C"/>
            </w:tcBorders>
          </w:tcPr>
          <w:p>
            <w:pPr>
              <w:spacing w:after="0"/>
              <w:rPr>
                <w:sz w:val="17"/>
                <w:szCs w:val="17"/>
                <w:color w:val="auto"/>
              </w:rPr>
            </w:pPr>
          </w:p>
        </w:tc>
        <w:tc>
          <w:tcPr>
            <w:tcW w:w="320" w:type="dxa"/>
            <w:vAlign w:val="bottom"/>
            <w:tcBorders>
              <w:bottom w:val="single" w:sz="8" w:color="CF0A2C"/>
            </w:tcBorders>
          </w:tcPr>
          <w:p>
            <w:pPr>
              <w:jc w:val="right"/>
              <w:ind w:right="33"/>
              <w:spacing w:after="0"/>
              <w:rPr>
                <w:sz w:val="20"/>
                <w:szCs w:val="20"/>
                <w:color w:val="auto"/>
              </w:rPr>
            </w:pPr>
            <w:r>
              <w:rPr>
                <w:rFonts w:ascii="Arial" w:cs="Arial" w:eastAsia="Arial" w:hAnsi="Arial"/>
                <w:sz w:val="13"/>
                <w:szCs w:val="13"/>
                <w:b w:val="1"/>
                <w:bCs w:val="1"/>
                <w:color w:val="262626"/>
              </w:rPr>
              <w:t xml:space="preserve">($) </w:t>
            </w:r>
          </w:p>
        </w:tc>
        <w:tc>
          <w:tcPr>
            <w:tcW w:w="380" w:type="dxa"/>
            <w:vAlign w:val="bottom"/>
            <w:tcBorders>
              <w:bottom w:val="single" w:sz="8" w:color="CF0A2C"/>
            </w:tcBorders>
            <w:gridSpan w:val="2"/>
          </w:tcPr>
          <w:p>
            <w:pPr>
              <w:spacing w:after="0"/>
              <w:rPr>
                <w:sz w:val="20"/>
                <w:szCs w:val="20"/>
                <w:color w:val="auto"/>
              </w:rPr>
            </w:pPr>
            <w:r>
              <w:rPr>
                <w:rFonts w:ascii="Arial" w:cs="Arial" w:eastAsia="Arial" w:hAnsi="Arial"/>
                <w:sz w:val="13"/>
                <w:szCs w:val="13"/>
                <w:b w:val="1"/>
                <w:bCs w:val="1"/>
                <w:color w:val="262626"/>
              </w:rPr>
              <w:t>    </w:t>
            </w:r>
          </w:p>
        </w:tc>
        <w:tc>
          <w:tcPr>
            <w:tcW w:w="1260" w:type="dxa"/>
            <w:vAlign w:val="bottom"/>
            <w:tcBorders>
              <w:bottom w:val="single" w:sz="8" w:color="CF0A2C"/>
            </w:tcBorders>
          </w:tcPr>
          <w:p>
            <w:pPr>
              <w:jc w:val="right"/>
              <w:ind w:right="163"/>
              <w:spacing w:after="0"/>
              <w:rPr>
                <w:sz w:val="20"/>
                <w:szCs w:val="20"/>
                <w:color w:val="auto"/>
              </w:rPr>
            </w:pPr>
            <w:r>
              <w:rPr>
                <w:rFonts w:ascii="Arial" w:cs="Arial" w:eastAsia="Arial" w:hAnsi="Arial"/>
                <w:sz w:val="13"/>
                <w:szCs w:val="13"/>
                <w:b w:val="1"/>
                <w:bCs w:val="1"/>
                <w:color w:val="262626"/>
              </w:rPr>
              <w:t>($ Millions)</w:t>
            </w:r>
          </w:p>
        </w:tc>
        <w:tc>
          <w:tcPr>
            <w:tcW w:w="1500" w:type="dxa"/>
            <w:vAlign w:val="bottom"/>
            <w:tcBorders>
              <w:bottom w:val="single" w:sz="8" w:color="CF0A2C"/>
            </w:tcBorders>
          </w:tcPr>
          <w:p>
            <w:pPr>
              <w:jc w:val="center"/>
              <w:spacing w:after="0"/>
              <w:rPr>
                <w:sz w:val="20"/>
                <w:szCs w:val="20"/>
                <w:color w:val="auto"/>
              </w:rPr>
            </w:pPr>
            <w:r>
              <w:rPr>
                <w:rFonts w:ascii="Arial" w:cs="Arial" w:eastAsia="Arial" w:hAnsi="Arial"/>
                <w:sz w:val="14"/>
                <w:szCs w:val="14"/>
                <w:b w:val="1"/>
                <w:bCs w:val="1"/>
                <w:color w:val="262626"/>
              </w:rPr>
              <w:t>($ Millions)</w:t>
            </w:r>
            <w:r>
              <w:rPr>
                <w:rFonts w:ascii="Arial" w:cs="Arial" w:eastAsia="Arial" w:hAnsi="Arial"/>
                <w:sz w:val="8"/>
                <w:szCs w:val="8"/>
                <w:b w:val="1"/>
                <w:bCs w:val="1"/>
                <w:color w:val="262626"/>
              </w:rPr>
              <w:t>(5)</w:t>
            </w:r>
            <w:r>
              <w:rPr>
                <w:rFonts w:ascii="Arial" w:cs="Arial" w:eastAsia="Arial" w:hAnsi="Arial"/>
                <w:sz w:val="14"/>
                <w:szCs w:val="14"/>
                <w:b w:val="1"/>
                <w:bCs w:val="1"/>
                <w:color w:val="262626"/>
              </w:rPr>
              <w:t xml:space="preserve">      </w:t>
            </w:r>
          </w:p>
        </w:tc>
        <w:tc>
          <w:tcPr>
            <w:tcW w:w="0" w:type="dxa"/>
            <w:vAlign w:val="bottom"/>
          </w:tcPr>
          <w:p>
            <w:pPr>
              <w:spacing w:after="0"/>
              <w:rPr>
                <w:sz w:val="1"/>
                <w:szCs w:val="1"/>
                <w:color w:val="auto"/>
              </w:rPr>
            </w:pPr>
          </w:p>
        </w:tc>
      </w:tr>
      <w:tr>
        <w:trPr>
          <w:trHeight w:val="262"/>
        </w:trPr>
        <w:tc>
          <w:tcPr>
            <w:tcW w:w="420" w:type="dxa"/>
            <w:vAlign w:val="bottom"/>
          </w:tcPr>
          <w:p>
            <w:pPr>
              <w:spacing w:after="0"/>
              <w:rPr>
                <w:sz w:val="20"/>
                <w:szCs w:val="20"/>
                <w:color w:val="auto"/>
              </w:rPr>
            </w:pPr>
            <w:r>
              <w:rPr>
                <w:rFonts w:ascii="Arial" w:cs="Arial" w:eastAsia="Arial" w:hAnsi="Arial"/>
                <w:sz w:val="16"/>
                <w:szCs w:val="16"/>
                <w:color w:val="262626"/>
              </w:rPr>
              <w:t>2025</w:t>
            </w:r>
          </w:p>
        </w:tc>
        <w:tc>
          <w:tcPr>
            <w:tcW w:w="1040" w:type="dxa"/>
            <w:vAlign w:val="bottom"/>
          </w:tcPr>
          <w:p>
            <w:pPr>
              <w:jc w:val="right"/>
              <w:spacing w:after="0"/>
              <w:rPr>
                <w:sz w:val="20"/>
                <w:szCs w:val="20"/>
                <w:color w:val="auto"/>
              </w:rPr>
            </w:pPr>
            <w:r>
              <w:rPr>
                <w:rFonts w:ascii="Arial" w:cs="Arial" w:eastAsia="Arial" w:hAnsi="Arial"/>
                <w:sz w:val="16"/>
                <w:szCs w:val="16"/>
                <w:color w:val="262626"/>
              </w:rPr>
              <w:t>205,278,006</w:t>
            </w:r>
          </w:p>
        </w:tc>
        <w:tc>
          <w:tcPr>
            <w:tcW w:w="1060" w:type="dxa"/>
            <w:vAlign w:val="bottom"/>
          </w:tcPr>
          <w:p>
            <w:pPr>
              <w:jc w:val="right"/>
              <w:ind w:right="69"/>
              <w:spacing w:after="0"/>
              <w:rPr>
                <w:sz w:val="20"/>
                <w:szCs w:val="20"/>
                <w:color w:val="auto"/>
              </w:rPr>
            </w:pPr>
            <w:r>
              <w:rPr>
                <w:rFonts w:ascii="Arial" w:cs="Arial" w:eastAsia="Arial" w:hAnsi="Arial"/>
                <w:sz w:val="16"/>
                <w:szCs w:val="16"/>
                <w:color w:val="262626"/>
              </w:rPr>
              <w:t>2,268</w:t>
            </w:r>
          </w:p>
        </w:tc>
        <w:tc>
          <w:tcPr>
            <w:tcW w:w="1020" w:type="dxa"/>
            <w:vAlign w:val="bottom"/>
          </w:tcPr>
          <w:p>
            <w:pPr>
              <w:jc w:val="right"/>
              <w:ind w:right="26"/>
              <w:spacing w:after="0"/>
              <w:rPr>
                <w:sz w:val="20"/>
                <w:szCs w:val="20"/>
                <w:color w:val="auto"/>
              </w:rPr>
            </w:pPr>
            <w:r>
              <w:rPr>
                <w:rFonts w:ascii="Arial" w:cs="Arial" w:eastAsia="Arial" w:hAnsi="Arial"/>
                <w:sz w:val="16"/>
                <w:szCs w:val="16"/>
                <w:color w:val="262626"/>
              </w:rPr>
              <w:t>19,632,894</w:t>
            </w:r>
          </w:p>
        </w:tc>
        <w:tc>
          <w:tcPr>
            <w:tcW w:w="1060" w:type="dxa"/>
            <w:vAlign w:val="bottom"/>
          </w:tcPr>
          <w:p>
            <w:pPr>
              <w:jc w:val="right"/>
              <w:spacing w:after="0"/>
              <w:rPr>
                <w:sz w:val="20"/>
                <w:szCs w:val="20"/>
                <w:color w:val="auto"/>
              </w:rPr>
            </w:pPr>
            <w:r>
              <w:rPr>
                <w:rFonts w:ascii="Arial" w:cs="Arial" w:eastAsia="Arial" w:hAnsi="Arial"/>
                <w:sz w:val="16"/>
                <w:szCs w:val="16"/>
                <w:color w:val="262626"/>
              </w:rPr>
              <w:t>332,352,803</w:t>
            </w:r>
          </w:p>
        </w:tc>
        <w:tc>
          <w:tcPr>
            <w:tcW w:w="900" w:type="dxa"/>
            <w:vAlign w:val="bottom"/>
            <w:gridSpan w:val="2"/>
          </w:tcPr>
          <w:p>
            <w:pPr>
              <w:jc w:val="right"/>
              <w:ind w:right="13"/>
              <w:spacing w:after="0"/>
              <w:rPr>
                <w:sz w:val="20"/>
                <w:szCs w:val="20"/>
                <w:color w:val="auto"/>
              </w:rPr>
            </w:pPr>
            <w:r>
              <w:rPr>
                <w:rFonts w:ascii="Arial" w:cs="Arial" w:eastAsia="Arial" w:hAnsi="Arial"/>
                <w:sz w:val="16"/>
                <w:szCs w:val="16"/>
                <w:color w:val="262626"/>
              </w:rPr>
              <w:t>1,182.35 </w:t>
            </w:r>
          </w:p>
        </w:tc>
        <w:tc>
          <w:tcPr>
            <w:tcW w:w="260" w:type="dxa"/>
            <w:vAlign w:val="bottom"/>
          </w:tcPr>
          <w:p>
            <w:pPr>
              <w:ind w:left="40"/>
              <w:spacing w:after="0"/>
              <w:rPr>
                <w:sz w:val="20"/>
                <w:szCs w:val="20"/>
                <w:color w:val="auto"/>
              </w:rPr>
            </w:pPr>
            <w:r>
              <w:rPr>
                <w:rFonts w:ascii="Arial" w:cs="Arial" w:eastAsia="Arial" w:hAnsi="Arial"/>
                <w:sz w:val="16"/>
                <w:szCs w:val="16"/>
                <w:color w:val="262626"/>
              </w:rPr>
              <w:t xml:space="preserve">   </w:t>
            </w:r>
          </w:p>
        </w:tc>
        <w:tc>
          <w:tcPr>
            <w:tcW w:w="620" w:type="dxa"/>
            <w:vAlign w:val="bottom"/>
            <w:gridSpan w:val="3"/>
          </w:tcPr>
          <w:p>
            <w:pPr>
              <w:ind w:left="80"/>
              <w:spacing w:after="0"/>
              <w:rPr>
                <w:sz w:val="20"/>
                <w:szCs w:val="20"/>
                <w:color w:val="auto"/>
              </w:rPr>
            </w:pPr>
            <w:r>
              <w:rPr>
                <w:rFonts w:ascii="Arial" w:cs="Arial" w:eastAsia="Arial" w:hAnsi="Arial"/>
                <w:sz w:val="16"/>
                <w:szCs w:val="16"/>
                <w:color w:val="262626"/>
                <w:w w:val="80"/>
              </w:rPr>
              <w:t>243.37 </w:t>
            </w:r>
          </w:p>
        </w:tc>
        <w:tc>
          <w:tcPr>
            <w:tcW w:w="260" w:type="dxa"/>
            <w:vAlign w:val="bottom"/>
          </w:tcPr>
          <w:p>
            <w:pPr>
              <w:ind w:left="120"/>
              <w:spacing w:after="0"/>
              <w:rPr>
                <w:sz w:val="20"/>
                <w:szCs w:val="20"/>
                <w:color w:val="auto"/>
              </w:rPr>
            </w:pPr>
            <w:r>
              <w:rPr>
                <w:rFonts w:ascii="Arial" w:cs="Arial" w:eastAsia="Arial" w:hAnsi="Arial"/>
                <w:sz w:val="16"/>
                <w:szCs w:val="16"/>
                <w:color w:val="262626"/>
              </w:rPr>
              <w:t xml:space="preserve">   </w:t>
            </w:r>
          </w:p>
        </w:tc>
        <w:tc>
          <w:tcPr>
            <w:tcW w:w="1260" w:type="dxa"/>
            <w:vAlign w:val="bottom"/>
          </w:tcPr>
          <w:p>
            <w:pPr>
              <w:jc w:val="right"/>
              <w:ind w:right="243"/>
              <w:spacing w:after="0"/>
              <w:rPr>
                <w:sz w:val="20"/>
                <w:szCs w:val="20"/>
                <w:color w:val="auto"/>
              </w:rPr>
            </w:pPr>
            <w:r>
              <w:rPr>
                <w:rFonts w:ascii="Arial" w:cs="Arial" w:eastAsia="Arial" w:hAnsi="Arial"/>
                <w:sz w:val="16"/>
                <w:szCs w:val="16"/>
                <w:color w:val="262626"/>
              </w:rPr>
              <w:t>23,126</w:t>
            </w:r>
          </w:p>
        </w:tc>
        <w:tc>
          <w:tcPr>
            <w:tcW w:w="1500" w:type="dxa"/>
            <w:vAlign w:val="bottom"/>
          </w:tcPr>
          <w:p>
            <w:pPr>
              <w:jc w:val="center"/>
              <w:ind w:left="44"/>
              <w:spacing w:after="0"/>
              <w:rPr>
                <w:sz w:val="20"/>
                <w:szCs w:val="20"/>
                <w:color w:val="auto"/>
              </w:rPr>
            </w:pPr>
            <w:r>
              <w:rPr>
                <w:rFonts w:ascii="Arial" w:cs="Arial" w:eastAsia="Arial" w:hAnsi="Arial"/>
                <w:sz w:val="16"/>
                <w:szCs w:val="16"/>
                <w:color w:val="262626"/>
              </w:rPr>
              <w:t>63,887</w:t>
            </w:r>
          </w:p>
        </w:tc>
        <w:tc>
          <w:tcPr>
            <w:tcW w:w="0" w:type="dxa"/>
            <w:vAlign w:val="bottom"/>
          </w:tcPr>
          <w:p>
            <w:pPr>
              <w:spacing w:after="0"/>
              <w:rPr>
                <w:sz w:val="1"/>
                <w:szCs w:val="1"/>
                <w:color w:val="auto"/>
              </w:rPr>
            </w:pPr>
          </w:p>
        </w:tc>
      </w:tr>
      <w:tr>
        <w:trPr>
          <w:trHeight w:val="322"/>
        </w:trPr>
        <w:tc>
          <w:tcPr>
            <w:tcW w:w="420" w:type="dxa"/>
            <w:vAlign w:val="bottom"/>
          </w:tcPr>
          <w:p>
            <w:pPr>
              <w:spacing w:after="0"/>
              <w:rPr>
                <w:sz w:val="20"/>
                <w:szCs w:val="20"/>
                <w:color w:val="auto"/>
              </w:rPr>
            </w:pPr>
            <w:r>
              <w:rPr>
                <w:rFonts w:ascii="Arial" w:cs="Arial" w:eastAsia="Arial" w:hAnsi="Arial"/>
                <w:sz w:val="16"/>
                <w:szCs w:val="16"/>
                <w:color w:val="262626"/>
              </w:rPr>
              <w:t>2024</w:t>
            </w:r>
          </w:p>
        </w:tc>
        <w:tc>
          <w:tcPr>
            <w:tcW w:w="1040" w:type="dxa"/>
            <w:vAlign w:val="bottom"/>
          </w:tcPr>
          <w:p>
            <w:pPr>
              <w:jc w:val="right"/>
              <w:spacing w:after="0"/>
              <w:rPr>
                <w:sz w:val="20"/>
                <w:szCs w:val="20"/>
                <w:color w:val="auto"/>
              </w:rPr>
            </w:pPr>
            <w:r>
              <w:rPr>
                <w:rFonts w:ascii="Arial" w:cs="Arial" w:eastAsia="Arial" w:hAnsi="Arial"/>
                <w:sz w:val="16"/>
                <w:szCs w:val="16"/>
                <w:color w:val="262626"/>
              </w:rPr>
              <w:t>2,634,542</w:t>
            </w:r>
          </w:p>
        </w:tc>
        <w:tc>
          <w:tcPr>
            <w:tcW w:w="1060" w:type="dxa"/>
            <w:vAlign w:val="bottom"/>
          </w:tcPr>
          <w:p>
            <w:pPr>
              <w:jc w:val="right"/>
              <w:ind w:right="69"/>
              <w:spacing w:after="0"/>
              <w:rPr>
                <w:sz w:val="20"/>
                <w:szCs w:val="20"/>
                <w:color w:val="auto"/>
              </w:rPr>
            </w:pPr>
            <w:r>
              <w:rPr>
                <w:rFonts w:ascii="Arial" w:cs="Arial" w:eastAsia="Arial" w:hAnsi="Arial"/>
                <w:sz w:val="16"/>
                <w:szCs w:val="16"/>
                <w:color w:val="262626"/>
              </w:rPr>
              <w:t>1,150</w:t>
            </w:r>
          </w:p>
        </w:tc>
        <w:tc>
          <w:tcPr>
            <w:tcW w:w="1020" w:type="dxa"/>
            <w:vAlign w:val="bottom"/>
          </w:tcPr>
          <w:p>
            <w:pPr>
              <w:jc w:val="right"/>
              <w:ind w:right="26"/>
              <w:spacing w:after="0"/>
              <w:rPr>
                <w:sz w:val="20"/>
                <w:szCs w:val="20"/>
                <w:color w:val="auto"/>
              </w:rPr>
            </w:pPr>
            <w:r>
              <w:rPr>
                <w:rFonts w:ascii="Arial" w:cs="Arial" w:eastAsia="Arial" w:hAnsi="Arial"/>
                <w:sz w:val="16"/>
                <w:szCs w:val="16"/>
                <w:color w:val="262626"/>
              </w:rPr>
              <w:t>10,633,084</w:t>
            </w:r>
          </w:p>
        </w:tc>
        <w:tc>
          <w:tcPr>
            <w:tcW w:w="1060" w:type="dxa"/>
            <w:vAlign w:val="bottom"/>
          </w:tcPr>
          <w:p>
            <w:pPr>
              <w:jc w:val="right"/>
              <w:spacing w:after="0"/>
              <w:rPr>
                <w:sz w:val="20"/>
                <w:szCs w:val="20"/>
                <w:color w:val="auto"/>
              </w:rPr>
            </w:pPr>
            <w:r>
              <w:rPr>
                <w:rFonts w:ascii="Arial" w:cs="Arial" w:eastAsia="Arial" w:hAnsi="Arial"/>
                <w:sz w:val="16"/>
                <w:szCs w:val="16"/>
                <w:color w:val="262626"/>
              </w:rPr>
              <w:t>190,786,530</w:t>
            </w:r>
          </w:p>
        </w:tc>
        <w:tc>
          <w:tcPr>
            <w:tcW w:w="900" w:type="dxa"/>
            <w:vAlign w:val="bottom"/>
            <w:gridSpan w:val="2"/>
          </w:tcPr>
          <w:p>
            <w:pPr>
              <w:jc w:val="right"/>
              <w:ind w:right="13"/>
              <w:spacing w:after="0"/>
              <w:rPr>
                <w:sz w:val="20"/>
                <w:szCs w:val="20"/>
                <w:color w:val="auto"/>
              </w:rPr>
            </w:pPr>
            <w:r>
              <w:rPr>
                <w:rFonts w:ascii="Arial" w:cs="Arial" w:eastAsia="Arial" w:hAnsi="Arial"/>
                <w:sz w:val="16"/>
                <w:szCs w:val="16"/>
                <w:color w:val="262626"/>
              </w:rPr>
              <w:t>535.10 </w:t>
            </w:r>
          </w:p>
        </w:tc>
        <w:tc>
          <w:tcPr>
            <w:tcW w:w="260" w:type="dxa"/>
            <w:vAlign w:val="bottom"/>
          </w:tcPr>
          <w:p>
            <w:pPr>
              <w:ind w:left="40"/>
              <w:spacing w:after="0"/>
              <w:rPr>
                <w:sz w:val="20"/>
                <w:szCs w:val="20"/>
                <w:color w:val="auto"/>
              </w:rPr>
            </w:pPr>
            <w:r>
              <w:rPr>
                <w:rFonts w:ascii="Arial" w:cs="Arial" w:eastAsia="Arial" w:hAnsi="Arial"/>
                <w:sz w:val="16"/>
                <w:szCs w:val="16"/>
                <w:color w:val="262626"/>
              </w:rPr>
              <w:t xml:space="preserve">   </w:t>
            </w:r>
          </w:p>
        </w:tc>
        <w:tc>
          <w:tcPr>
            <w:tcW w:w="620" w:type="dxa"/>
            <w:vAlign w:val="bottom"/>
            <w:gridSpan w:val="3"/>
          </w:tcPr>
          <w:p>
            <w:pPr>
              <w:ind w:left="80"/>
              <w:spacing w:after="0"/>
              <w:rPr>
                <w:sz w:val="20"/>
                <w:szCs w:val="20"/>
                <w:color w:val="auto"/>
              </w:rPr>
            </w:pPr>
            <w:r>
              <w:rPr>
                <w:rFonts w:ascii="Arial" w:cs="Arial" w:eastAsia="Arial" w:hAnsi="Arial"/>
                <w:sz w:val="16"/>
                <w:szCs w:val="16"/>
                <w:color w:val="262626"/>
                <w:w w:val="80"/>
              </w:rPr>
              <w:t>187.18 </w:t>
            </w:r>
          </w:p>
        </w:tc>
        <w:tc>
          <w:tcPr>
            <w:tcW w:w="260" w:type="dxa"/>
            <w:vAlign w:val="bottom"/>
          </w:tcPr>
          <w:p>
            <w:pPr>
              <w:ind w:left="120"/>
              <w:spacing w:after="0"/>
              <w:rPr>
                <w:sz w:val="20"/>
                <w:szCs w:val="20"/>
                <w:color w:val="auto"/>
              </w:rPr>
            </w:pPr>
            <w:r>
              <w:rPr>
                <w:rFonts w:ascii="Arial" w:cs="Arial" w:eastAsia="Arial" w:hAnsi="Arial"/>
                <w:sz w:val="16"/>
                <w:szCs w:val="16"/>
                <w:color w:val="262626"/>
              </w:rPr>
              <w:t xml:space="preserve">   </w:t>
            </w:r>
          </w:p>
        </w:tc>
        <w:tc>
          <w:tcPr>
            <w:tcW w:w="1260" w:type="dxa"/>
            <w:vAlign w:val="bottom"/>
          </w:tcPr>
          <w:p>
            <w:pPr>
              <w:jc w:val="right"/>
              <w:ind w:right="243"/>
              <w:spacing w:after="0"/>
              <w:rPr>
                <w:sz w:val="20"/>
                <w:szCs w:val="20"/>
                <w:color w:val="auto"/>
              </w:rPr>
            </w:pPr>
            <w:r>
              <w:rPr>
                <w:rFonts w:ascii="Arial" w:cs="Arial" w:eastAsia="Arial" w:hAnsi="Arial"/>
                <w:sz w:val="16"/>
                <w:szCs w:val="16"/>
                <w:color w:val="262626"/>
              </w:rPr>
              <w:t>5,895</w:t>
            </w:r>
          </w:p>
        </w:tc>
        <w:tc>
          <w:tcPr>
            <w:tcW w:w="1500" w:type="dxa"/>
            <w:vAlign w:val="bottom"/>
          </w:tcPr>
          <w:p>
            <w:pPr>
              <w:jc w:val="center"/>
              <w:ind w:left="44"/>
              <w:spacing w:after="0"/>
              <w:rPr>
                <w:sz w:val="20"/>
                <w:szCs w:val="20"/>
                <w:color w:val="auto"/>
              </w:rPr>
            </w:pPr>
            <w:r>
              <w:rPr>
                <w:rFonts w:ascii="Arial" w:cs="Arial" w:eastAsia="Arial" w:hAnsi="Arial"/>
                <w:sz w:val="16"/>
                <w:szCs w:val="16"/>
                <w:color w:val="262626"/>
              </w:rPr>
              <w:t>51,574</w:t>
            </w:r>
          </w:p>
        </w:tc>
        <w:tc>
          <w:tcPr>
            <w:tcW w:w="0" w:type="dxa"/>
            <w:vAlign w:val="bottom"/>
          </w:tcPr>
          <w:p>
            <w:pPr>
              <w:spacing w:after="0"/>
              <w:rPr>
                <w:sz w:val="1"/>
                <w:szCs w:val="1"/>
                <w:color w:val="auto"/>
              </w:rPr>
            </w:pPr>
          </w:p>
        </w:tc>
      </w:tr>
      <w:tr>
        <w:trPr>
          <w:trHeight w:val="322"/>
        </w:trPr>
        <w:tc>
          <w:tcPr>
            <w:tcW w:w="420" w:type="dxa"/>
            <w:vAlign w:val="bottom"/>
          </w:tcPr>
          <w:p>
            <w:pPr>
              <w:spacing w:after="0"/>
              <w:rPr>
                <w:sz w:val="20"/>
                <w:szCs w:val="20"/>
                <w:color w:val="auto"/>
              </w:rPr>
            </w:pPr>
            <w:r>
              <w:rPr>
                <w:rFonts w:ascii="Arial" w:cs="Arial" w:eastAsia="Arial" w:hAnsi="Arial"/>
                <w:sz w:val="16"/>
                <w:szCs w:val="16"/>
                <w:color w:val="262626"/>
              </w:rPr>
              <w:t>2023</w:t>
            </w:r>
          </w:p>
        </w:tc>
        <w:tc>
          <w:tcPr>
            <w:tcW w:w="1040" w:type="dxa"/>
            <w:vAlign w:val="bottom"/>
          </w:tcPr>
          <w:p>
            <w:pPr>
              <w:jc w:val="right"/>
              <w:spacing w:after="0"/>
              <w:rPr>
                <w:sz w:val="20"/>
                <w:szCs w:val="20"/>
                <w:color w:val="auto"/>
              </w:rPr>
            </w:pPr>
            <w:r>
              <w:rPr>
                <w:rFonts w:ascii="Arial" w:cs="Arial" w:eastAsia="Arial" w:hAnsi="Arial"/>
                <w:sz w:val="16"/>
                <w:szCs w:val="16"/>
                <w:color w:val="262626"/>
              </w:rPr>
              <w:t>161,826,161</w:t>
            </w:r>
          </w:p>
        </w:tc>
        <w:tc>
          <w:tcPr>
            <w:tcW w:w="1060" w:type="dxa"/>
            <w:vAlign w:val="bottom"/>
          </w:tcPr>
          <w:p>
            <w:pPr>
              <w:jc w:val="right"/>
              <w:ind w:right="69"/>
              <w:spacing w:after="0"/>
              <w:rPr>
                <w:sz w:val="20"/>
                <w:szCs w:val="20"/>
                <w:color w:val="auto"/>
              </w:rPr>
            </w:pPr>
            <w:r>
              <w:rPr>
                <w:rFonts w:ascii="Arial" w:cs="Arial" w:eastAsia="Arial" w:hAnsi="Arial"/>
                <w:sz w:val="16"/>
                <w:szCs w:val="16"/>
                <w:color w:val="262626"/>
              </w:rPr>
              <w:t>768</w:t>
            </w:r>
          </w:p>
        </w:tc>
        <w:tc>
          <w:tcPr>
            <w:tcW w:w="1020" w:type="dxa"/>
            <w:vAlign w:val="bottom"/>
          </w:tcPr>
          <w:p>
            <w:pPr>
              <w:jc w:val="right"/>
              <w:ind w:right="26"/>
              <w:spacing w:after="0"/>
              <w:rPr>
                <w:sz w:val="20"/>
                <w:szCs w:val="20"/>
                <w:color w:val="auto"/>
              </w:rPr>
            </w:pPr>
            <w:r>
              <w:rPr>
                <w:rFonts w:ascii="Arial" w:cs="Arial" w:eastAsia="Arial" w:hAnsi="Arial"/>
                <w:sz w:val="16"/>
                <w:szCs w:val="16"/>
                <w:color w:val="262626"/>
              </w:rPr>
              <w:t>26,807,158</w:t>
            </w:r>
          </w:p>
        </w:tc>
        <w:tc>
          <w:tcPr>
            <w:tcW w:w="1060" w:type="dxa"/>
            <w:vAlign w:val="bottom"/>
          </w:tcPr>
          <w:p>
            <w:pPr>
              <w:jc w:val="right"/>
              <w:spacing w:after="0"/>
              <w:rPr>
                <w:sz w:val="20"/>
                <w:szCs w:val="20"/>
                <w:color w:val="auto"/>
              </w:rPr>
            </w:pPr>
            <w:r>
              <w:rPr>
                <w:rFonts w:ascii="Arial" w:cs="Arial" w:eastAsia="Arial" w:hAnsi="Arial"/>
                <w:sz w:val="16"/>
                <w:szCs w:val="16"/>
                <w:color w:val="262626"/>
              </w:rPr>
              <w:t>119,860,261</w:t>
            </w:r>
          </w:p>
        </w:tc>
        <w:tc>
          <w:tcPr>
            <w:tcW w:w="900" w:type="dxa"/>
            <w:vAlign w:val="bottom"/>
            <w:gridSpan w:val="2"/>
          </w:tcPr>
          <w:p>
            <w:pPr>
              <w:jc w:val="right"/>
              <w:ind w:right="13"/>
              <w:spacing w:after="0"/>
              <w:rPr>
                <w:sz w:val="20"/>
                <w:szCs w:val="20"/>
                <w:color w:val="auto"/>
              </w:rPr>
            </w:pPr>
            <w:r>
              <w:rPr>
                <w:rFonts w:ascii="Arial" w:cs="Arial" w:eastAsia="Arial" w:hAnsi="Arial"/>
                <w:sz w:val="16"/>
                <w:szCs w:val="16"/>
                <w:color w:val="262626"/>
              </w:rPr>
              <w:t>261.58 </w:t>
            </w:r>
          </w:p>
        </w:tc>
        <w:tc>
          <w:tcPr>
            <w:tcW w:w="260" w:type="dxa"/>
            <w:vAlign w:val="bottom"/>
          </w:tcPr>
          <w:p>
            <w:pPr>
              <w:ind w:left="40"/>
              <w:spacing w:after="0"/>
              <w:rPr>
                <w:sz w:val="20"/>
                <w:szCs w:val="20"/>
                <w:color w:val="auto"/>
              </w:rPr>
            </w:pPr>
            <w:r>
              <w:rPr>
                <w:rFonts w:ascii="Arial" w:cs="Arial" w:eastAsia="Arial" w:hAnsi="Arial"/>
                <w:sz w:val="16"/>
                <w:szCs w:val="16"/>
                <w:color w:val="262626"/>
              </w:rPr>
              <w:t xml:space="preserve">   </w:t>
            </w:r>
          </w:p>
        </w:tc>
        <w:tc>
          <w:tcPr>
            <w:tcW w:w="620" w:type="dxa"/>
            <w:vAlign w:val="bottom"/>
            <w:gridSpan w:val="3"/>
          </w:tcPr>
          <w:p>
            <w:pPr>
              <w:ind w:left="80"/>
              <w:spacing w:after="0"/>
              <w:rPr>
                <w:sz w:val="20"/>
                <w:szCs w:val="20"/>
                <w:color w:val="auto"/>
              </w:rPr>
            </w:pPr>
            <w:r>
              <w:rPr>
                <w:rFonts w:ascii="Arial" w:cs="Arial" w:eastAsia="Arial" w:hAnsi="Arial"/>
                <w:sz w:val="16"/>
                <w:szCs w:val="16"/>
                <w:color w:val="262626"/>
                <w:w w:val="80"/>
              </w:rPr>
              <w:t>131.38 </w:t>
            </w:r>
          </w:p>
        </w:tc>
        <w:tc>
          <w:tcPr>
            <w:tcW w:w="260" w:type="dxa"/>
            <w:vAlign w:val="bottom"/>
          </w:tcPr>
          <w:p>
            <w:pPr>
              <w:ind w:left="120"/>
              <w:spacing w:after="0"/>
              <w:rPr>
                <w:sz w:val="20"/>
                <w:szCs w:val="20"/>
                <w:color w:val="auto"/>
              </w:rPr>
            </w:pPr>
            <w:r>
              <w:rPr>
                <w:rFonts w:ascii="Arial" w:cs="Arial" w:eastAsia="Arial" w:hAnsi="Arial"/>
                <w:sz w:val="16"/>
                <w:szCs w:val="16"/>
                <w:color w:val="262626"/>
              </w:rPr>
              <w:t xml:space="preserve">   </w:t>
            </w:r>
          </w:p>
        </w:tc>
        <w:tc>
          <w:tcPr>
            <w:tcW w:w="1260" w:type="dxa"/>
            <w:vAlign w:val="bottom"/>
          </w:tcPr>
          <w:p>
            <w:pPr>
              <w:jc w:val="right"/>
              <w:ind w:right="243"/>
              <w:spacing w:after="0"/>
              <w:rPr>
                <w:sz w:val="20"/>
                <w:szCs w:val="20"/>
                <w:color w:val="auto"/>
              </w:rPr>
            </w:pPr>
            <w:r>
              <w:rPr>
                <w:rFonts w:ascii="Arial" w:cs="Arial" w:eastAsia="Arial" w:hAnsi="Arial"/>
                <w:sz w:val="16"/>
                <w:szCs w:val="16"/>
                <w:color w:val="262626"/>
              </w:rPr>
              <w:t>14,082</w:t>
            </w:r>
          </w:p>
        </w:tc>
        <w:tc>
          <w:tcPr>
            <w:tcW w:w="1500" w:type="dxa"/>
            <w:vAlign w:val="bottom"/>
          </w:tcPr>
          <w:p>
            <w:pPr>
              <w:jc w:val="center"/>
              <w:ind w:left="44"/>
              <w:spacing w:after="0"/>
              <w:rPr>
                <w:sz w:val="20"/>
                <w:szCs w:val="20"/>
                <w:color w:val="auto"/>
              </w:rPr>
            </w:pPr>
            <w:r>
              <w:rPr>
                <w:rFonts w:ascii="Arial" w:cs="Arial" w:eastAsia="Arial" w:hAnsi="Arial"/>
                <w:sz w:val="16"/>
                <w:szCs w:val="16"/>
                <w:color w:val="262626"/>
              </w:rPr>
              <w:t>35,819</w:t>
            </w:r>
          </w:p>
        </w:tc>
        <w:tc>
          <w:tcPr>
            <w:tcW w:w="0" w:type="dxa"/>
            <w:vAlign w:val="bottom"/>
          </w:tcPr>
          <w:p>
            <w:pPr>
              <w:spacing w:after="0"/>
              <w:rPr>
                <w:sz w:val="1"/>
                <w:szCs w:val="1"/>
                <w:color w:val="auto"/>
              </w:rPr>
            </w:pPr>
          </w:p>
        </w:tc>
      </w:tr>
      <w:tr>
        <w:trPr>
          <w:trHeight w:val="322"/>
        </w:trPr>
        <w:tc>
          <w:tcPr>
            <w:tcW w:w="420" w:type="dxa"/>
            <w:vAlign w:val="bottom"/>
          </w:tcPr>
          <w:p>
            <w:pPr>
              <w:spacing w:after="0"/>
              <w:rPr>
                <w:sz w:val="20"/>
                <w:szCs w:val="20"/>
                <w:color w:val="auto"/>
              </w:rPr>
            </w:pPr>
            <w:r>
              <w:rPr>
                <w:rFonts w:ascii="Arial" w:cs="Arial" w:eastAsia="Arial" w:hAnsi="Arial"/>
                <w:sz w:val="16"/>
                <w:szCs w:val="16"/>
                <w:color w:val="262626"/>
              </w:rPr>
              <w:t>2022</w:t>
            </w:r>
          </w:p>
        </w:tc>
        <w:tc>
          <w:tcPr>
            <w:tcW w:w="1040" w:type="dxa"/>
            <w:vAlign w:val="bottom"/>
          </w:tcPr>
          <w:p>
            <w:pPr>
              <w:jc w:val="right"/>
              <w:spacing w:after="0"/>
              <w:rPr>
                <w:sz w:val="20"/>
                <w:szCs w:val="20"/>
                <w:color w:val="auto"/>
              </w:rPr>
            </w:pPr>
            <w:r>
              <w:rPr>
                <w:rFonts w:ascii="Arial" w:cs="Arial" w:eastAsia="Arial" w:hAnsi="Arial"/>
                <w:sz w:val="16"/>
                <w:szCs w:val="16"/>
                <w:color w:val="262626"/>
              </w:rPr>
              <w:t>60,606,971</w:t>
            </w:r>
          </w:p>
        </w:tc>
        <w:tc>
          <w:tcPr>
            <w:tcW w:w="1060" w:type="dxa"/>
            <w:vAlign w:val="bottom"/>
          </w:tcPr>
          <w:p>
            <w:pPr>
              <w:jc w:val="right"/>
              <w:ind w:right="69"/>
              <w:spacing w:after="0"/>
              <w:rPr>
                <w:sz w:val="20"/>
                <w:szCs w:val="20"/>
                <w:color w:val="auto"/>
              </w:rPr>
            </w:pPr>
            <w:r>
              <w:rPr>
                <w:rFonts w:ascii="Arial" w:cs="Arial" w:eastAsia="Arial" w:hAnsi="Arial"/>
                <w:sz w:val="16"/>
                <w:szCs w:val="16"/>
                <w:color w:val="262626"/>
              </w:rPr>
              <w:t>50</w:t>
            </w:r>
          </w:p>
        </w:tc>
        <w:tc>
          <w:tcPr>
            <w:tcW w:w="1020" w:type="dxa"/>
            <w:vAlign w:val="bottom"/>
          </w:tcPr>
          <w:p>
            <w:pPr>
              <w:jc w:val="right"/>
              <w:ind w:right="26"/>
              <w:spacing w:after="0"/>
              <w:rPr>
                <w:sz w:val="20"/>
                <w:szCs w:val="20"/>
                <w:color w:val="auto"/>
              </w:rPr>
            </w:pPr>
            <w:r>
              <w:rPr>
                <w:rFonts w:ascii="Arial" w:cs="Arial" w:eastAsia="Arial" w:hAnsi="Arial"/>
                <w:sz w:val="16"/>
                <w:szCs w:val="16"/>
                <w:color w:val="262626"/>
              </w:rPr>
              <w:t>4,444,960</w:t>
            </w:r>
          </w:p>
        </w:tc>
        <w:tc>
          <w:tcPr>
            <w:tcW w:w="1060" w:type="dxa"/>
            <w:vAlign w:val="bottom"/>
          </w:tcPr>
          <w:p>
            <w:pPr>
              <w:jc w:val="right"/>
              <w:spacing w:after="0"/>
              <w:rPr>
                <w:sz w:val="20"/>
                <w:szCs w:val="20"/>
                <w:color w:val="auto"/>
              </w:rPr>
            </w:pPr>
            <w:r>
              <w:rPr>
                <w:rFonts w:ascii="Arial" w:cs="Arial" w:eastAsia="Arial" w:hAnsi="Arial"/>
                <w:sz w:val="16"/>
                <w:szCs w:val="16"/>
                <w:color w:val="262626"/>
              </w:rPr>
              <w:t>(11,048,223)</w:t>
            </w:r>
          </w:p>
        </w:tc>
        <w:tc>
          <w:tcPr>
            <w:tcW w:w="900" w:type="dxa"/>
            <w:vAlign w:val="bottom"/>
            <w:gridSpan w:val="2"/>
          </w:tcPr>
          <w:p>
            <w:pPr>
              <w:jc w:val="right"/>
              <w:ind w:right="13"/>
              <w:spacing w:after="0"/>
              <w:rPr>
                <w:sz w:val="20"/>
                <w:szCs w:val="20"/>
                <w:color w:val="auto"/>
              </w:rPr>
            </w:pPr>
            <w:r>
              <w:rPr>
                <w:rFonts w:ascii="Arial" w:cs="Arial" w:eastAsia="Arial" w:hAnsi="Arial"/>
                <w:sz w:val="16"/>
                <w:szCs w:val="16"/>
                <w:color w:val="262626"/>
              </w:rPr>
              <w:t>143.70 </w:t>
            </w:r>
          </w:p>
        </w:tc>
        <w:tc>
          <w:tcPr>
            <w:tcW w:w="260" w:type="dxa"/>
            <w:vAlign w:val="bottom"/>
          </w:tcPr>
          <w:p>
            <w:pPr>
              <w:ind w:left="40"/>
              <w:spacing w:after="0"/>
              <w:rPr>
                <w:sz w:val="20"/>
                <w:szCs w:val="20"/>
                <w:color w:val="auto"/>
              </w:rPr>
            </w:pPr>
            <w:r>
              <w:rPr>
                <w:rFonts w:ascii="Arial" w:cs="Arial" w:eastAsia="Arial" w:hAnsi="Arial"/>
                <w:sz w:val="16"/>
                <w:szCs w:val="16"/>
                <w:color w:val="262626"/>
              </w:rPr>
              <w:t xml:space="preserve">   </w:t>
            </w:r>
          </w:p>
        </w:tc>
        <w:tc>
          <w:tcPr>
            <w:tcW w:w="620" w:type="dxa"/>
            <w:vAlign w:val="bottom"/>
            <w:gridSpan w:val="3"/>
          </w:tcPr>
          <w:p>
            <w:pPr>
              <w:ind w:left="80"/>
              <w:spacing w:after="0"/>
              <w:rPr>
                <w:sz w:val="20"/>
                <w:szCs w:val="20"/>
                <w:color w:val="auto"/>
              </w:rPr>
            </w:pPr>
            <w:r>
              <w:rPr>
                <w:rFonts w:ascii="Arial" w:cs="Arial" w:eastAsia="Arial" w:hAnsi="Arial"/>
                <w:sz w:val="16"/>
                <w:szCs w:val="16"/>
                <w:color w:val="262626"/>
                <w:w w:val="80"/>
              </w:rPr>
              <w:t>106.05 </w:t>
            </w:r>
          </w:p>
        </w:tc>
        <w:tc>
          <w:tcPr>
            <w:tcW w:w="260" w:type="dxa"/>
            <w:vAlign w:val="bottom"/>
          </w:tcPr>
          <w:p>
            <w:pPr>
              <w:ind w:left="120"/>
              <w:spacing w:after="0"/>
              <w:rPr>
                <w:sz w:val="20"/>
                <w:szCs w:val="20"/>
                <w:color w:val="auto"/>
              </w:rPr>
            </w:pPr>
            <w:r>
              <w:rPr>
                <w:rFonts w:ascii="Arial" w:cs="Arial" w:eastAsia="Arial" w:hAnsi="Arial"/>
                <w:sz w:val="16"/>
                <w:szCs w:val="16"/>
                <w:color w:val="262626"/>
              </w:rPr>
              <w:t xml:space="preserve">   </w:t>
            </w:r>
          </w:p>
        </w:tc>
        <w:tc>
          <w:tcPr>
            <w:tcW w:w="1260" w:type="dxa"/>
            <w:vAlign w:val="bottom"/>
          </w:tcPr>
          <w:p>
            <w:pPr>
              <w:jc w:val="right"/>
              <w:ind w:right="243"/>
              <w:spacing w:after="0"/>
              <w:rPr>
                <w:sz w:val="20"/>
                <w:szCs w:val="20"/>
                <w:color w:val="auto"/>
              </w:rPr>
            </w:pPr>
            <w:r>
              <w:rPr>
                <w:rFonts w:ascii="Arial" w:cs="Arial" w:eastAsia="Arial" w:hAnsi="Arial"/>
                <w:sz w:val="16"/>
                <w:szCs w:val="16"/>
                <w:color w:val="262626"/>
              </w:rPr>
              <w:t>11,495</w:t>
            </w:r>
          </w:p>
        </w:tc>
        <w:tc>
          <w:tcPr>
            <w:tcW w:w="1500" w:type="dxa"/>
            <w:vAlign w:val="bottom"/>
          </w:tcPr>
          <w:p>
            <w:pPr>
              <w:jc w:val="center"/>
              <w:ind w:left="44"/>
              <w:spacing w:after="0"/>
              <w:rPr>
                <w:sz w:val="20"/>
                <w:szCs w:val="20"/>
                <w:color w:val="auto"/>
              </w:rPr>
            </w:pPr>
            <w:r>
              <w:rPr>
                <w:rFonts w:ascii="Arial" w:cs="Arial" w:eastAsia="Arial" w:hAnsi="Arial"/>
                <w:sz w:val="16"/>
                <w:szCs w:val="16"/>
                <w:color w:val="262626"/>
              </w:rPr>
              <w:t>33,203</w:t>
            </w:r>
          </w:p>
        </w:tc>
        <w:tc>
          <w:tcPr>
            <w:tcW w:w="0" w:type="dxa"/>
            <w:vAlign w:val="bottom"/>
          </w:tcPr>
          <w:p>
            <w:pPr>
              <w:spacing w:after="0"/>
              <w:rPr>
                <w:sz w:val="1"/>
                <w:szCs w:val="1"/>
                <w:color w:val="auto"/>
              </w:rPr>
            </w:pPr>
          </w:p>
        </w:tc>
      </w:tr>
      <w:tr>
        <w:trPr>
          <w:trHeight w:val="322"/>
        </w:trPr>
        <w:tc>
          <w:tcPr>
            <w:tcW w:w="420" w:type="dxa"/>
            <w:vAlign w:val="bottom"/>
          </w:tcPr>
          <w:p>
            <w:pPr>
              <w:spacing w:after="0"/>
              <w:rPr>
                <w:sz w:val="20"/>
                <w:szCs w:val="20"/>
                <w:color w:val="auto"/>
              </w:rPr>
            </w:pPr>
            <w:r>
              <w:rPr>
                <w:rFonts w:ascii="Arial" w:cs="Arial" w:eastAsia="Arial" w:hAnsi="Arial"/>
                <w:sz w:val="16"/>
                <w:szCs w:val="16"/>
                <w:color w:val="262626"/>
              </w:rPr>
              <w:t>2021</w:t>
            </w:r>
          </w:p>
        </w:tc>
        <w:tc>
          <w:tcPr>
            <w:tcW w:w="1040" w:type="dxa"/>
            <w:vAlign w:val="bottom"/>
          </w:tcPr>
          <w:p>
            <w:pPr>
              <w:jc w:val="right"/>
              <w:spacing w:after="0"/>
              <w:rPr>
                <w:sz w:val="20"/>
                <w:szCs w:val="20"/>
                <w:color w:val="auto"/>
              </w:rPr>
            </w:pPr>
            <w:r>
              <w:rPr>
                <w:rFonts w:ascii="Arial" w:cs="Arial" w:eastAsia="Arial" w:hAnsi="Arial"/>
                <w:sz w:val="16"/>
                <w:szCs w:val="16"/>
                <w:color w:val="262626"/>
              </w:rPr>
              <w:t>60,703,627</w:t>
            </w:r>
          </w:p>
        </w:tc>
        <w:tc>
          <w:tcPr>
            <w:tcW w:w="1060" w:type="dxa"/>
            <w:vAlign w:val="bottom"/>
          </w:tcPr>
          <w:p>
            <w:pPr>
              <w:jc w:val="right"/>
              <w:ind w:right="69"/>
              <w:spacing w:after="0"/>
              <w:rPr>
                <w:sz w:val="20"/>
                <w:szCs w:val="20"/>
                <w:color w:val="auto"/>
              </w:rPr>
            </w:pPr>
            <w:r>
              <w:rPr>
                <w:rFonts w:ascii="Arial" w:cs="Arial" w:eastAsia="Arial" w:hAnsi="Arial"/>
                <w:sz w:val="16"/>
                <w:szCs w:val="16"/>
                <w:color w:val="262626"/>
              </w:rPr>
              <w:t>84</w:t>
            </w:r>
          </w:p>
        </w:tc>
        <w:tc>
          <w:tcPr>
            <w:tcW w:w="1020" w:type="dxa"/>
            <w:vAlign w:val="bottom"/>
          </w:tcPr>
          <w:p>
            <w:pPr>
              <w:jc w:val="right"/>
              <w:ind w:right="26"/>
              <w:spacing w:after="0"/>
              <w:rPr>
                <w:sz w:val="20"/>
                <w:szCs w:val="20"/>
                <w:color w:val="auto"/>
              </w:rPr>
            </w:pPr>
            <w:r>
              <w:rPr>
                <w:rFonts w:ascii="Arial" w:cs="Arial" w:eastAsia="Arial" w:hAnsi="Arial"/>
                <w:sz w:val="16"/>
                <w:szCs w:val="16"/>
                <w:color w:val="262626"/>
              </w:rPr>
              <w:t>14,983,358</w:t>
            </w:r>
          </w:p>
        </w:tc>
        <w:tc>
          <w:tcPr>
            <w:tcW w:w="1060" w:type="dxa"/>
            <w:vAlign w:val="bottom"/>
          </w:tcPr>
          <w:p>
            <w:pPr>
              <w:jc w:val="right"/>
              <w:spacing w:after="0"/>
              <w:rPr>
                <w:sz w:val="20"/>
                <w:szCs w:val="20"/>
                <w:color w:val="auto"/>
              </w:rPr>
            </w:pPr>
            <w:r>
              <w:rPr>
                <w:rFonts w:ascii="Arial" w:cs="Arial" w:eastAsia="Arial" w:hAnsi="Arial"/>
                <w:sz w:val="16"/>
                <w:szCs w:val="16"/>
                <w:color w:val="262626"/>
              </w:rPr>
              <w:t>42,183,932</w:t>
            </w:r>
          </w:p>
        </w:tc>
        <w:tc>
          <w:tcPr>
            <w:tcW w:w="900" w:type="dxa"/>
            <w:vAlign w:val="bottom"/>
            <w:gridSpan w:val="2"/>
          </w:tcPr>
          <w:p>
            <w:pPr>
              <w:jc w:val="right"/>
              <w:ind w:right="13"/>
              <w:spacing w:after="0"/>
              <w:rPr>
                <w:sz w:val="20"/>
                <w:szCs w:val="20"/>
                <w:color w:val="auto"/>
              </w:rPr>
            </w:pPr>
            <w:r>
              <w:rPr>
                <w:rFonts w:ascii="Arial" w:cs="Arial" w:eastAsia="Arial" w:hAnsi="Arial"/>
                <w:sz w:val="16"/>
                <w:szCs w:val="16"/>
                <w:color w:val="262626"/>
              </w:rPr>
              <w:t>156.83 </w:t>
            </w:r>
          </w:p>
        </w:tc>
        <w:tc>
          <w:tcPr>
            <w:tcW w:w="260" w:type="dxa"/>
            <w:vAlign w:val="bottom"/>
          </w:tcPr>
          <w:p>
            <w:pPr>
              <w:ind w:left="40"/>
              <w:spacing w:after="0"/>
              <w:rPr>
                <w:sz w:val="20"/>
                <w:szCs w:val="20"/>
                <w:color w:val="auto"/>
              </w:rPr>
            </w:pPr>
            <w:r>
              <w:rPr>
                <w:rFonts w:ascii="Arial" w:cs="Arial" w:eastAsia="Arial" w:hAnsi="Arial"/>
                <w:sz w:val="16"/>
                <w:szCs w:val="16"/>
                <w:color w:val="262626"/>
              </w:rPr>
              <w:t xml:space="preserve">   </w:t>
            </w:r>
          </w:p>
        </w:tc>
        <w:tc>
          <w:tcPr>
            <w:tcW w:w="620" w:type="dxa"/>
            <w:vAlign w:val="bottom"/>
            <w:gridSpan w:val="3"/>
          </w:tcPr>
          <w:p>
            <w:pPr>
              <w:ind w:left="80"/>
              <w:spacing w:after="0"/>
              <w:rPr>
                <w:sz w:val="20"/>
                <w:szCs w:val="20"/>
                <w:color w:val="auto"/>
              </w:rPr>
            </w:pPr>
            <w:r>
              <w:rPr>
                <w:rFonts w:ascii="Arial" w:cs="Arial" w:eastAsia="Arial" w:hAnsi="Arial"/>
                <w:sz w:val="16"/>
                <w:szCs w:val="16"/>
                <w:color w:val="262626"/>
                <w:w w:val="80"/>
              </w:rPr>
              <w:t>144.43 </w:t>
            </w:r>
          </w:p>
        </w:tc>
        <w:tc>
          <w:tcPr>
            <w:tcW w:w="260" w:type="dxa"/>
            <w:vAlign w:val="bottom"/>
          </w:tcPr>
          <w:p>
            <w:pPr>
              <w:ind w:left="120"/>
              <w:spacing w:after="0"/>
              <w:rPr>
                <w:sz w:val="20"/>
                <w:szCs w:val="20"/>
                <w:color w:val="auto"/>
              </w:rPr>
            </w:pPr>
            <w:r>
              <w:rPr>
                <w:rFonts w:ascii="Arial" w:cs="Arial" w:eastAsia="Arial" w:hAnsi="Arial"/>
                <w:sz w:val="16"/>
                <w:szCs w:val="16"/>
                <w:color w:val="262626"/>
              </w:rPr>
              <w:t xml:space="preserve">   </w:t>
            </w:r>
          </w:p>
        </w:tc>
        <w:tc>
          <w:tcPr>
            <w:tcW w:w="1260" w:type="dxa"/>
            <w:vAlign w:val="bottom"/>
          </w:tcPr>
          <w:p>
            <w:pPr>
              <w:jc w:val="right"/>
              <w:ind w:right="243"/>
              <w:spacing w:after="0"/>
              <w:rPr>
                <w:sz w:val="20"/>
                <w:szCs w:val="20"/>
                <w:color w:val="auto"/>
              </w:rPr>
            </w:pPr>
            <w:r>
              <w:rPr>
                <w:rFonts w:ascii="Arial" w:cs="Arial" w:eastAsia="Arial" w:hAnsi="Arial"/>
                <w:sz w:val="16"/>
                <w:szCs w:val="16"/>
                <w:color w:val="262626"/>
              </w:rPr>
              <w:t>6,736</w:t>
            </w:r>
          </w:p>
        </w:tc>
        <w:tc>
          <w:tcPr>
            <w:tcW w:w="1500" w:type="dxa"/>
            <w:vAlign w:val="bottom"/>
          </w:tcPr>
          <w:p>
            <w:pPr>
              <w:jc w:val="center"/>
              <w:ind w:left="44"/>
              <w:spacing w:after="0"/>
              <w:rPr>
                <w:sz w:val="20"/>
                <w:szCs w:val="20"/>
                <w:color w:val="auto"/>
              </w:rPr>
            </w:pPr>
            <w:r>
              <w:rPr>
                <w:rFonts w:ascii="Arial" w:cs="Arial" w:eastAsia="Arial" w:hAnsi="Arial"/>
                <w:sz w:val="16"/>
                <w:szCs w:val="16"/>
                <w:color w:val="262626"/>
              </w:rPr>
              <w:t>27,450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171450</wp:posOffset>
            </wp:positionV>
            <wp:extent cx="4343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321" w:lineRule="exact"/>
        <w:rPr>
          <w:sz w:val="20"/>
          <w:szCs w:val="20"/>
          <w:color w:val="auto"/>
        </w:rPr>
      </w:pPr>
    </w:p>
    <w:p>
      <w:pPr>
        <w:ind w:left="1620" w:right="700" w:hanging="344"/>
        <w:spacing w:after="0" w:line="350" w:lineRule="auto"/>
        <w:tabs>
          <w:tab w:leader="none" w:pos="1620" w:val="left"/>
        </w:tabs>
        <w:numPr>
          <w:ilvl w:val="0"/>
          <w:numId w:val="45"/>
        </w:numPr>
        <w:rPr>
          <w:rFonts w:ascii="Arial" w:cs="Arial" w:eastAsia="Arial" w:hAnsi="Arial"/>
          <w:sz w:val="14"/>
          <w:szCs w:val="14"/>
          <w:color w:val="262626"/>
        </w:rPr>
      </w:pPr>
      <w:r>
        <w:rPr>
          <w:rFonts w:ascii="Arial" w:cs="Arial" w:eastAsia="Arial" w:hAnsi="Arial"/>
          <w:sz w:val="14"/>
          <w:szCs w:val="14"/>
          <w:color w:val="262626"/>
        </w:rPr>
        <w:t>The amounts in this column are the amounts reported for Hock E. Tan, our PEO, for each corresponding fiscal year in the “Total” column of the SCT.</w:t>
      </w:r>
    </w:p>
    <w:p>
      <w:pPr>
        <w:ind w:left="1620" w:right="720" w:hanging="344"/>
        <w:spacing w:after="0" w:line="362" w:lineRule="auto"/>
        <w:tabs>
          <w:tab w:leader="none" w:pos="1620" w:val="left"/>
        </w:tabs>
        <w:numPr>
          <w:ilvl w:val="0"/>
          <w:numId w:val="45"/>
        </w:numPr>
        <w:rPr>
          <w:rFonts w:ascii="Arial" w:cs="Arial" w:eastAsia="Arial" w:hAnsi="Arial"/>
          <w:sz w:val="14"/>
          <w:szCs w:val="14"/>
          <w:color w:val="262626"/>
        </w:rPr>
      </w:pPr>
      <w:r>
        <w:rPr>
          <w:rFonts w:ascii="Arial" w:cs="Arial" w:eastAsia="Arial" w:hAnsi="Arial"/>
          <w:sz w:val="14"/>
          <w:szCs w:val="14"/>
          <w:color w:val="262626"/>
        </w:rPr>
        <w:t>The following table shows the fiscal 2025 amounts deducted from and added to the SCT total compensation to calculate the CAP to our NEOs in accordance with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106680</wp:posOffset>
            </wp:positionV>
            <wp:extent cx="53009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300980" cy="8255"/>
                    </a:xfrm>
                    <a:prstGeom prst="rect">
                      <a:avLst/>
                    </a:prstGeom>
                    <a:noFill/>
                  </pic:spPr>
                </pic:pic>
              </a:graphicData>
            </a:graphic>
          </wp:anchor>
        </w:drawing>
      </w:r>
    </w:p>
    <w:p>
      <w:pPr>
        <w:spacing w:after="0" w:line="214"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50"/>
              <w:spacing w:after="0"/>
              <w:rPr>
                <w:sz w:val="20"/>
                <w:szCs w:val="20"/>
                <w:color w:val="auto"/>
              </w:rPr>
            </w:pPr>
            <w:r>
              <w:rPr>
                <w:rFonts w:ascii="Arial" w:cs="Arial" w:eastAsia="Arial" w:hAnsi="Arial"/>
                <w:sz w:val="13"/>
                <w:szCs w:val="13"/>
                <w:b w:val="1"/>
                <w:bCs w:val="1"/>
                <w:color w:val="262626"/>
              </w:rPr>
              <w:t>2025</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44"/>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220" w:type="dxa"/>
            <w:vAlign w:val="bottom"/>
            <w:tcBorders>
              <w:bottom w:val="single" w:sz="8" w:color="A5A5A5"/>
            </w:tcBorders>
          </w:tcPr>
          <w:p>
            <w:pPr>
              <w:spacing w:after="0"/>
              <w:rPr>
                <w:sz w:val="3"/>
                <w:szCs w:val="3"/>
                <w:color w:val="auto"/>
              </w:rPr>
            </w:pPr>
          </w:p>
        </w:tc>
        <w:tc>
          <w:tcPr>
            <w:tcW w:w="1360" w:type="dxa"/>
            <w:vAlign w:val="bottom"/>
            <w:tcBorders>
              <w:bottom w:val="single" w:sz="8" w:color="A5A5A5"/>
            </w:tcBorders>
            <w:gridSpan w:val="2"/>
          </w:tcPr>
          <w:p>
            <w:pPr>
              <w:spacing w:after="0"/>
              <w:rPr>
                <w:sz w:val="3"/>
                <w:szCs w:val="3"/>
                <w:color w:val="auto"/>
              </w:rPr>
            </w:pPr>
          </w:p>
        </w:tc>
        <w:tc>
          <w:tcPr>
            <w:tcW w:w="2420" w:type="dxa"/>
            <w:vAlign w:val="bottom"/>
            <w:tcBorders>
              <w:bottom w:val="single" w:sz="8" w:color="A5A5A5"/>
            </w:tcBorders>
            <w:gridSpan w:val="3"/>
          </w:tcPr>
          <w:p>
            <w:pPr>
              <w:spacing w:after="0"/>
              <w:rPr>
                <w:sz w:val="3"/>
                <w:szCs w:val="3"/>
                <w:color w:val="auto"/>
              </w:rPr>
            </w:pPr>
          </w:p>
        </w:tc>
      </w:tr>
      <w:tr>
        <w:trPr>
          <w:trHeight w:val="23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262626"/>
              </w:rPr>
              <w:t>PEO</w:t>
            </w:r>
          </w:p>
        </w:tc>
        <w:tc>
          <w:tcPr>
            <w:tcW w:w="242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262626"/>
              </w:rPr>
              <w:t>Average for Non-PEOs</w:t>
            </w:r>
          </w:p>
        </w:tc>
      </w:tr>
      <w:tr>
        <w:trPr>
          <w:trHeight w:val="215"/>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58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262626"/>
              </w:rPr>
              <w:t xml:space="preserve">         ($)       </w:t>
            </w:r>
          </w:p>
        </w:tc>
        <w:tc>
          <w:tcPr>
            <w:tcW w:w="1700" w:type="dxa"/>
            <w:vAlign w:val="bottom"/>
            <w:gridSpan w:val="2"/>
          </w:tcPr>
          <w:p>
            <w:pPr>
              <w:jc w:val="right"/>
              <w:ind w:right="268"/>
              <w:spacing w:after="0"/>
              <w:rPr>
                <w:sz w:val="20"/>
                <w:szCs w:val="20"/>
                <w:color w:val="auto"/>
              </w:rPr>
            </w:pPr>
            <w:r>
              <w:rPr>
                <w:rFonts w:ascii="Arial" w:cs="Arial" w:eastAsia="Arial" w:hAnsi="Arial"/>
                <w:sz w:val="13"/>
                <w:szCs w:val="13"/>
                <w:b w:val="1"/>
                <w:bCs w:val="1"/>
                <w:color w:val="262626"/>
              </w:rPr>
              <w:t>($)</w:t>
            </w:r>
          </w:p>
        </w:tc>
        <w:tc>
          <w:tcPr>
            <w:tcW w:w="720" w:type="dxa"/>
            <w:vAlign w:val="bottom"/>
          </w:tcPr>
          <w:p>
            <w:pPr>
              <w:spacing w:after="0"/>
              <w:rPr>
                <w:sz w:val="18"/>
                <w:szCs w:val="18"/>
                <w:color w:val="auto"/>
              </w:rPr>
            </w:pPr>
          </w:p>
        </w:tc>
      </w:tr>
      <w:tr>
        <w:trPr>
          <w:trHeight w:val="98"/>
        </w:trPr>
        <w:tc>
          <w:tcPr>
            <w:tcW w:w="20" w:type="dxa"/>
            <w:vAlign w:val="bottom"/>
          </w:tcPr>
          <w:p>
            <w:pPr>
              <w:spacing w:after="0"/>
              <w:rPr>
                <w:sz w:val="8"/>
                <w:szCs w:val="8"/>
                <w:color w:val="auto"/>
              </w:rPr>
            </w:pPr>
          </w:p>
        </w:tc>
        <w:tc>
          <w:tcPr>
            <w:tcW w:w="4340" w:type="dxa"/>
            <w:vAlign w:val="bottom"/>
            <w:tcBorders>
              <w:bottom w:val="single" w:sz="8" w:color="CF0A2C"/>
            </w:tcBorders>
          </w:tcPr>
          <w:p>
            <w:pPr>
              <w:spacing w:after="0"/>
              <w:rPr>
                <w:sz w:val="8"/>
                <w:szCs w:val="8"/>
                <w:color w:val="auto"/>
              </w:rPr>
            </w:pPr>
          </w:p>
        </w:tc>
        <w:tc>
          <w:tcPr>
            <w:tcW w:w="220" w:type="dxa"/>
            <w:vAlign w:val="bottom"/>
            <w:tcBorders>
              <w:bottom w:val="single" w:sz="8" w:color="CF0A2C"/>
            </w:tcBorders>
          </w:tcPr>
          <w:p>
            <w:pPr>
              <w:spacing w:after="0"/>
              <w:rPr>
                <w:sz w:val="8"/>
                <w:szCs w:val="8"/>
                <w:color w:val="auto"/>
              </w:rPr>
            </w:pPr>
          </w:p>
        </w:tc>
        <w:tc>
          <w:tcPr>
            <w:tcW w:w="1360" w:type="dxa"/>
            <w:vAlign w:val="bottom"/>
            <w:tcBorders>
              <w:bottom w:val="single" w:sz="8" w:color="CF0A2C"/>
            </w:tcBorders>
            <w:gridSpan w:val="2"/>
          </w:tcPr>
          <w:p>
            <w:pPr>
              <w:spacing w:after="0"/>
              <w:rPr>
                <w:sz w:val="8"/>
                <w:szCs w:val="8"/>
                <w:color w:val="auto"/>
              </w:rPr>
            </w:pPr>
          </w:p>
        </w:tc>
        <w:tc>
          <w:tcPr>
            <w:tcW w:w="2420" w:type="dxa"/>
            <w:vAlign w:val="bottom"/>
            <w:tcBorders>
              <w:bottom w:val="single" w:sz="8" w:color="CF0A2C"/>
            </w:tcBorders>
            <w:gridSpan w:val="3"/>
          </w:tcPr>
          <w:p>
            <w:pPr>
              <w:spacing w:after="0"/>
              <w:rPr>
                <w:sz w:val="8"/>
                <w:szCs w:val="8"/>
                <w:color w:val="auto"/>
              </w:rPr>
            </w:pPr>
          </w:p>
        </w:tc>
      </w:tr>
      <w:tr>
        <w:trPr>
          <w:trHeight w:val="254"/>
        </w:trPr>
        <w:tc>
          <w:tcPr>
            <w:tcW w:w="4360" w:type="dxa"/>
            <w:vAlign w:val="bottom"/>
            <w:gridSpan w:val="2"/>
          </w:tcPr>
          <w:p>
            <w:pPr>
              <w:spacing w:after="0"/>
              <w:rPr>
                <w:sz w:val="20"/>
                <w:szCs w:val="20"/>
                <w:color w:val="auto"/>
              </w:rPr>
            </w:pPr>
            <w:r>
              <w:rPr>
                <w:rFonts w:ascii="Arial" w:cs="Arial" w:eastAsia="Arial" w:hAnsi="Arial"/>
                <w:sz w:val="14"/>
                <w:szCs w:val="14"/>
                <w:color w:val="262626"/>
              </w:rPr>
              <w:t>SCT Total</w:t>
            </w:r>
          </w:p>
        </w:tc>
        <w:tc>
          <w:tcPr>
            <w:tcW w:w="220" w:type="dxa"/>
            <w:vAlign w:val="bottom"/>
          </w:tcPr>
          <w:p>
            <w:pPr>
              <w:spacing w:after="0"/>
              <w:rPr>
                <w:sz w:val="22"/>
                <w:szCs w:val="22"/>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262626"/>
              </w:rPr>
              <w:t>   205,278,006</w:t>
            </w:r>
          </w:p>
        </w:tc>
        <w:tc>
          <w:tcPr>
            <w:tcW w:w="2420" w:type="dxa"/>
            <w:vAlign w:val="bottom"/>
            <w:gridSpan w:val="3"/>
          </w:tcPr>
          <w:p>
            <w:pPr>
              <w:jc w:val="right"/>
              <w:ind w:right="720"/>
              <w:spacing w:after="0"/>
              <w:rPr>
                <w:sz w:val="20"/>
                <w:szCs w:val="20"/>
                <w:color w:val="auto"/>
              </w:rPr>
            </w:pPr>
            <w:r>
              <w:rPr>
                <w:rFonts w:ascii="Arial" w:cs="Arial" w:eastAsia="Arial" w:hAnsi="Arial"/>
                <w:sz w:val="14"/>
                <w:szCs w:val="14"/>
                <w:color w:val="262626"/>
              </w:rPr>
              <w:t>   19,632,894</w:t>
            </w:r>
          </w:p>
        </w:tc>
      </w:tr>
      <w:tr>
        <w:trPr>
          <w:trHeight w:val="282"/>
        </w:trPr>
        <w:tc>
          <w:tcPr>
            <w:tcW w:w="4360" w:type="dxa"/>
            <w:vAlign w:val="bottom"/>
            <w:gridSpan w:val="2"/>
          </w:tcPr>
          <w:p>
            <w:pPr>
              <w:spacing w:after="0"/>
              <w:rPr>
                <w:sz w:val="20"/>
                <w:szCs w:val="20"/>
                <w:color w:val="auto"/>
              </w:rPr>
            </w:pPr>
            <w:r>
              <w:rPr>
                <w:rFonts w:ascii="Arial" w:cs="Arial" w:eastAsia="Arial" w:hAnsi="Arial"/>
                <w:sz w:val="14"/>
                <w:szCs w:val="14"/>
                <w:color w:val="262626"/>
              </w:rPr>
              <w:t>Value of Stock Awards in SCT</w:t>
            </w:r>
          </w:p>
        </w:tc>
        <w:tc>
          <w:tcPr>
            <w:tcW w:w="1580" w:type="dxa"/>
            <w:vAlign w:val="bottom"/>
            <w:gridSpan w:val="3"/>
          </w:tcPr>
          <w:p>
            <w:pPr>
              <w:jc w:val="right"/>
              <w:ind w:right="360"/>
              <w:spacing w:after="0"/>
              <w:rPr>
                <w:sz w:val="20"/>
                <w:szCs w:val="20"/>
                <w:color w:val="auto"/>
              </w:rPr>
            </w:pPr>
            <w:r>
              <w:rPr>
                <w:rFonts w:ascii="Arial" w:cs="Arial" w:eastAsia="Arial" w:hAnsi="Arial"/>
                <w:sz w:val="14"/>
                <w:szCs w:val="14"/>
                <w:color w:val="262626"/>
              </w:rPr>
              <w:t>(202,351,080)</w:t>
            </w:r>
          </w:p>
        </w:tc>
        <w:tc>
          <w:tcPr>
            <w:tcW w:w="2420" w:type="dxa"/>
            <w:vAlign w:val="bottom"/>
            <w:gridSpan w:val="3"/>
          </w:tcPr>
          <w:p>
            <w:pPr>
              <w:jc w:val="right"/>
              <w:ind w:right="680"/>
              <w:spacing w:after="0"/>
              <w:rPr>
                <w:sz w:val="20"/>
                <w:szCs w:val="20"/>
                <w:color w:val="auto"/>
              </w:rPr>
            </w:pPr>
            <w:r>
              <w:rPr>
                <w:rFonts w:ascii="Arial" w:cs="Arial" w:eastAsia="Arial" w:hAnsi="Arial"/>
                <w:sz w:val="14"/>
                <w:szCs w:val="14"/>
                <w:color w:val="262626"/>
              </w:rPr>
              <w:t>(18,124,037)</w:t>
            </w:r>
          </w:p>
        </w:tc>
      </w:tr>
      <w:tr>
        <w:trPr>
          <w:trHeight w:val="282"/>
        </w:trPr>
        <w:tc>
          <w:tcPr>
            <w:tcW w:w="4360" w:type="dxa"/>
            <w:vAlign w:val="bottom"/>
            <w:gridSpan w:val="2"/>
          </w:tcPr>
          <w:p>
            <w:pPr>
              <w:spacing w:after="0"/>
              <w:rPr>
                <w:sz w:val="20"/>
                <w:szCs w:val="20"/>
                <w:color w:val="auto"/>
              </w:rPr>
            </w:pPr>
            <w:r>
              <w:rPr>
                <w:rFonts w:ascii="Arial" w:cs="Arial" w:eastAsia="Arial" w:hAnsi="Arial"/>
                <w:sz w:val="14"/>
                <w:szCs w:val="14"/>
                <w:color w:val="262626"/>
              </w:rPr>
              <w:t>Year End Fair Value of Unvested Awards Granted in Current Year</w:t>
            </w:r>
          </w:p>
        </w:tc>
        <w:tc>
          <w:tcPr>
            <w:tcW w:w="1180" w:type="dxa"/>
            <w:vAlign w:val="bottom"/>
            <w:gridSpan w:val="2"/>
          </w:tcPr>
          <w:p>
            <w:pPr>
              <w:jc w:val="right"/>
              <w:spacing w:after="0"/>
              <w:rPr>
                <w:sz w:val="20"/>
                <w:szCs w:val="20"/>
                <w:color w:val="auto"/>
              </w:rPr>
            </w:pPr>
            <w:r>
              <w:rPr>
                <w:rFonts w:ascii="Arial" w:cs="Arial" w:eastAsia="Arial" w:hAnsi="Arial"/>
                <w:sz w:val="14"/>
                <w:szCs w:val="14"/>
                <w:color w:val="262626"/>
              </w:rPr>
              <w:t>219,080,056</w:t>
            </w:r>
          </w:p>
        </w:tc>
        <w:tc>
          <w:tcPr>
            <w:tcW w:w="40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262626"/>
              </w:rPr>
              <w:t>37,449,179</w:t>
            </w:r>
          </w:p>
        </w:tc>
        <w:tc>
          <w:tcPr>
            <w:tcW w:w="720" w:type="dxa"/>
            <w:vAlign w:val="bottom"/>
          </w:tcPr>
          <w:p>
            <w:pPr>
              <w:spacing w:after="0"/>
              <w:rPr>
                <w:sz w:val="24"/>
                <w:szCs w:val="24"/>
                <w:color w:val="auto"/>
              </w:rPr>
            </w:pPr>
          </w:p>
        </w:tc>
      </w:tr>
      <w:tr>
        <w:trPr>
          <w:trHeight w:val="282"/>
        </w:trPr>
        <w:tc>
          <w:tcPr>
            <w:tcW w:w="4360" w:type="dxa"/>
            <w:vAlign w:val="bottom"/>
            <w:gridSpan w:val="2"/>
          </w:tcPr>
          <w:p>
            <w:pPr>
              <w:spacing w:after="0"/>
              <w:rPr>
                <w:sz w:val="20"/>
                <w:szCs w:val="20"/>
                <w:color w:val="auto"/>
              </w:rPr>
            </w:pPr>
            <w:r>
              <w:rPr>
                <w:rFonts w:ascii="Arial" w:cs="Arial" w:eastAsia="Arial" w:hAnsi="Arial"/>
                <w:sz w:val="14"/>
                <w:szCs w:val="14"/>
                <w:color w:val="262626"/>
              </w:rPr>
              <w:t>Year Over Year Change in Fair Value of Unvested Awards from Prior</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262626"/>
              </w:rPr>
              <w:t>Years</w:t>
            </w:r>
          </w:p>
        </w:tc>
        <w:tc>
          <w:tcPr>
            <w:tcW w:w="1180" w:type="dxa"/>
            <w:vAlign w:val="bottom"/>
            <w:gridSpan w:val="2"/>
          </w:tcPr>
          <w:p>
            <w:pPr>
              <w:jc w:val="right"/>
              <w:spacing w:after="0"/>
              <w:rPr>
                <w:sz w:val="20"/>
                <w:szCs w:val="20"/>
                <w:color w:val="auto"/>
              </w:rPr>
            </w:pPr>
            <w:r>
              <w:rPr>
                <w:rFonts w:ascii="Arial" w:cs="Arial" w:eastAsia="Arial" w:hAnsi="Arial"/>
                <w:sz w:val="14"/>
                <w:szCs w:val="14"/>
                <w:color w:val="262626"/>
              </w:rPr>
              <w:t>2,045,498,218</w:t>
            </w:r>
          </w:p>
        </w:tc>
        <w:tc>
          <w:tcPr>
            <w:tcW w:w="4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262626"/>
              </w:rPr>
              <w:t>271,277,883</w:t>
            </w:r>
          </w:p>
        </w:tc>
        <w:tc>
          <w:tcPr>
            <w:tcW w:w="720" w:type="dxa"/>
            <w:vAlign w:val="bottom"/>
          </w:tcPr>
          <w:p>
            <w:pPr>
              <w:spacing w:after="0"/>
              <w:rPr>
                <w:sz w:val="18"/>
                <w:szCs w:val="18"/>
                <w:color w:val="auto"/>
              </w:rPr>
            </w:pPr>
          </w:p>
        </w:tc>
      </w:tr>
      <w:tr>
        <w:trPr>
          <w:trHeight w:val="282"/>
        </w:trPr>
        <w:tc>
          <w:tcPr>
            <w:tcW w:w="4360" w:type="dxa"/>
            <w:vAlign w:val="bottom"/>
            <w:gridSpan w:val="2"/>
          </w:tcPr>
          <w:p>
            <w:pPr>
              <w:spacing w:after="0"/>
              <w:rPr>
                <w:sz w:val="20"/>
                <w:szCs w:val="20"/>
                <w:color w:val="auto"/>
              </w:rPr>
            </w:pPr>
            <w:r>
              <w:rPr>
                <w:rFonts w:ascii="Arial" w:cs="Arial" w:eastAsia="Arial" w:hAnsi="Arial"/>
                <w:sz w:val="14"/>
                <w:szCs w:val="14"/>
                <w:color w:val="262626"/>
              </w:rPr>
              <w:t>Vesting Date Fair Value for Awards Granted and Vested in the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262626"/>
              </w:rPr>
              <w:t>Current Year</w:t>
            </w:r>
          </w:p>
        </w:tc>
        <w:tc>
          <w:tcPr>
            <w:tcW w:w="2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262626"/>
              </w:rPr>
              <w:t>—</w:t>
            </w:r>
          </w:p>
        </w:tc>
        <w:tc>
          <w:tcPr>
            <w:tcW w:w="1700" w:type="dxa"/>
            <w:vAlign w:val="bottom"/>
            <w:gridSpan w:val="2"/>
          </w:tcPr>
          <w:p>
            <w:pPr>
              <w:jc w:val="right"/>
              <w:spacing w:after="0"/>
              <w:rPr>
                <w:sz w:val="20"/>
                <w:szCs w:val="20"/>
                <w:color w:val="auto"/>
              </w:rPr>
            </w:pPr>
            <w:r>
              <w:rPr>
                <w:rFonts w:ascii="Arial" w:cs="Arial" w:eastAsia="Arial" w:hAnsi="Arial"/>
                <w:sz w:val="14"/>
                <w:szCs w:val="14"/>
                <w:color w:val="262626"/>
              </w:rPr>
              <w:t>910,225</w:t>
            </w:r>
          </w:p>
        </w:tc>
        <w:tc>
          <w:tcPr>
            <w:tcW w:w="720" w:type="dxa"/>
            <w:vAlign w:val="bottom"/>
          </w:tcPr>
          <w:p>
            <w:pPr>
              <w:spacing w:after="0"/>
              <w:rPr>
                <w:sz w:val="18"/>
                <w:szCs w:val="18"/>
                <w:color w:val="auto"/>
              </w:rPr>
            </w:pPr>
          </w:p>
        </w:tc>
      </w:tr>
      <w:tr>
        <w:trPr>
          <w:trHeight w:val="282"/>
        </w:trPr>
        <w:tc>
          <w:tcPr>
            <w:tcW w:w="4360" w:type="dxa"/>
            <w:vAlign w:val="bottom"/>
            <w:gridSpan w:val="2"/>
          </w:tcPr>
          <w:p>
            <w:pPr>
              <w:spacing w:after="0"/>
              <w:rPr>
                <w:sz w:val="20"/>
                <w:szCs w:val="20"/>
                <w:color w:val="auto"/>
              </w:rPr>
            </w:pPr>
            <w:r>
              <w:rPr>
                <w:rFonts w:ascii="Arial" w:cs="Arial" w:eastAsia="Arial" w:hAnsi="Arial"/>
                <w:sz w:val="14"/>
                <w:szCs w:val="14"/>
                <w:color w:val="262626"/>
              </w:rPr>
              <w:t>Change in Fair Value of Awards from Prior Years that Vested in</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262626"/>
              </w:rPr>
              <w:t>Current Year</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62626"/>
              </w:rPr>
              <w:t>—</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62626"/>
              </w:rPr>
              <w:t>21,206,659</w:t>
            </w:r>
          </w:p>
        </w:tc>
        <w:tc>
          <w:tcPr>
            <w:tcW w:w="720" w:type="dxa"/>
            <w:vAlign w:val="bottom"/>
          </w:tcPr>
          <w:p>
            <w:pPr>
              <w:spacing w:after="0"/>
              <w:rPr>
                <w:sz w:val="19"/>
                <w:szCs w:val="19"/>
                <w:color w:val="auto"/>
              </w:rPr>
            </w:pPr>
          </w:p>
        </w:tc>
      </w:tr>
      <w:tr>
        <w:trPr>
          <w:trHeight w:val="285"/>
        </w:trPr>
        <w:tc>
          <w:tcPr>
            <w:tcW w:w="4360" w:type="dxa"/>
            <w:vAlign w:val="bottom"/>
            <w:gridSpan w:val="2"/>
          </w:tcPr>
          <w:p>
            <w:pPr>
              <w:spacing w:after="0"/>
              <w:rPr>
                <w:sz w:val="20"/>
                <w:szCs w:val="20"/>
                <w:color w:val="auto"/>
              </w:rPr>
            </w:pPr>
            <w:r>
              <w:rPr>
                <w:rFonts w:ascii="Arial" w:cs="Arial" w:eastAsia="Arial" w:hAnsi="Arial"/>
                <w:sz w:val="14"/>
                <w:szCs w:val="14"/>
                <w:color w:val="262626"/>
              </w:rPr>
              <w:t>CAP</w:t>
            </w:r>
          </w:p>
        </w:tc>
        <w:tc>
          <w:tcPr>
            <w:tcW w:w="1180" w:type="dxa"/>
            <w:vAlign w:val="bottom"/>
            <w:gridSpan w:val="2"/>
          </w:tcPr>
          <w:p>
            <w:pPr>
              <w:jc w:val="right"/>
              <w:spacing w:after="0"/>
              <w:rPr>
                <w:sz w:val="20"/>
                <w:szCs w:val="20"/>
                <w:color w:val="auto"/>
              </w:rPr>
            </w:pPr>
            <w:r>
              <w:rPr>
                <w:rFonts w:ascii="Arial" w:cs="Arial" w:eastAsia="Arial" w:hAnsi="Arial"/>
                <w:sz w:val="14"/>
                <w:szCs w:val="14"/>
                <w:color w:val="262626"/>
              </w:rPr>
              <w:t>2,267,505,200</w:t>
            </w:r>
          </w:p>
        </w:tc>
        <w:tc>
          <w:tcPr>
            <w:tcW w:w="40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262626"/>
              </w:rPr>
              <w:t>332,352,803</w:t>
            </w:r>
          </w:p>
        </w:tc>
        <w:tc>
          <w:tcPr>
            <w:tcW w:w="720" w:type="dxa"/>
            <w:vAlign w:val="bottom"/>
          </w:tcPr>
          <w:p>
            <w:pPr>
              <w:spacing w:after="0"/>
              <w:rPr>
                <w:sz w:val="24"/>
                <w:szCs w:val="24"/>
                <w:color w:val="auto"/>
              </w:rPr>
            </w:pPr>
          </w:p>
        </w:tc>
      </w:tr>
    </w:tbl>
    <w:p>
      <w:pPr>
        <w:spacing w:after="0" w:line="267" w:lineRule="exact"/>
        <w:rPr>
          <w:sz w:val="20"/>
          <w:szCs w:val="20"/>
          <w:color w:val="auto"/>
        </w:rPr>
      </w:pPr>
    </w:p>
    <w:p>
      <w:pPr>
        <w:jc w:val="both"/>
        <w:ind w:left="1620" w:right="720" w:hanging="344"/>
        <w:spacing w:after="0" w:line="334" w:lineRule="auto"/>
        <w:tabs>
          <w:tab w:leader="none" w:pos="1620" w:val="left"/>
        </w:tabs>
        <w:numPr>
          <w:ilvl w:val="0"/>
          <w:numId w:val="46"/>
        </w:numPr>
        <w:rPr>
          <w:rFonts w:ascii="Arial" w:cs="Arial" w:eastAsia="Arial" w:hAnsi="Arial"/>
          <w:sz w:val="14"/>
          <w:szCs w:val="14"/>
          <w:color w:val="262626"/>
        </w:rPr>
      </w:pPr>
      <w:r>
        <w:rPr>
          <w:rFonts w:ascii="Arial" w:cs="Arial" w:eastAsia="Arial" w:hAnsi="Arial"/>
          <w:sz w:val="14"/>
          <w:szCs w:val="14"/>
          <w:color w:val="262626"/>
        </w:rPr>
        <w:t>The amounts in this column are the average amounts reported for our Non-PEO NEOs for each corresponding year in the “Total” column of the SCT for the relevant year. For each of fiscal 2025, 2024 and 2023, our Non-PEO NEOs were Kirsten M. Spears, Mark D. Brazeal and Charlie B. Kawwas, Ph.D. For each of fiscal 2022 and 2021, our Non-PEO NEOs were Kirsten M. Spears, Mark D. Brazeal, Charlie B. Kawwas, Ph.D. and Thomas H. Krause, Jr.</w:t>
      </w:r>
    </w:p>
    <w:p>
      <w:pPr>
        <w:spacing w:after="0" w:line="3" w:lineRule="exact"/>
        <w:rPr>
          <w:rFonts w:ascii="Arial" w:cs="Arial" w:eastAsia="Arial" w:hAnsi="Arial"/>
          <w:sz w:val="14"/>
          <w:szCs w:val="14"/>
          <w:color w:val="262626"/>
        </w:rPr>
      </w:pPr>
    </w:p>
    <w:p>
      <w:pPr>
        <w:jc w:val="both"/>
        <w:ind w:left="1620" w:right="720" w:hanging="344"/>
        <w:spacing w:after="0" w:line="334" w:lineRule="auto"/>
        <w:tabs>
          <w:tab w:leader="none" w:pos="1620" w:val="left"/>
        </w:tabs>
        <w:numPr>
          <w:ilvl w:val="0"/>
          <w:numId w:val="46"/>
        </w:numPr>
        <w:rPr>
          <w:rFonts w:ascii="Arial" w:cs="Arial" w:eastAsia="Arial" w:hAnsi="Arial"/>
          <w:sz w:val="14"/>
          <w:szCs w:val="14"/>
          <w:color w:val="262626"/>
        </w:rPr>
      </w:pPr>
      <w:r>
        <w:rPr>
          <w:rFonts w:ascii="Arial" w:cs="Arial" w:eastAsia="Arial" w:hAnsi="Arial"/>
          <w:sz w:val="14"/>
          <w:szCs w:val="14"/>
          <w:color w:val="262626"/>
        </w:rPr>
        <w:t>The NASDAQ 100 Index is the industry peer group we used for the purposes of the stock performance graph required by Item 201(e) of Regulation S-K included in our 2025 Annual Report. This table assumes $100 was invested in Broadcom and in the NASDAQ 100 Index, respectively, for the period starting October 30, 2020 through the end of the listed fiscal year. Historical stock performance is not necessarily indicative of future stock performance.</w:t>
      </w:r>
    </w:p>
    <w:p>
      <w:pPr>
        <w:spacing w:after="0" w:line="3" w:lineRule="exact"/>
        <w:rPr>
          <w:rFonts w:ascii="Arial" w:cs="Arial" w:eastAsia="Arial" w:hAnsi="Arial"/>
          <w:sz w:val="14"/>
          <w:szCs w:val="14"/>
          <w:color w:val="262626"/>
        </w:rPr>
      </w:pPr>
    </w:p>
    <w:p>
      <w:pPr>
        <w:jc w:val="both"/>
        <w:ind w:left="1620" w:right="700" w:hanging="344"/>
        <w:spacing w:after="0" w:line="334" w:lineRule="auto"/>
        <w:tabs>
          <w:tab w:leader="none" w:pos="1620" w:val="left"/>
        </w:tabs>
        <w:numPr>
          <w:ilvl w:val="0"/>
          <w:numId w:val="46"/>
        </w:numPr>
        <w:rPr>
          <w:rFonts w:ascii="Arial" w:cs="Arial" w:eastAsia="Arial" w:hAnsi="Arial"/>
          <w:sz w:val="14"/>
          <w:szCs w:val="14"/>
          <w:color w:val="262626"/>
        </w:rPr>
      </w:pPr>
      <w:r>
        <w:rPr>
          <w:rFonts w:ascii="Arial" w:cs="Arial" w:eastAsia="Arial" w:hAnsi="Arial"/>
          <w:sz w:val="14"/>
          <w:szCs w:val="14"/>
          <w:color w:val="262626"/>
        </w:rPr>
        <w:t>As discussed under “</w:t>
      </w:r>
      <w:r>
        <w:rPr>
          <w:rFonts w:ascii="Arial" w:cs="Arial" w:eastAsia="Arial" w:hAnsi="Arial"/>
          <w:sz w:val="14"/>
          <w:szCs w:val="14"/>
          <w:i w:val="1"/>
          <w:iCs w:val="1"/>
          <w:color w:val="262626"/>
        </w:rPr>
        <w:t>Compensation Discussion and Analysis — Elements of Fiscal 2025 Executive Compensation Program —</w:t>
      </w:r>
      <w:r>
        <w:rPr>
          <w:rFonts w:ascii="Arial" w:cs="Arial" w:eastAsia="Arial" w:hAnsi="Arial"/>
          <w:sz w:val="14"/>
          <w:szCs w:val="14"/>
          <w:color w:val="262626"/>
        </w:rPr>
        <w:t xml:space="preserve"> </w:t>
      </w:r>
      <w:r>
        <w:rPr>
          <w:rFonts w:ascii="Arial" w:cs="Arial" w:eastAsia="Arial" w:hAnsi="Arial"/>
          <w:sz w:val="14"/>
          <w:szCs w:val="14"/>
          <w:i w:val="1"/>
          <w:iCs w:val="1"/>
          <w:color w:val="262626"/>
        </w:rPr>
        <w:t>Annual Cash Incentive Bonus Plan</w:t>
      </w:r>
      <w:r>
        <w:rPr>
          <w:rFonts w:ascii="Arial" w:cs="Arial" w:eastAsia="Arial" w:hAnsi="Arial"/>
          <w:sz w:val="14"/>
          <w:szCs w:val="14"/>
          <w:color w:val="262626"/>
        </w:rPr>
        <w:t>” above, net revenue is one of the corporate financial goals used to determine the APB Plan</w:t>
      </w:r>
      <w:r>
        <w:rPr>
          <w:rFonts w:ascii="Arial" w:cs="Arial" w:eastAsia="Arial" w:hAnsi="Arial"/>
          <w:sz w:val="14"/>
          <w:szCs w:val="14"/>
          <w:i w:val="1"/>
          <w:iCs w:val="1"/>
          <w:color w:val="262626"/>
        </w:rPr>
        <w:t xml:space="preserve"> </w:t>
      </w:r>
      <w:r>
        <w:rPr>
          <w:rFonts w:ascii="Arial" w:cs="Arial" w:eastAsia="Arial" w:hAnsi="Arial"/>
          <w:sz w:val="14"/>
          <w:szCs w:val="14"/>
          <w:color w:val="262626"/>
        </w:rPr>
        <w:t>payout, and was determined to be the most important financial performance measure used to link Broadcom performance to CAP to our PEO and Non-PEO NEOs for fiscal 2025.</w:t>
      </w:r>
    </w:p>
    <w:p>
      <w:pPr>
        <w:sectPr>
          <w:pgSz w:w="11900" w:h="16838" w:orient="portrait"/>
          <w:cols w:equalWidth="0" w:num="1">
            <w:col w:w="10680"/>
          </w:cols>
          <w:pgMar w:left="320" w:top="479" w:right="899" w:bottom="1440" w:gutter="0" w:footer="0" w:header="0"/>
        </w:sectPr>
      </w:pPr>
    </w:p>
    <w:p>
      <w:pPr>
        <w:spacing w:after="0" w:line="75"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680"/>
          </w:cols>
          <w:pgMar w:left="320" w:top="479" w:right="8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RELATIONSHIP BETWEEN CAP AND FINANCIAL PERFORMANCE</w:t>
      </w:r>
    </w:p>
    <w:p>
      <w:pPr>
        <w:spacing w:after="0" w:line="267" w:lineRule="exact"/>
        <w:rPr>
          <w:sz w:val="20"/>
          <w:szCs w:val="20"/>
          <w:color w:val="auto"/>
        </w:rPr>
      </w:pPr>
    </w:p>
    <w:p>
      <w:pPr>
        <w:jc w:val="both"/>
        <w:ind w:left="1280" w:right="179"/>
        <w:spacing w:after="0" w:line="352" w:lineRule="auto"/>
        <w:rPr>
          <w:sz w:val="20"/>
          <w:szCs w:val="20"/>
          <w:color w:val="auto"/>
        </w:rPr>
      </w:pPr>
      <w:r>
        <w:rPr>
          <w:rFonts w:ascii="Arial" w:cs="Arial" w:eastAsia="Arial" w:hAnsi="Arial"/>
          <w:sz w:val="16"/>
          <w:szCs w:val="16"/>
          <w:color w:val="262626"/>
        </w:rPr>
        <w:t>The following charts illustrate the relationship between CAP to our PEO and the average of CAP to our Non-PEO NEOs, and our cumulative TSR, the Nasdaq 100 TSR, our net income and our net revenue, respectively, over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108585</wp:posOffset>
            </wp:positionV>
            <wp:extent cx="4917440" cy="5522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17440" cy="552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850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215265</wp:posOffset>
            </wp:positionV>
            <wp:extent cx="4917440" cy="28721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17440"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TABULAR LIST OF MOST IMPORTANT FINANCIAL PERFORMANCE MEASURES</w:t>
      </w:r>
    </w:p>
    <w:p>
      <w:pPr>
        <w:spacing w:after="0" w:line="267" w:lineRule="exact"/>
        <w:rPr>
          <w:sz w:val="20"/>
          <w:szCs w:val="20"/>
          <w:color w:val="auto"/>
        </w:rPr>
      </w:pPr>
    </w:p>
    <w:p>
      <w:pPr>
        <w:jc w:val="both"/>
        <w:ind w:left="1280" w:right="159"/>
        <w:spacing w:after="0" w:line="337" w:lineRule="auto"/>
        <w:rPr>
          <w:sz w:val="20"/>
          <w:szCs w:val="20"/>
          <w:color w:val="auto"/>
        </w:rPr>
      </w:pPr>
      <w:r>
        <w:rPr>
          <w:rFonts w:ascii="Arial" w:cs="Arial" w:eastAsia="Arial" w:hAnsi="Arial"/>
          <w:sz w:val="16"/>
          <w:szCs w:val="16"/>
          <w:color w:val="262626"/>
        </w:rPr>
        <w:t>The following table presents the financial performance and non-financial performance measures that Broadcom considers to have been the most important in linking CAP to our PEO and other NEOs to Broadcom’s performance for fiscal 2025. The measures in this table are further described in “</w:t>
      </w:r>
      <w:r>
        <w:rPr>
          <w:rFonts w:ascii="Arial" w:cs="Arial" w:eastAsia="Arial" w:hAnsi="Arial"/>
          <w:sz w:val="16"/>
          <w:szCs w:val="16"/>
          <w:i w:val="1"/>
          <w:iCs w:val="1"/>
          <w:color w:val="262626"/>
        </w:rPr>
        <w:t>Compensation Discussion and Analysis”</w:t>
      </w:r>
      <w:r>
        <w:rPr>
          <w:rFonts w:ascii="Arial" w:cs="Arial" w:eastAsia="Arial" w:hAnsi="Arial"/>
          <w:sz w:val="16"/>
          <w:szCs w:val="16"/>
          <w:color w:val="262626"/>
        </w:rPr>
        <w:t xml:space="preserve"> and are not ranked. All financial performance measures we used to link CAP of our PEO’s and other NEO’s to Broadcom’s performance for fiscal 2025 are included on this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126365</wp:posOffset>
            </wp:positionV>
            <wp:extent cx="2130425" cy="9798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30425" cy="979805"/>
                    </a:xfrm>
                    <a:prstGeom prst="rect">
                      <a:avLst/>
                    </a:prstGeom>
                    <a:noFill/>
                  </pic:spPr>
                </pic:pic>
              </a:graphicData>
            </a:graphic>
          </wp:anchor>
        </w:drawing>
      </w:r>
    </w:p>
    <w:p>
      <w:pPr>
        <w:spacing w:after="0" w:line="326"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262626"/>
        </w:rPr>
        <w:t>Net Revenue    </w:t>
      </w:r>
    </w:p>
    <w:p>
      <w:pPr>
        <w:spacing w:after="0" w:line="58"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262626"/>
        </w:rPr>
        <w:t>Adjusted Non-GAAP Operating Margin    </w:t>
      </w:r>
    </w:p>
    <w:p>
      <w:pPr>
        <w:spacing w:after="0" w:line="71" w:lineRule="exact"/>
        <w:rPr>
          <w:sz w:val="20"/>
          <w:szCs w:val="20"/>
          <w:color w:val="auto"/>
        </w:rPr>
      </w:pPr>
    </w:p>
    <w:p>
      <w:pPr>
        <w:ind w:left="4220"/>
        <w:spacing w:after="0"/>
        <w:rPr>
          <w:sz w:val="20"/>
          <w:szCs w:val="20"/>
          <w:color w:val="auto"/>
        </w:rPr>
      </w:pPr>
      <w:r>
        <w:rPr>
          <w:rFonts w:ascii="Arial" w:cs="Arial" w:eastAsia="Arial" w:hAnsi="Arial"/>
          <w:sz w:val="16"/>
          <w:szCs w:val="16"/>
          <w:color w:val="262626"/>
        </w:rPr>
        <w:t>Division Financial and Strategic Goals    </w:t>
      </w:r>
    </w:p>
    <w:p>
      <w:pPr>
        <w:spacing w:after="0" w:line="71" w:lineRule="exact"/>
        <w:rPr>
          <w:sz w:val="20"/>
          <w:szCs w:val="20"/>
          <w:color w:val="auto"/>
        </w:rPr>
      </w:pPr>
    </w:p>
    <w:p>
      <w:pPr>
        <w:ind w:left="4440"/>
        <w:spacing w:after="0"/>
        <w:rPr>
          <w:sz w:val="20"/>
          <w:szCs w:val="20"/>
          <w:color w:val="auto"/>
        </w:rPr>
      </w:pPr>
      <w:r>
        <w:rPr>
          <w:rFonts w:ascii="Arial" w:cs="Arial" w:eastAsia="Arial" w:hAnsi="Arial"/>
          <w:sz w:val="16"/>
          <w:szCs w:val="16"/>
          <w:color w:val="262626"/>
        </w:rPr>
        <w:t>Individual Performance Modifier    </w:t>
      </w:r>
    </w:p>
    <w:p>
      <w:pPr>
        <w:spacing w:after="0" w:line="58" w:lineRule="exact"/>
        <w:rPr>
          <w:sz w:val="20"/>
          <w:szCs w:val="20"/>
          <w:color w:val="auto"/>
        </w:rPr>
      </w:pPr>
    </w:p>
    <w:p>
      <w:pPr>
        <w:ind w:left="4100"/>
        <w:spacing w:after="0"/>
        <w:rPr>
          <w:sz w:val="20"/>
          <w:szCs w:val="20"/>
          <w:color w:val="auto"/>
        </w:rPr>
      </w:pPr>
      <w:r>
        <w:rPr>
          <w:rFonts w:ascii="Arial" w:cs="Arial" w:eastAsia="Arial" w:hAnsi="Arial"/>
          <w:sz w:val="16"/>
          <w:szCs w:val="16"/>
          <w:color w:val="262626"/>
        </w:rPr>
        <w:t>TSR performance relative to the S&amp;P 500    </w:t>
      </w:r>
    </w:p>
    <w:p>
      <w:pPr>
        <w:spacing w:after="0" w:line="200" w:lineRule="exact"/>
        <w:rPr>
          <w:sz w:val="20"/>
          <w:szCs w:val="20"/>
          <w:color w:val="auto"/>
        </w:rPr>
      </w:pPr>
    </w:p>
    <w:p>
      <w:pPr>
        <w:spacing w:after="0" w:line="391" w:lineRule="exact"/>
        <w:rPr>
          <w:sz w:val="20"/>
          <w:szCs w:val="20"/>
          <w:color w:val="auto"/>
        </w:rPr>
      </w:pPr>
    </w:p>
    <w:p>
      <w:pPr>
        <w:jc w:val="right"/>
        <w:ind w:right="159"/>
        <w:spacing w:after="0"/>
        <w:rPr>
          <w:sz w:val="20"/>
          <w:szCs w:val="20"/>
          <w:color w:val="auto"/>
        </w:rPr>
      </w:pPr>
      <w:r>
        <w:rPr>
          <w:rFonts w:ascii="Arial" w:cs="Arial" w:eastAsia="Arial" w:hAnsi="Arial"/>
          <w:sz w:val="15"/>
          <w:szCs w:val="15"/>
          <w:color w:val="262626"/>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2860"/>
        <w:spacing w:after="0"/>
        <w:rPr>
          <w:sz w:val="20"/>
          <w:szCs w:val="20"/>
          <w:color w:val="auto"/>
        </w:rPr>
      </w:pPr>
      <w:r>
        <w:rPr>
          <w:rFonts w:ascii="Arial" w:cs="Arial" w:eastAsia="Arial" w:hAnsi="Arial"/>
          <w:sz w:val="25"/>
          <w:szCs w:val="25"/>
          <w:color w:val="CF0A2C"/>
        </w:rPr>
        <w:t>EQUITY COMPENSATION PLAN INFORMATION</w:t>
      </w:r>
    </w:p>
    <w:p>
      <w:pPr>
        <w:spacing w:after="0" w:line="24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PLANS APPROVED BY OUR STOCKHOLDERS</w:t>
      </w:r>
    </w:p>
    <w:p>
      <w:pPr>
        <w:spacing w:after="0" w:line="200"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Broadcom has three equity compensation plans that have been approved by our stockholders: the Avago Plan, the 2012 Plan and the ESPP. The Avago Plan expired in July 2019 and no new grants may be made under the Avago Plan. Neither the 2012 Plan nor the ESPP have an expiration date.</w:t>
      </w:r>
    </w:p>
    <w:p>
      <w:pPr>
        <w:spacing w:after="0" w:line="15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PLANS NOT APPROVED BY OUR STOCKHOLDERS</w:t>
      </w:r>
    </w:p>
    <w:p>
      <w:pPr>
        <w:spacing w:after="0" w:line="200" w:lineRule="exact"/>
        <w:rPr>
          <w:sz w:val="20"/>
          <w:szCs w:val="20"/>
          <w:color w:val="auto"/>
        </w:rPr>
      </w:pPr>
    </w:p>
    <w:p>
      <w:pPr>
        <w:jc w:val="both"/>
        <w:ind w:left="1280" w:right="159"/>
        <w:spacing w:after="0" w:line="337" w:lineRule="auto"/>
        <w:rPr>
          <w:sz w:val="20"/>
          <w:szCs w:val="20"/>
          <w:color w:val="auto"/>
        </w:rPr>
      </w:pPr>
      <w:r>
        <w:rPr>
          <w:rFonts w:ascii="Arial" w:cs="Arial" w:eastAsia="Arial" w:hAnsi="Arial"/>
          <w:sz w:val="16"/>
          <w:szCs w:val="16"/>
          <w:color w:val="262626"/>
        </w:rPr>
        <w:t>As of November 2, 2025, equity awards were outstanding under the VMware, Inc. Amended and Restated 2007 Equity and Incentive Plan (the “VMware Plan”) and other equity compensation plans or agreements that were assumed by Broadcom in connection with our acquisition of other companies that originally granted those awards. Broadcom also adopted the Broadcom 2023 Inducement Plan (the “Inducement Plan”) under which we granted equity awards in December 2023 in connection with the VMware acquisition.</w:t>
      </w:r>
    </w:p>
    <w:p>
      <w:pPr>
        <w:spacing w:after="0" w:line="104"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The following table sets forth as of November 2, 2025 the number and weighted-average exercise price of shares of Broadcom common stock to be issued upon the exercise of outstanding stock options and vesting of RSU and PSU awards, and the number of shares remaining available for future issuance under all of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62230</wp:posOffset>
            </wp:positionV>
            <wp:extent cx="55225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198" w:lineRule="exact"/>
        <w:rPr>
          <w:sz w:val="20"/>
          <w:szCs w:val="20"/>
          <w:color w:val="auto"/>
        </w:rPr>
      </w:pPr>
    </w:p>
    <w:tbl>
      <w:tblPr>
        <w:tblLayout w:type="fixed"/>
        <w:tblInd w:w="1280" w:type="dxa"/>
        <w:tblCellMar>
          <w:top w:w="0" w:type="dxa"/>
          <w:left w:w="0" w:type="dxa"/>
          <w:bottom w:w="0" w:type="dxa"/>
          <w:right w:w="0" w:type="dxa"/>
        </w:tblCellMar>
      </w:tblPr>
      <w:tr>
        <w:trPr>
          <w:trHeight w:val="188"/>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jc w:val="center"/>
              <w:spacing w:after="0"/>
              <w:rPr>
                <w:sz w:val="20"/>
                <w:szCs w:val="20"/>
                <w:color w:val="auto"/>
              </w:rPr>
            </w:pPr>
            <w:r>
              <w:rPr>
                <w:rFonts w:ascii="Arial" w:cs="Arial" w:eastAsia="Arial" w:hAnsi="Arial"/>
                <w:sz w:val="16"/>
                <w:szCs w:val="16"/>
                <w:b w:val="1"/>
                <w:bCs w:val="1"/>
                <w:color w:val="262626"/>
              </w:rPr>
              <w:t>Number of Shares of Common</w:t>
            </w:r>
          </w:p>
        </w:tc>
      </w:tr>
      <w:tr>
        <w:trPr>
          <w:trHeight w:val="188"/>
        </w:trPr>
        <w:tc>
          <w:tcPr>
            <w:tcW w:w="2560" w:type="dxa"/>
            <w:vAlign w:val="bottom"/>
          </w:tcPr>
          <w:p>
            <w:pPr>
              <w:spacing w:after="0"/>
              <w:rPr>
                <w:sz w:val="16"/>
                <w:szCs w:val="16"/>
                <w:color w:val="auto"/>
              </w:rPr>
            </w:pPr>
          </w:p>
        </w:tc>
        <w:tc>
          <w:tcPr>
            <w:tcW w:w="2060" w:type="dxa"/>
            <w:vAlign w:val="bottom"/>
            <w:gridSpan w:val="5"/>
          </w:tcPr>
          <w:p>
            <w:pPr>
              <w:jc w:val="center"/>
              <w:spacing w:after="0"/>
              <w:rPr>
                <w:sz w:val="20"/>
                <w:szCs w:val="20"/>
                <w:color w:val="auto"/>
              </w:rPr>
            </w:pPr>
            <w:r>
              <w:rPr>
                <w:rFonts w:ascii="Arial" w:cs="Arial" w:eastAsia="Arial" w:hAnsi="Arial"/>
                <w:sz w:val="16"/>
                <w:szCs w:val="16"/>
                <w:b w:val="1"/>
                <w:bCs w:val="1"/>
                <w:color w:val="262626"/>
              </w:rPr>
              <w:t>Number of Shares of</w:t>
            </w:r>
          </w:p>
        </w:tc>
        <w:tc>
          <w:tcPr>
            <w:tcW w:w="15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262626"/>
                <w:w w:val="99"/>
              </w:rPr>
              <w:t>Weighted-Average</w:t>
            </w:r>
          </w:p>
        </w:tc>
        <w:tc>
          <w:tcPr>
            <w:tcW w:w="2540" w:type="dxa"/>
            <w:vAlign w:val="bottom"/>
            <w:gridSpan w:val="5"/>
          </w:tcPr>
          <w:p>
            <w:pPr>
              <w:jc w:val="center"/>
              <w:spacing w:after="0"/>
              <w:rPr>
                <w:sz w:val="20"/>
                <w:szCs w:val="20"/>
                <w:color w:val="auto"/>
              </w:rPr>
            </w:pPr>
            <w:r>
              <w:rPr>
                <w:rFonts w:ascii="Arial" w:cs="Arial" w:eastAsia="Arial" w:hAnsi="Arial"/>
                <w:sz w:val="16"/>
                <w:szCs w:val="16"/>
                <w:b w:val="1"/>
                <w:bCs w:val="1"/>
                <w:color w:val="262626"/>
              </w:rPr>
              <w:t>Stock Remaining Available for</w:t>
            </w:r>
          </w:p>
        </w:tc>
      </w:tr>
      <w:tr>
        <w:trPr>
          <w:trHeight w:val="188"/>
        </w:trPr>
        <w:tc>
          <w:tcPr>
            <w:tcW w:w="2560" w:type="dxa"/>
            <w:vAlign w:val="bottom"/>
          </w:tcPr>
          <w:p>
            <w:pPr>
              <w:spacing w:after="0"/>
              <w:rPr>
                <w:sz w:val="16"/>
                <w:szCs w:val="16"/>
                <w:color w:val="auto"/>
              </w:rPr>
            </w:pPr>
          </w:p>
        </w:tc>
        <w:tc>
          <w:tcPr>
            <w:tcW w:w="2060" w:type="dxa"/>
            <w:vAlign w:val="bottom"/>
            <w:gridSpan w:val="5"/>
          </w:tcPr>
          <w:p>
            <w:pPr>
              <w:jc w:val="center"/>
              <w:spacing w:after="0"/>
              <w:rPr>
                <w:sz w:val="20"/>
                <w:szCs w:val="20"/>
                <w:color w:val="auto"/>
              </w:rPr>
            </w:pPr>
            <w:r>
              <w:rPr>
                <w:rFonts w:ascii="Arial" w:cs="Arial" w:eastAsia="Arial" w:hAnsi="Arial"/>
                <w:sz w:val="16"/>
                <w:szCs w:val="16"/>
                <w:b w:val="1"/>
                <w:bCs w:val="1"/>
                <w:color w:val="262626"/>
                <w:w w:val="99"/>
              </w:rPr>
              <w:t>Common Stock to be</w:t>
            </w: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262626"/>
              </w:rPr>
              <w:t>Exercise Price of</w:t>
            </w:r>
          </w:p>
        </w:tc>
        <w:tc>
          <w:tcPr>
            <w:tcW w:w="2540" w:type="dxa"/>
            <w:vAlign w:val="bottom"/>
            <w:gridSpan w:val="5"/>
          </w:tcPr>
          <w:p>
            <w:pPr>
              <w:jc w:val="center"/>
              <w:spacing w:after="0"/>
              <w:rPr>
                <w:sz w:val="20"/>
                <w:szCs w:val="20"/>
                <w:color w:val="auto"/>
              </w:rPr>
            </w:pPr>
            <w:r>
              <w:rPr>
                <w:rFonts w:ascii="Arial" w:cs="Arial" w:eastAsia="Arial" w:hAnsi="Arial"/>
                <w:sz w:val="16"/>
                <w:szCs w:val="16"/>
                <w:b w:val="1"/>
                <w:bCs w:val="1"/>
                <w:color w:val="262626"/>
              </w:rPr>
              <w:t>Future Issuance Under Equity</w:t>
            </w:r>
          </w:p>
        </w:tc>
      </w:tr>
      <w:tr>
        <w:trPr>
          <w:trHeight w:val="188"/>
        </w:trPr>
        <w:tc>
          <w:tcPr>
            <w:tcW w:w="2560" w:type="dxa"/>
            <w:vAlign w:val="bottom"/>
          </w:tcPr>
          <w:p>
            <w:pPr>
              <w:spacing w:after="0"/>
              <w:rPr>
                <w:sz w:val="16"/>
                <w:szCs w:val="16"/>
                <w:color w:val="auto"/>
              </w:rPr>
            </w:pPr>
          </w:p>
        </w:tc>
        <w:tc>
          <w:tcPr>
            <w:tcW w:w="2060" w:type="dxa"/>
            <w:vAlign w:val="bottom"/>
            <w:gridSpan w:val="5"/>
          </w:tcPr>
          <w:p>
            <w:pPr>
              <w:jc w:val="center"/>
              <w:spacing w:after="0"/>
              <w:rPr>
                <w:sz w:val="20"/>
                <w:szCs w:val="20"/>
                <w:color w:val="auto"/>
              </w:rPr>
            </w:pPr>
            <w:r>
              <w:rPr>
                <w:rFonts w:ascii="Arial" w:cs="Arial" w:eastAsia="Arial" w:hAnsi="Arial"/>
                <w:sz w:val="16"/>
                <w:szCs w:val="16"/>
                <w:b w:val="1"/>
                <w:bCs w:val="1"/>
                <w:color w:val="262626"/>
              </w:rPr>
              <w:t>Issued Upon Exercise</w:t>
            </w: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262626"/>
                <w:w w:val="99"/>
              </w:rPr>
              <w:t>Outstanding</w:t>
            </w:r>
          </w:p>
        </w:tc>
        <w:tc>
          <w:tcPr>
            <w:tcW w:w="2540" w:type="dxa"/>
            <w:vAlign w:val="bottom"/>
            <w:gridSpan w:val="5"/>
          </w:tcPr>
          <w:p>
            <w:pPr>
              <w:jc w:val="center"/>
              <w:spacing w:after="0"/>
              <w:rPr>
                <w:sz w:val="20"/>
                <w:szCs w:val="20"/>
                <w:color w:val="auto"/>
              </w:rPr>
            </w:pPr>
            <w:r>
              <w:rPr>
                <w:rFonts w:ascii="Arial" w:cs="Arial" w:eastAsia="Arial" w:hAnsi="Arial"/>
                <w:sz w:val="16"/>
                <w:szCs w:val="16"/>
                <w:b w:val="1"/>
                <w:bCs w:val="1"/>
                <w:color w:val="262626"/>
              </w:rPr>
              <w:t>Compensation Plans (Excluding</w:t>
            </w:r>
          </w:p>
        </w:tc>
      </w:tr>
      <w:tr>
        <w:trPr>
          <w:trHeight w:val="188"/>
        </w:trPr>
        <w:tc>
          <w:tcPr>
            <w:tcW w:w="2560" w:type="dxa"/>
            <w:vAlign w:val="bottom"/>
          </w:tcPr>
          <w:p>
            <w:pPr>
              <w:spacing w:after="0"/>
              <w:rPr>
                <w:sz w:val="16"/>
                <w:szCs w:val="16"/>
                <w:color w:val="auto"/>
              </w:rPr>
            </w:pPr>
          </w:p>
        </w:tc>
        <w:tc>
          <w:tcPr>
            <w:tcW w:w="2060" w:type="dxa"/>
            <w:vAlign w:val="bottom"/>
            <w:gridSpan w:val="5"/>
          </w:tcPr>
          <w:p>
            <w:pPr>
              <w:jc w:val="center"/>
              <w:spacing w:after="0"/>
              <w:rPr>
                <w:sz w:val="20"/>
                <w:szCs w:val="20"/>
                <w:color w:val="auto"/>
              </w:rPr>
            </w:pPr>
            <w:r>
              <w:rPr>
                <w:rFonts w:ascii="Arial" w:cs="Arial" w:eastAsia="Arial" w:hAnsi="Arial"/>
                <w:sz w:val="16"/>
                <w:szCs w:val="16"/>
                <w:b w:val="1"/>
                <w:bCs w:val="1"/>
                <w:color w:val="262626"/>
              </w:rPr>
              <w:t>of Outstanding Options,</w:t>
            </w:r>
          </w:p>
        </w:tc>
        <w:tc>
          <w:tcPr>
            <w:tcW w:w="15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262626"/>
              </w:rPr>
              <w:t>Options, Warrants</w:t>
            </w:r>
          </w:p>
        </w:tc>
        <w:tc>
          <w:tcPr>
            <w:tcW w:w="236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262626"/>
              </w:rPr>
              <w:t>Securities Reflected in</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2560" w:type="dxa"/>
            <w:vAlign w:val="bottom"/>
          </w:tcPr>
          <w:p>
            <w:pPr>
              <w:spacing w:after="0"/>
              <w:rPr>
                <w:sz w:val="16"/>
                <w:szCs w:val="16"/>
                <w:color w:val="auto"/>
              </w:rPr>
            </w:pPr>
          </w:p>
        </w:tc>
        <w:tc>
          <w:tcPr>
            <w:tcW w:w="2060" w:type="dxa"/>
            <w:vAlign w:val="bottom"/>
            <w:gridSpan w:val="5"/>
          </w:tcPr>
          <w:p>
            <w:pPr>
              <w:jc w:val="center"/>
              <w:spacing w:after="0"/>
              <w:rPr>
                <w:sz w:val="20"/>
                <w:szCs w:val="20"/>
                <w:color w:val="auto"/>
              </w:rPr>
            </w:pPr>
            <w:r>
              <w:rPr>
                <w:rFonts w:ascii="Arial" w:cs="Arial" w:eastAsia="Arial" w:hAnsi="Arial"/>
                <w:sz w:val="16"/>
                <w:szCs w:val="16"/>
                <w:b w:val="1"/>
                <w:bCs w:val="1"/>
                <w:color w:val="262626"/>
                <w:w w:val="99"/>
              </w:rPr>
              <w:t>Warrants and Rights</w:t>
            </w:r>
          </w:p>
        </w:tc>
        <w:tc>
          <w:tcPr>
            <w:tcW w:w="1540" w:type="dxa"/>
            <w:vAlign w:val="bottom"/>
            <w:gridSpan w:val="3"/>
          </w:tcPr>
          <w:p>
            <w:pPr>
              <w:jc w:val="center"/>
              <w:spacing w:after="0" w:line="188" w:lineRule="exact"/>
              <w:rPr>
                <w:sz w:val="20"/>
                <w:szCs w:val="20"/>
                <w:color w:val="auto"/>
              </w:rPr>
            </w:pPr>
            <w:r>
              <w:rPr>
                <w:rFonts w:ascii="Arial" w:cs="Arial" w:eastAsia="Arial" w:hAnsi="Arial"/>
                <w:sz w:val="14"/>
                <w:szCs w:val="14"/>
                <w:b w:val="1"/>
                <w:bCs w:val="1"/>
                <w:color w:val="262626"/>
              </w:rPr>
              <w:t>and Rights($)</w:t>
            </w:r>
            <w:r>
              <w:rPr>
                <w:rFonts w:ascii="Arial" w:cs="Arial" w:eastAsia="Arial" w:hAnsi="Arial"/>
                <w:sz w:val="21"/>
                <w:szCs w:val="21"/>
                <w:b w:val="1"/>
                <w:bCs w:val="1"/>
                <w:color w:val="262626"/>
                <w:vertAlign w:val="superscript"/>
              </w:rPr>
              <w:t>(1)</w:t>
            </w:r>
          </w:p>
        </w:tc>
        <w:tc>
          <w:tcPr>
            <w:tcW w:w="236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262626"/>
                <w:w w:val="98"/>
              </w:rPr>
              <w:t>Column (a))</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5"/>
        </w:trPr>
        <w:tc>
          <w:tcPr>
            <w:tcW w:w="2560" w:type="dxa"/>
            <w:vAlign w:val="bottom"/>
          </w:tcPr>
          <w:p>
            <w:pPr>
              <w:spacing w:after="0"/>
              <w:rPr>
                <w:sz w:val="20"/>
                <w:szCs w:val="20"/>
                <w:color w:val="auto"/>
              </w:rPr>
            </w:pPr>
            <w:r>
              <w:rPr>
                <w:rFonts w:ascii="Arial" w:cs="Arial" w:eastAsia="Arial" w:hAnsi="Arial"/>
                <w:sz w:val="16"/>
                <w:szCs w:val="16"/>
                <w:b w:val="1"/>
                <w:bCs w:val="1"/>
                <w:color w:val="262626"/>
              </w:rPr>
              <w:t>Plan Category</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9"/>
              <w:spacing w:after="0"/>
              <w:rPr>
                <w:sz w:val="20"/>
                <w:szCs w:val="20"/>
                <w:color w:val="auto"/>
              </w:rPr>
            </w:pPr>
            <w:r>
              <w:rPr>
                <w:rFonts w:ascii="Arial" w:cs="Arial" w:eastAsia="Arial" w:hAnsi="Arial"/>
                <w:sz w:val="16"/>
                <w:szCs w:val="16"/>
                <w:b w:val="1"/>
                <w:bCs w:val="1"/>
                <w:color w:val="262626"/>
              </w:rPr>
              <w:t>(a)</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262626"/>
                <w:w w:val="97"/>
              </w:rPr>
              <w:t>(b)</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859"/>
              <w:spacing w:after="0"/>
              <w:rPr>
                <w:sz w:val="20"/>
                <w:szCs w:val="20"/>
                <w:color w:val="auto"/>
              </w:rPr>
            </w:pPr>
            <w:r>
              <w:rPr>
                <w:rFonts w:ascii="Arial" w:cs="Arial" w:eastAsia="Arial" w:hAnsi="Arial"/>
                <w:sz w:val="16"/>
                <w:szCs w:val="16"/>
                <w:b w:val="1"/>
                <w:bCs w:val="1"/>
                <w:color w:val="262626"/>
              </w:rPr>
              <w:t>(c)</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88"/>
        </w:trPr>
        <w:tc>
          <w:tcPr>
            <w:tcW w:w="2560" w:type="dxa"/>
            <w:vAlign w:val="bottom"/>
            <w:tcBorders>
              <w:bottom w:val="single" w:sz="8" w:color="CF0A2C"/>
            </w:tcBorders>
          </w:tcPr>
          <w:p>
            <w:pPr>
              <w:spacing w:after="0"/>
              <w:rPr>
                <w:sz w:val="7"/>
                <w:szCs w:val="7"/>
                <w:color w:val="auto"/>
              </w:rPr>
            </w:pPr>
          </w:p>
        </w:tc>
        <w:tc>
          <w:tcPr>
            <w:tcW w:w="280" w:type="dxa"/>
            <w:vAlign w:val="bottom"/>
            <w:tcBorders>
              <w:bottom w:val="single" w:sz="8" w:color="CF0A2C"/>
            </w:tcBorders>
          </w:tcPr>
          <w:p>
            <w:pPr>
              <w:spacing w:after="0"/>
              <w:rPr>
                <w:sz w:val="7"/>
                <w:szCs w:val="7"/>
                <w:color w:val="auto"/>
              </w:rPr>
            </w:pPr>
          </w:p>
        </w:tc>
        <w:tc>
          <w:tcPr>
            <w:tcW w:w="200" w:type="dxa"/>
            <w:vAlign w:val="bottom"/>
            <w:tcBorders>
              <w:bottom w:val="single" w:sz="8" w:color="CF0A2C"/>
            </w:tcBorders>
          </w:tcPr>
          <w:p>
            <w:pPr>
              <w:spacing w:after="0"/>
              <w:rPr>
                <w:sz w:val="7"/>
                <w:szCs w:val="7"/>
                <w:color w:val="auto"/>
              </w:rPr>
            </w:pPr>
          </w:p>
        </w:tc>
        <w:tc>
          <w:tcPr>
            <w:tcW w:w="1260" w:type="dxa"/>
            <w:vAlign w:val="bottom"/>
            <w:tcBorders>
              <w:bottom w:val="single" w:sz="8" w:color="CF0A2C"/>
            </w:tcBorders>
          </w:tcPr>
          <w:p>
            <w:pPr>
              <w:spacing w:after="0"/>
              <w:rPr>
                <w:sz w:val="7"/>
                <w:szCs w:val="7"/>
                <w:color w:val="auto"/>
              </w:rPr>
            </w:pPr>
          </w:p>
        </w:tc>
        <w:tc>
          <w:tcPr>
            <w:tcW w:w="200" w:type="dxa"/>
            <w:vAlign w:val="bottom"/>
            <w:tcBorders>
              <w:bottom w:val="single" w:sz="8" w:color="CF0A2C"/>
            </w:tcBorders>
          </w:tcPr>
          <w:p>
            <w:pPr>
              <w:spacing w:after="0"/>
              <w:rPr>
                <w:sz w:val="7"/>
                <w:szCs w:val="7"/>
                <w:color w:val="auto"/>
              </w:rPr>
            </w:pPr>
          </w:p>
        </w:tc>
        <w:tc>
          <w:tcPr>
            <w:tcW w:w="120" w:type="dxa"/>
            <w:vAlign w:val="bottom"/>
            <w:tcBorders>
              <w:bottom w:val="single" w:sz="8" w:color="CF0A2C"/>
            </w:tcBorders>
          </w:tcPr>
          <w:p>
            <w:pPr>
              <w:spacing w:after="0"/>
              <w:rPr>
                <w:sz w:val="7"/>
                <w:szCs w:val="7"/>
                <w:color w:val="auto"/>
              </w:rPr>
            </w:pPr>
          </w:p>
        </w:tc>
        <w:tc>
          <w:tcPr>
            <w:tcW w:w="620" w:type="dxa"/>
            <w:vAlign w:val="bottom"/>
            <w:tcBorders>
              <w:bottom w:val="single" w:sz="8" w:color="CF0A2C"/>
            </w:tcBorders>
          </w:tcPr>
          <w:p>
            <w:pPr>
              <w:spacing w:after="0"/>
              <w:rPr>
                <w:sz w:val="7"/>
                <w:szCs w:val="7"/>
                <w:color w:val="auto"/>
              </w:rPr>
            </w:pPr>
          </w:p>
        </w:tc>
        <w:tc>
          <w:tcPr>
            <w:tcW w:w="800" w:type="dxa"/>
            <w:vAlign w:val="bottom"/>
            <w:tcBorders>
              <w:bottom w:val="single" w:sz="8" w:color="CF0A2C"/>
            </w:tcBorders>
          </w:tcPr>
          <w:p>
            <w:pPr>
              <w:spacing w:after="0"/>
              <w:rPr>
                <w:sz w:val="7"/>
                <w:szCs w:val="7"/>
                <w:color w:val="auto"/>
              </w:rPr>
            </w:pPr>
          </w:p>
        </w:tc>
        <w:tc>
          <w:tcPr>
            <w:tcW w:w="120" w:type="dxa"/>
            <w:vAlign w:val="bottom"/>
            <w:tcBorders>
              <w:bottom w:val="single" w:sz="8" w:color="CF0A2C"/>
            </w:tcBorders>
          </w:tcPr>
          <w:p>
            <w:pPr>
              <w:spacing w:after="0"/>
              <w:rPr>
                <w:sz w:val="7"/>
                <w:szCs w:val="7"/>
                <w:color w:val="auto"/>
              </w:rPr>
            </w:pPr>
          </w:p>
        </w:tc>
        <w:tc>
          <w:tcPr>
            <w:tcW w:w="980" w:type="dxa"/>
            <w:vAlign w:val="bottom"/>
            <w:tcBorders>
              <w:bottom w:val="single" w:sz="8" w:color="CF0A2C"/>
            </w:tcBorders>
          </w:tcPr>
          <w:p>
            <w:pPr>
              <w:spacing w:after="0"/>
              <w:rPr>
                <w:sz w:val="7"/>
                <w:szCs w:val="7"/>
                <w:color w:val="auto"/>
              </w:rPr>
            </w:pPr>
          </w:p>
        </w:tc>
        <w:tc>
          <w:tcPr>
            <w:tcW w:w="200" w:type="dxa"/>
            <w:vAlign w:val="bottom"/>
            <w:tcBorders>
              <w:bottom w:val="single" w:sz="8" w:color="CF0A2C"/>
            </w:tcBorders>
          </w:tcPr>
          <w:p>
            <w:pPr>
              <w:spacing w:after="0"/>
              <w:rPr>
                <w:sz w:val="7"/>
                <w:szCs w:val="7"/>
                <w:color w:val="auto"/>
              </w:rPr>
            </w:pPr>
          </w:p>
        </w:tc>
        <w:tc>
          <w:tcPr>
            <w:tcW w:w="1180" w:type="dxa"/>
            <w:vAlign w:val="bottom"/>
            <w:tcBorders>
              <w:bottom w:val="single" w:sz="8" w:color="CF0A2C"/>
            </w:tcBorders>
          </w:tcPr>
          <w:p>
            <w:pPr>
              <w:spacing w:after="0"/>
              <w:rPr>
                <w:sz w:val="7"/>
                <w:szCs w:val="7"/>
                <w:color w:val="auto"/>
              </w:rPr>
            </w:pPr>
          </w:p>
        </w:tc>
        <w:tc>
          <w:tcPr>
            <w:tcW w:w="120" w:type="dxa"/>
            <w:vAlign w:val="bottom"/>
            <w:tcBorders>
              <w:bottom w:val="single" w:sz="8" w:color="CF0A2C"/>
            </w:tcBorders>
          </w:tcPr>
          <w:p>
            <w:pPr>
              <w:spacing w:after="0"/>
              <w:rPr>
                <w:sz w:val="7"/>
                <w:szCs w:val="7"/>
                <w:color w:val="auto"/>
              </w:rPr>
            </w:pPr>
          </w:p>
        </w:tc>
        <w:tc>
          <w:tcPr>
            <w:tcW w:w="60" w:type="dxa"/>
            <w:vAlign w:val="bottom"/>
            <w:tcBorders>
              <w:bottom w:val="single" w:sz="8" w:color="CF0A2C"/>
            </w:tcBorders>
          </w:tcPr>
          <w:p>
            <w:pPr>
              <w:spacing w:after="0"/>
              <w:rPr>
                <w:sz w:val="7"/>
                <w:szCs w:val="7"/>
                <w:color w:val="auto"/>
              </w:rPr>
            </w:pPr>
          </w:p>
        </w:tc>
      </w:tr>
      <w:tr>
        <w:trPr>
          <w:trHeight w:val="221"/>
        </w:trPr>
        <w:tc>
          <w:tcPr>
            <w:tcW w:w="2560" w:type="dxa"/>
            <w:vAlign w:val="bottom"/>
          </w:tcPr>
          <w:p>
            <w:pPr>
              <w:spacing w:after="0"/>
              <w:rPr>
                <w:sz w:val="20"/>
                <w:szCs w:val="20"/>
                <w:color w:val="auto"/>
              </w:rPr>
            </w:pPr>
            <w:r>
              <w:rPr>
                <w:rFonts w:ascii="Arial" w:cs="Arial" w:eastAsia="Arial" w:hAnsi="Arial"/>
                <w:sz w:val="16"/>
                <w:szCs w:val="16"/>
                <w:color w:val="262626"/>
              </w:rPr>
              <w:t>Equity compensation plans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9"/>
        </w:trPr>
        <w:tc>
          <w:tcPr>
            <w:tcW w:w="2560" w:type="dxa"/>
            <w:vAlign w:val="bottom"/>
          </w:tcPr>
          <w:p>
            <w:pPr>
              <w:spacing w:after="0"/>
              <w:rPr>
                <w:sz w:val="20"/>
                <w:szCs w:val="20"/>
                <w:color w:val="auto"/>
              </w:rPr>
            </w:pPr>
            <w:r>
              <w:rPr>
                <w:rFonts w:ascii="Arial" w:cs="Arial" w:eastAsia="Arial" w:hAnsi="Arial"/>
                <w:sz w:val="16"/>
                <w:szCs w:val="16"/>
                <w:color w:val="262626"/>
              </w:rPr>
              <w:t>approved by stockholders</w:t>
            </w:r>
          </w:p>
        </w:tc>
        <w:tc>
          <w:tcPr>
            <w:tcW w:w="480" w:type="dxa"/>
            <w:vAlign w:val="bottom"/>
            <w:gridSpan w:val="2"/>
          </w:tcPr>
          <w:p>
            <w:pPr>
              <w:ind w:left="280"/>
              <w:spacing w:after="0"/>
              <w:rPr>
                <w:sz w:val="20"/>
                <w:szCs w:val="20"/>
                <w:color w:val="auto"/>
              </w:rPr>
            </w:pPr>
            <w:r>
              <w:rPr>
                <w:rFonts w:ascii="Arial" w:cs="Arial" w:eastAsia="Arial" w:hAnsi="Arial"/>
                <w:sz w:val="16"/>
                <w:szCs w:val="16"/>
                <w:color w:val="262626"/>
                <w:w w:val="87"/>
              </w:rPr>
              <w:t>  </w:t>
            </w:r>
          </w:p>
        </w:tc>
        <w:tc>
          <w:tcPr>
            <w:tcW w:w="1260" w:type="dxa"/>
            <w:vAlign w:val="bottom"/>
          </w:tcPr>
          <w:p>
            <w:pPr>
              <w:jc w:val="right"/>
              <w:spacing w:after="0"/>
              <w:rPr>
                <w:sz w:val="20"/>
                <w:szCs w:val="20"/>
                <w:color w:val="auto"/>
              </w:rPr>
            </w:pPr>
            <w:r>
              <w:rPr>
                <w:rFonts w:ascii="Arial" w:cs="Arial" w:eastAsia="Arial" w:hAnsi="Arial"/>
                <w:sz w:val="16"/>
                <w:szCs w:val="16"/>
                <w:color w:val="262626"/>
                <w:w w:val="96"/>
              </w:rPr>
              <w:t>   173,343,418</w:t>
            </w:r>
            <w:r>
              <w:rPr>
                <w:rFonts w:ascii="Arial" w:cs="Arial" w:eastAsia="Arial" w:hAnsi="Arial"/>
                <w:sz w:val="24"/>
                <w:szCs w:val="24"/>
                <w:color w:val="262626"/>
                <w:w w:val="96"/>
                <w:vertAlign w:val="superscript"/>
              </w:rPr>
              <w:t>(2)</w:t>
            </w:r>
            <w:r>
              <w:rPr>
                <w:rFonts w:ascii="Arial" w:cs="Arial" w:eastAsia="Arial" w:hAnsi="Arial"/>
                <w:sz w:val="16"/>
                <w:szCs w:val="16"/>
                <w:color w:val="262626"/>
                <w:w w:val="96"/>
              </w:rPr>
              <w:t xml:space="preserve"> </w:t>
            </w:r>
          </w:p>
        </w:tc>
        <w:tc>
          <w:tcPr>
            <w:tcW w:w="320" w:type="dxa"/>
            <w:vAlign w:val="bottom"/>
            <w:gridSpan w:val="2"/>
          </w:tcPr>
          <w:p>
            <w:pPr>
              <w:ind w:left="80"/>
              <w:spacing w:after="0"/>
              <w:rPr>
                <w:sz w:val="20"/>
                <w:szCs w:val="20"/>
                <w:color w:val="auto"/>
              </w:rPr>
            </w:pPr>
            <w:r>
              <w:rPr>
                <w:rFonts w:ascii="Arial" w:cs="Arial" w:eastAsia="Arial" w:hAnsi="Arial"/>
                <w:sz w:val="16"/>
                <w:szCs w:val="16"/>
                <w:color w:val="262626"/>
              </w:rPr>
              <w:t>    </w:t>
            </w:r>
          </w:p>
        </w:tc>
        <w:tc>
          <w:tcPr>
            <w:tcW w:w="6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262626"/>
              </w:rPr>
              <w:t>      — </w:t>
            </w:r>
          </w:p>
        </w:tc>
        <w:tc>
          <w:tcPr>
            <w:tcW w:w="980" w:type="dxa"/>
            <w:vAlign w:val="bottom"/>
          </w:tcPr>
          <w:p>
            <w:pPr>
              <w:spacing w:after="0"/>
              <w:rPr>
                <w:sz w:val="24"/>
                <w:szCs w:val="24"/>
                <w:color w:val="auto"/>
              </w:rPr>
            </w:pPr>
          </w:p>
        </w:tc>
        <w:tc>
          <w:tcPr>
            <w:tcW w:w="200" w:type="dxa"/>
            <w:vAlign w:val="bottom"/>
          </w:tcPr>
          <w:p>
            <w:pPr>
              <w:ind w:left="140"/>
              <w:spacing w:after="0"/>
              <w:rPr>
                <w:sz w:val="20"/>
                <w:szCs w:val="20"/>
                <w:color w:val="auto"/>
              </w:rPr>
            </w:pPr>
            <w:r>
              <w:rPr>
                <w:rFonts w:ascii="Arial" w:cs="Arial" w:eastAsia="Arial" w:hAnsi="Arial"/>
                <w:sz w:val="5"/>
                <w:szCs w:val="5"/>
                <w:color w:val="262626"/>
                <w:w w:val="79"/>
              </w:rPr>
              <w:t> </w:t>
            </w:r>
          </w:p>
        </w:tc>
        <w:tc>
          <w:tcPr>
            <w:tcW w:w="1180" w:type="dxa"/>
            <w:vAlign w:val="bottom"/>
          </w:tcPr>
          <w:p>
            <w:pPr>
              <w:jc w:val="right"/>
              <w:spacing w:after="0"/>
              <w:rPr>
                <w:sz w:val="20"/>
                <w:szCs w:val="20"/>
                <w:color w:val="auto"/>
              </w:rPr>
            </w:pPr>
            <w:r>
              <w:rPr>
                <w:rFonts w:ascii="Arial" w:cs="Arial" w:eastAsia="Arial" w:hAnsi="Arial"/>
                <w:sz w:val="16"/>
                <w:szCs w:val="16"/>
                <w:color w:val="262626"/>
              </w:rPr>
              <w:t>298,508,570</w:t>
            </w:r>
            <w:r>
              <w:rPr>
                <w:rFonts w:ascii="Arial" w:cs="Arial" w:eastAsia="Arial" w:hAnsi="Arial"/>
                <w:sz w:val="24"/>
                <w:szCs w:val="24"/>
                <w:color w:val="262626"/>
                <w:vertAlign w:val="superscript"/>
              </w:rPr>
              <w:t>(3)</w:t>
            </w:r>
            <w:r>
              <w:rPr>
                <w:rFonts w:ascii="Arial" w:cs="Arial" w:eastAsia="Arial" w:hAnsi="Arial"/>
                <w:sz w:val="16"/>
                <w:szCs w:val="16"/>
                <w:color w:val="262626"/>
              </w:rPr>
              <w:t xml:space="preserve">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8"/>
        </w:trPr>
        <w:tc>
          <w:tcPr>
            <w:tcW w:w="2560" w:type="dxa"/>
            <w:vAlign w:val="bottom"/>
          </w:tcPr>
          <w:p>
            <w:pPr>
              <w:spacing w:after="0"/>
              <w:rPr>
                <w:sz w:val="20"/>
                <w:szCs w:val="20"/>
                <w:color w:val="auto"/>
              </w:rPr>
            </w:pPr>
            <w:r>
              <w:rPr>
                <w:rFonts w:ascii="Arial" w:cs="Arial" w:eastAsia="Arial" w:hAnsi="Arial"/>
                <w:sz w:val="16"/>
                <w:szCs w:val="16"/>
                <w:color w:val="262626"/>
              </w:rPr>
              <w:t>Employee stock purchase plans</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9"/>
        </w:trPr>
        <w:tc>
          <w:tcPr>
            <w:tcW w:w="2560" w:type="dxa"/>
            <w:vAlign w:val="bottom"/>
          </w:tcPr>
          <w:p>
            <w:pPr>
              <w:spacing w:after="0"/>
              <w:rPr>
                <w:sz w:val="20"/>
                <w:szCs w:val="20"/>
                <w:color w:val="auto"/>
              </w:rPr>
            </w:pPr>
            <w:r>
              <w:rPr>
                <w:rFonts w:ascii="Arial" w:cs="Arial" w:eastAsia="Arial" w:hAnsi="Arial"/>
                <w:sz w:val="16"/>
                <w:szCs w:val="16"/>
                <w:color w:val="262626"/>
              </w:rPr>
              <w:t>approved by stockholders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262626"/>
              </w:rPr>
              <w:t>53,286,882</w:t>
            </w:r>
            <w:r>
              <w:rPr>
                <w:rFonts w:ascii="Arial" w:cs="Arial" w:eastAsia="Arial" w:hAnsi="Arial"/>
                <w:sz w:val="24"/>
                <w:szCs w:val="24"/>
                <w:color w:val="262626"/>
                <w:vertAlign w:val="superscript"/>
              </w:rPr>
              <w:t>(4)</w:t>
            </w:r>
            <w:r>
              <w:rPr>
                <w:rFonts w:ascii="Arial" w:cs="Arial" w:eastAsia="Arial" w:hAnsi="Arial"/>
                <w:sz w:val="16"/>
                <w:szCs w:val="16"/>
                <w:color w:val="262626"/>
              </w:rPr>
              <w:t xml:space="preserve">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8"/>
        </w:trPr>
        <w:tc>
          <w:tcPr>
            <w:tcW w:w="2560" w:type="dxa"/>
            <w:vAlign w:val="bottom"/>
          </w:tcPr>
          <w:p>
            <w:pPr>
              <w:spacing w:after="0"/>
              <w:rPr>
                <w:sz w:val="20"/>
                <w:szCs w:val="20"/>
                <w:color w:val="auto"/>
              </w:rPr>
            </w:pPr>
            <w:r>
              <w:rPr>
                <w:rFonts w:ascii="Arial" w:cs="Arial" w:eastAsia="Arial" w:hAnsi="Arial"/>
                <w:sz w:val="16"/>
                <w:szCs w:val="16"/>
                <w:color w:val="262626"/>
              </w:rPr>
              <w:t>Equity compensation plans not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6"/>
                <w:szCs w:val="16"/>
                <w:color w:val="262626"/>
              </w:rPr>
              <w:t>approved by stockholders</w:t>
            </w:r>
          </w:p>
        </w:tc>
        <w:tc>
          <w:tcPr>
            <w:tcW w:w="280" w:type="dxa"/>
            <w:vAlign w:val="bottom"/>
          </w:tcPr>
          <w:p>
            <w:pPr>
              <w:spacing w:after="0"/>
              <w:rPr>
                <w:sz w:val="18"/>
                <w:szCs w:val="18"/>
                <w:color w:val="auto"/>
              </w:rPr>
            </w:pPr>
          </w:p>
        </w:tc>
        <w:tc>
          <w:tcPr>
            <w:tcW w:w="200" w:type="dxa"/>
            <w:vAlign w:val="bottom"/>
          </w:tcPr>
          <w:p>
            <w:pPr>
              <w:ind w:left="160"/>
              <w:spacing w:after="0"/>
              <w:rPr>
                <w:sz w:val="20"/>
                <w:szCs w:val="20"/>
                <w:color w:val="auto"/>
              </w:rPr>
            </w:pPr>
            <w:r>
              <w:rPr>
                <w:rFonts w:ascii="Arial" w:cs="Arial" w:eastAsia="Arial" w:hAnsi="Arial"/>
                <w:sz w:val="2"/>
                <w:szCs w:val="2"/>
                <w:color w:val="262626"/>
                <w:w w:val="97"/>
              </w:rPr>
              <w:t> </w:t>
            </w:r>
          </w:p>
        </w:tc>
        <w:tc>
          <w:tcPr>
            <w:tcW w:w="1260" w:type="dxa"/>
            <w:vAlign w:val="bottom"/>
          </w:tcPr>
          <w:p>
            <w:pPr>
              <w:jc w:val="right"/>
              <w:spacing w:after="0" w:line="216" w:lineRule="exact"/>
              <w:rPr>
                <w:sz w:val="20"/>
                <w:szCs w:val="20"/>
                <w:color w:val="auto"/>
              </w:rPr>
            </w:pPr>
            <w:r>
              <w:rPr>
                <w:rFonts w:ascii="Arial" w:cs="Arial" w:eastAsia="Arial" w:hAnsi="Arial"/>
                <w:sz w:val="16"/>
                <w:szCs w:val="16"/>
                <w:color w:val="262626"/>
              </w:rPr>
              <w:t>   55,949,026</w:t>
            </w:r>
            <w:r>
              <w:rPr>
                <w:rFonts w:ascii="Arial" w:cs="Arial" w:eastAsia="Arial" w:hAnsi="Arial"/>
                <w:sz w:val="24"/>
                <w:szCs w:val="24"/>
                <w:color w:val="262626"/>
                <w:vertAlign w:val="superscript"/>
              </w:rPr>
              <w:t>(5)</w:t>
            </w:r>
            <w:r>
              <w:rPr>
                <w:rFonts w:ascii="Arial" w:cs="Arial" w:eastAsia="Arial" w:hAnsi="Arial"/>
                <w:sz w:val="16"/>
                <w:szCs w:val="16"/>
                <w:color w:val="262626"/>
              </w:rPr>
              <w:t xml:space="preserve"> </w:t>
            </w:r>
          </w:p>
        </w:tc>
        <w:tc>
          <w:tcPr>
            <w:tcW w:w="320" w:type="dxa"/>
            <w:vAlign w:val="bottom"/>
            <w:gridSpan w:val="2"/>
          </w:tcPr>
          <w:p>
            <w:pPr>
              <w:ind w:left="80"/>
              <w:spacing w:after="0"/>
              <w:rPr>
                <w:sz w:val="20"/>
                <w:szCs w:val="20"/>
                <w:color w:val="auto"/>
              </w:rPr>
            </w:pPr>
            <w:r>
              <w:rPr>
                <w:rFonts w:ascii="Arial" w:cs="Arial" w:eastAsia="Arial" w:hAnsi="Arial"/>
                <w:sz w:val="16"/>
                <w:szCs w:val="16"/>
                <w:color w:val="262626"/>
              </w:rPr>
              <w:t>    </w:t>
            </w:r>
          </w:p>
        </w:tc>
        <w:tc>
          <w:tcPr>
            <w:tcW w:w="6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262626"/>
                <w:w w:val="81"/>
              </w:rPr>
              <w:t>   15.67 </w:t>
            </w:r>
          </w:p>
        </w:tc>
        <w:tc>
          <w:tcPr>
            <w:tcW w:w="980" w:type="dxa"/>
            <w:vAlign w:val="bottom"/>
          </w:tcPr>
          <w:p>
            <w:pPr>
              <w:spacing w:after="0"/>
              <w:rPr>
                <w:sz w:val="18"/>
                <w:szCs w:val="18"/>
                <w:color w:val="auto"/>
              </w:rPr>
            </w:pPr>
          </w:p>
        </w:tc>
        <w:tc>
          <w:tcPr>
            <w:tcW w:w="200" w:type="dxa"/>
            <w:vAlign w:val="bottom"/>
          </w:tcPr>
          <w:p>
            <w:pPr>
              <w:ind w:left="140"/>
              <w:spacing w:after="0"/>
              <w:rPr>
                <w:sz w:val="20"/>
                <w:szCs w:val="20"/>
                <w:color w:val="auto"/>
              </w:rPr>
            </w:pPr>
            <w:r>
              <w:rPr>
                <w:rFonts w:ascii="Arial" w:cs="Arial" w:eastAsia="Arial" w:hAnsi="Arial"/>
                <w:sz w:val="5"/>
                <w:szCs w:val="5"/>
                <w:color w:val="262626"/>
                <w:w w:val="79"/>
              </w:rPr>
              <w:t> </w:t>
            </w:r>
          </w:p>
        </w:tc>
        <w:tc>
          <w:tcPr>
            <w:tcW w:w="1180" w:type="dxa"/>
            <w:vAlign w:val="bottom"/>
          </w:tcPr>
          <w:p>
            <w:pPr>
              <w:jc w:val="right"/>
              <w:ind w:right="39"/>
              <w:spacing w:after="0"/>
              <w:rPr>
                <w:sz w:val="20"/>
                <w:szCs w:val="20"/>
                <w:color w:val="auto"/>
              </w:rPr>
            </w:pPr>
            <w:r>
              <w:rPr>
                <w:rFonts w:ascii="Arial" w:cs="Arial" w:eastAsia="Arial" w:hAnsi="Arial"/>
                <w:sz w:val="16"/>
                <w:szCs w:val="16"/>
                <w:color w:val="262626"/>
                <w:w w:val="93"/>
              </w:rPr>
              <w:t>   33,079,809 </w:t>
            </w:r>
          </w:p>
        </w:tc>
        <w:tc>
          <w:tcPr>
            <w:tcW w:w="180" w:type="dxa"/>
            <w:vAlign w:val="bottom"/>
            <w:gridSpan w:val="2"/>
          </w:tcPr>
          <w:p>
            <w:pPr>
              <w:spacing w:after="0"/>
              <w:rPr>
                <w:sz w:val="20"/>
                <w:szCs w:val="20"/>
                <w:color w:val="auto"/>
              </w:rPr>
            </w:pPr>
            <w:r>
              <w:rPr>
                <w:rFonts w:ascii="Arial" w:cs="Arial" w:eastAsia="Arial" w:hAnsi="Arial"/>
                <w:sz w:val="16"/>
                <w:szCs w:val="16"/>
                <w:color w:val="262626"/>
                <w:w w:val="79"/>
              </w:rPr>
              <w:t>    </w:t>
            </w:r>
          </w:p>
        </w:tc>
      </w:tr>
      <w:tr>
        <w:trPr>
          <w:trHeight w:val="20"/>
        </w:trPr>
        <w:tc>
          <w:tcPr>
            <w:tcW w:w="2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4"/>
        </w:trPr>
        <w:tc>
          <w:tcPr>
            <w:tcW w:w="2560" w:type="dxa"/>
            <w:vAlign w:val="bottom"/>
          </w:tcPr>
          <w:p>
            <w:pPr>
              <w:ind w:left="160"/>
              <w:spacing w:after="0"/>
              <w:rPr>
                <w:sz w:val="20"/>
                <w:szCs w:val="20"/>
                <w:color w:val="auto"/>
              </w:rPr>
            </w:pPr>
            <w:r>
              <w:rPr>
                <w:rFonts w:ascii="Arial" w:cs="Arial" w:eastAsia="Arial" w:hAnsi="Arial"/>
                <w:sz w:val="16"/>
                <w:szCs w:val="16"/>
                <w:color w:val="262626"/>
              </w:rPr>
              <w:t>Total</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262626"/>
              </w:rPr>
              <w:t xml:space="preserve">  229,292,444   </w:t>
            </w:r>
          </w:p>
        </w:tc>
        <w:tc>
          <w:tcPr>
            <w:tcW w:w="200" w:type="dxa"/>
            <w:vAlign w:val="bottom"/>
          </w:tcPr>
          <w:p>
            <w:pPr>
              <w:ind w:left="40"/>
              <w:spacing w:after="0"/>
              <w:rPr>
                <w:sz w:val="20"/>
                <w:szCs w:val="20"/>
                <w:color w:val="auto"/>
              </w:rPr>
            </w:pPr>
            <w:r>
              <w:rPr>
                <w:rFonts w:ascii="Arial" w:cs="Arial" w:eastAsia="Arial" w:hAnsi="Arial"/>
                <w:sz w:val="16"/>
                <w:szCs w:val="16"/>
                <w:color w:val="262626"/>
              </w:rPr>
              <w:t xml:space="preserve">   </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262626"/>
              </w:rPr>
              <w:t>15.67 </w:t>
            </w:r>
          </w:p>
        </w:tc>
        <w:tc>
          <w:tcPr>
            <w:tcW w:w="120" w:type="dxa"/>
            <w:vAlign w:val="bottom"/>
          </w:tcPr>
          <w:p>
            <w:pPr>
              <w:spacing w:after="0"/>
              <w:rPr>
                <w:sz w:val="24"/>
                <w:szCs w:val="24"/>
                <w:color w:val="auto"/>
              </w:rPr>
            </w:pPr>
          </w:p>
        </w:tc>
        <w:tc>
          <w:tcPr>
            <w:tcW w:w="1180" w:type="dxa"/>
            <w:vAlign w:val="bottom"/>
            <w:gridSpan w:val="2"/>
          </w:tcPr>
          <w:p>
            <w:pPr>
              <w:ind w:left="980"/>
              <w:spacing w:after="0"/>
              <w:rPr>
                <w:sz w:val="20"/>
                <w:szCs w:val="20"/>
                <w:color w:val="auto"/>
              </w:rPr>
            </w:pPr>
            <w:r>
              <w:rPr>
                <w:rFonts w:ascii="Arial" w:cs="Arial" w:eastAsia="Arial" w:hAnsi="Arial"/>
                <w:sz w:val="16"/>
                <w:szCs w:val="16"/>
                <w:color w:val="262626"/>
                <w:w w:val="87"/>
              </w:rPr>
              <w:t>  </w:t>
            </w:r>
          </w:p>
        </w:tc>
        <w:tc>
          <w:tcPr>
            <w:tcW w:w="1180" w:type="dxa"/>
            <w:vAlign w:val="bottom"/>
          </w:tcPr>
          <w:p>
            <w:pPr>
              <w:jc w:val="right"/>
              <w:ind w:right="39"/>
              <w:spacing w:after="0"/>
              <w:rPr>
                <w:sz w:val="20"/>
                <w:szCs w:val="20"/>
                <w:color w:val="auto"/>
              </w:rPr>
            </w:pPr>
            <w:r>
              <w:rPr>
                <w:rFonts w:ascii="Arial" w:cs="Arial" w:eastAsia="Arial" w:hAnsi="Arial"/>
                <w:sz w:val="16"/>
                <w:szCs w:val="16"/>
                <w:color w:val="262626"/>
                <w:w w:val="86"/>
              </w:rPr>
              <w:t>   384,875,261 </w:t>
            </w:r>
          </w:p>
        </w:tc>
        <w:tc>
          <w:tcPr>
            <w:tcW w:w="180" w:type="dxa"/>
            <w:vAlign w:val="bottom"/>
            <w:gridSpan w:val="2"/>
          </w:tcPr>
          <w:p>
            <w:pPr>
              <w:spacing w:after="0"/>
              <w:rPr>
                <w:sz w:val="20"/>
                <w:szCs w:val="20"/>
                <w:color w:val="auto"/>
              </w:rPr>
            </w:pPr>
            <w:r>
              <w:rPr>
                <w:rFonts w:ascii="Arial" w:cs="Arial" w:eastAsia="Arial" w:hAnsi="Arial"/>
                <w:sz w:val="16"/>
                <w:szCs w:val="16"/>
                <w:color w:val="262626"/>
                <w:w w:val="79"/>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163195</wp:posOffset>
            </wp:positionV>
            <wp:extent cx="4343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295" w:lineRule="exact"/>
        <w:rPr>
          <w:sz w:val="20"/>
          <w:szCs w:val="20"/>
          <w:color w:val="auto"/>
        </w:rPr>
      </w:pPr>
    </w:p>
    <w:p>
      <w:pPr>
        <w:ind w:left="1620" w:right="179" w:hanging="344"/>
        <w:spacing w:after="0" w:line="362" w:lineRule="auto"/>
        <w:tabs>
          <w:tab w:leader="none" w:pos="1620" w:val="left"/>
        </w:tabs>
        <w:numPr>
          <w:ilvl w:val="0"/>
          <w:numId w:val="47"/>
        </w:numPr>
        <w:rPr>
          <w:rFonts w:ascii="Arial" w:cs="Arial" w:eastAsia="Arial" w:hAnsi="Arial"/>
          <w:sz w:val="14"/>
          <w:szCs w:val="14"/>
          <w:color w:val="262626"/>
        </w:rPr>
      </w:pPr>
      <w:r>
        <w:rPr>
          <w:rFonts w:ascii="Arial" w:cs="Arial" w:eastAsia="Arial" w:hAnsi="Arial"/>
          <w:sz w:val="14"/>
          <w:szCs w:val="14"/>
          <w:color w:val="262626"/>
        </w:rPr>
        <w:t>Shares issuable upon vesting of RSU and PSU awards have been excluded from the calculation of the weighted average exercise price because they have no exercise price associated with those awards.</w:t>
      </w:r>
    </w:p>
    <w:p>
      <w:pPr>
        <w:spacing w:after="0" w:line="24" w:lineRule="exact"/>
        <w:rPr>
          <w:rFonts w:ascii="Arial" w:cs="Arial" w:eastAsia="Arial" w:hAnsi="Arial"/>
          <w:sz w:val="14"/>
          <w:szCs w:val="14"/>
          <w:color w:val="262626"/>
        </w:rPr>
      </w:pPr>
    </w:p>
    <w:p>
      <w:pPr>
        <w:jc w:val="both"/>
        <w:ind w:left="1620" w:right="179" w:hanging="344"/>
        <w:spacing w:after="0" w:line="341" w:lineRule="auto"/>
        <w:tabs>
          <w:tab w:leader="none" w:pos="1620" w:val="left"/>
        </w:tabs>
        <w:numPr>
          <w:ilvl w:val="0"/>
          <w:numId w:val="47"/>
        </w:numPr>
        <w:rPr>
          <w:rFonts w:ascii="Arial" w:cs="Arial" w:eastAsia="Arial" w:hAnsi="Arial"/>
          <w:sz w:val="14"/>
          <w:szCs w:val="14"/>
          <w:color w:val="262626"/>
        </w:rPr>
      </w:pPr>
      <w:r>
        <w:rPr>
          <w:rFonts w:ascii="Arial" w:cs="Arial" w:eastAsia="Arial" w:hAnsi="Arial"/>
          <w:sz w:val="14"/>
          <w:szCs w:val="14"/>
          <w:color w:val="262626"/>
        </w:rPr>
        <w:t>Represents (i) 2,933,014 shares that may be issued upon vesting of outstanding RSU and PSU awards (assuming the maximum performance level) granted under the Avago Plan and (ii) 170,410,404 shares that may be issued upon the vesting of outstanding RSU and PSU awards (assuming the maximum performance level) granted under the 2012 Plan.</w:t>
      </w:r>
    </w:p>
    <w:p>
      <w:pPr>
        <w:spacing w:after="0" w:line="38" w:lineRule="exact"/>
        <w:rPr>
          <w:rFonts w:ascii="Arial" w:cs="Arial" w:eastAsia="Arial" w:hAnsi="Arial"/>
          <w:sz w:val="14"/>
          <w:szCs w:val="14"/>
          <w:color w:val="262626"/>
        </w:rPr>
      </w:pPr>
    </w:p>
    <w:p>
      <w:pPr>
        <w:ind w:left="1620" w:hanging="344"/>
        <w:spacing w:after="0"/>
        <w:tabs>
          <w:tab w:leader="none" w:pos="1620" w:val="left"/>
        </w:tabs>
        <w:numPr>
          <w:ilvl w:val="0"/>
          <w:numId w:val="47"/>
        </w:numPr>
        <w:rPr>
          <w:rFonts w:ascii="Arial" w:cs="Arial" w:eastAsia="Arial" w:hAnsi="Arial"/>
          <w:sz w:val="14"/>
          <w:szCs w:val="14"/>
          <w:color w:val="262626"/>
        </w:rPr>
      </w:pPr>
      <w:r>
        <w:rPr>
          <w:rFonts w:ascii="Arial" w:cs="Arial" w:eastAsia="Arial" w:hAnsi="Arial"/>
          <w:sz w:val="14"/>
          <w:szCs w:val="14"/>
          <w:color w:val="262626"/>
        </w:rPr>
        <w:t>Shares available for issuance under the 2012 Plan.</w:t>
      </w:r>
    </w:p>
    <w:p>
      <w:pPr>
        <w:spacing w:after="0" w:line="134" w:lineRule="exact"/>
        <w:rPr>
          <w:rFonts w:ascii="Arial" w:cs="Arial" w:eastAsia="Arial" w:hAnsi="Arial"/>
          <w:sz w:val="14"/>
          <w:szCs w:val="14"/>
          <w:color w:val="262626"/>
        </w:rPr>
      </w:pPr>
    </w:p>
    <w:p>
      <w:pPr>
        <w:ind w:left="1620" w:right="179" w:hanging="344"/>
        <w:spacing w:after="0" w:line="362" w:lineRule="auto"/>
        <w:tabs>
          <w:tab w:leader="none" w:pos="1620" w:val="left"/>
        </w:tabs>
        <w:numPr>
          <w:ilvl w:val="0"/>
          <w:numId w:val="47"/>
        </w:numPr>
        <w:rPr>
          <w:rFonts w:ascii="Arial" w:cs="Arial" w:eastAsia="Arial" w:hAnsi="Arial"/>
          <w:sz w:val="14"/>
          <w:szCs w:val="14"/>
          <w:color w:val="262626"/>
        </w:rPr>
      </w:pPr>
      <w:r>
        <w:rPr>
          <w:rFonts w:ascii="Arial" w:cs="Arial" w:eastAsia="Arial" w:hAnsi="Arial"/>
          <w:sz w:val="14"/>
          <w:szCs w:val="14"/>
          <w:color w:val="262626"/>
        </w:rPr>
        <w:t>Includes up to a maximum of 1,315,732 shares that may be purchased in the current offering period based on enrollment as of November 2, 2025.</w:t>
      </w:r>
    </w:p>
    <w:p>
      <w:pPr>
        <w:spacing w:after="0" w:line="24" w:lineRule="exact"/>
        <w:rPr>
          <w:rFonts w:ascii="Arial" w:cs="Arial" w:eastAsia="Arial" w:hAnsi="Arial"/>
          <w:sz w:val="14"/>
          <w:szCs w:val="14"/>
          <w:color w:val="262626"/>
        </w:rPr>
      </w:pPr>
    </w:p>
    <w:p>
      <w:pPr>
        <w:jc w:val="both"/>
        <w:ind w:left="1620" w:right="159" w:hanging="344"/>
        <w:spacing w:after="0" w:line="330" w:lineRule="auto"/>
        <w:tabs>
          <w:tab w:leader="none" w:pos="1620" w:val="left"/>
        </w:tabs>
        <w:numPr>
          <w:ilvl w:val="0"/>
          <w:numId w:val="47"/>
        </w:numPr>
        <w:rPr>
          <w:rFonts w:ascii="Arial" w:cs="Arial" w:eastAsia="Arial" w:hAnsi="Arial"/>
          <w:sz w:val="14"/>
          <w:szCs w:val="14"/>
          <w:color w:val="262626"/>
        </w:rPr>
      </w:pPr>
      <w:r>
        <w:rPr>
          <w:rFonts w:ascii="Arial" w:cs="Arial" w:eastAsia="Arial" w:hAnsi="Arial"/>
          <w:sz w:val="14"/>
          <w:szCs w:val="14"/>
          <w:color w:val="262626"/>
        </w:rPr>
        <w:t>Represents (i) 18,363,358 shares that may be issued upon the vesting of outstanding RSU and PSU awards (assuming the maximum performance level) granted under the Inducement Plan, (ii) 37,585,298 shares that may be issued upon the vesting of outstanding RSU and PSU awards (assuming the maximum performance level) granted under the VMware Plan and (iii) 370 shares subject to outstanding stock options granted under other equity compensation plans and agreements assumed by Broadcom in connection with our acquisition of other companies that originally established those plans or agreements.</w:t>
      </w:r>
    </w:p>
    <w:p>
      <w:pPr>
        <w:spacing w:after="0" w:line="177" w:lineRule="exact"/>
        <w:rPr>
          <w:sz w:val="20"/>
          <w:szCs w:val="20"/>
          <w:color w:val="auto"/>
        </w:rPr>
      </w:pPr>
    </w:p>
    <w:p>
      <w:pPr>
        <w:ind w:left="1280" w:right="179"/>
        <w:spacing w:after="0" w:line="371" w:lineRule="auto"/>
        <w:rPr>
          <w:sz w:val="20"/>
          <w:szCs w:val="20"/>
          <w:color w:val="auto"/>
        </w:rPr>
      </w:pPr>
      <w:r>
        <w:rPr>
          <w:rFonts w:ascii="Arial" w:cs="Arial" w:eastAsia="Arial" w:hAnsi="Arial"/>
          <w:sz w:val="16"/>
          <w:szCs w:val="16"/>
          <w:color w:val="262626"/>
        </w:rPr>
        <w:t>For additional information regarding our equity compensation plans, see Note 11 of Notes to Consolidated Financial Statements included in Part II, Item 8 of our 2025 Annual Report.</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768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5155"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jc w:val="center"/>
        <w:ind w:left="1580" w:right="1660"/>
        <w:spacing w:after="0" w:line="264" w:lineRule="auto"/>
        <w:rPr>
          <w:sz w:val="20"/>
          <w:szCs w:val="20"/>
          <w:color w:val="auto"/>
        </w:rPr>
      </w:pPr>
      <w:r>
        <w:rPr>
          <w:rFonts w:ascii="Arial" w:cs="Arial" w:eastAsia="Arial" w:hAnsi="Arial"/>
          <w:sz w:val="25"/>
          <w:szCs w:val="25"/>
          <w:color w:val="CF0A2C"/>
        </w:rPr>
        <w:t>SECURITY OWNERSHIP OF CERTAIN BENEFICIAL OWNERS, DIRECTORS AND EXECUTIVE OFFICERS</w:t>
      </w:r>
    </w:p>
    <w:p>
      <w:pPr>
        <w:spacing w:after="0" w:line="187" w:lineRule="exact"/>
        <w:rPr>
          <w:sz w:val="20"/>
          <w:szCs w:val="20"/>
          <w:color w:val="auto"/>
        </w:rPr>
      </w:pPr>
    </w:p>
    <w:p>
      <w:pPr>
        <w:ind w:left="1280" w:right="179"/>
        <w:spacing w:after="0" w:line="353" w:lineRule="auto"/>
        <w:rPr>
          <w:sz w:val="20"/>
          <w:szCs w:val="20"/>
          <w:color w:val="auto"/>
        </w:rPr>
      </w:pPr>
      <w:r>
        <w:rPr>
          <w:rFonts w:ascii="Arial" w:cs="Arial" w:eastAsia="Arial" w:hAnsi="Arial"/>
          <w:sz w:val="16"/>
          <w:szCs w:val="16"/>
          <w:color w:val="262626"/>
        </w:rPr>
        <w:t>The following table sets forth information about the beneficial ownership of Broadcom common stock as of February 24, 2026 for:</w:t>
      </w:r>
    </w:p>
    <w:p>
      <w:pPr>
        <w:spacing w:after="0" w:line="76" w:lineRule="exact"/>
        <w:rPr>
          <w:sz w:val="20"/>
          <w:szCs w:val="20"/>
          <w:color w:val="auto"/>
        </w:rPr>
      </w:pPr>
    </w:p>
    <w:p>
      <w:pPr>
        <w:ind w:left="1860" w:hanging="249"/>
        <w:spacing w:after="0"/>
        <w:tabs>
          <w:tab w:leader="none" w:pos="1860" w:val="left"/>
        </w:tabs>
        <w:numPr>
          <w:ilvl w:val="0"/>
          <w:numId w:val="48"/>
        </w:numPr>
        <w:rPr>
          <w:rFonts w:ascii="Arial" w:cs="Arial" w:eastAsia="Arial" w:hAnsi="Arial"/>
          <w:sz w:val="16"/>
          <w:szCs w:val="16"/>
          <w:color w:val="262626"/>
        </w:rPr>
      </w:pPr>
      <w:r>
        <w:rPr>
          <w:rFonts w:ascii="Arial" w:cs="Arial" w:eastAsia="Arial" w:hAnsi="Arial"/>
          <w:sz w:val="16"/>
          <w:szCs w:val="16"/>
          <w:color w:val="262626"/>
        </w:rPr>
        <w:t>stockholders known to us to own more than 5% of the outstanding shares of our common stock;</w:t>
      </w:r>
    </w:p>
    <w:p>
      <w:pPr>
        <w:spacing w:after="0" w:line="191" w:lineRule="exact"/>
        <w:rPr>
          <w:rFonts w:ascii="Arial" w:cs="Arial" w:eastAsia="Arial" w:hAnsi="Arial"/>
          <w:sz w:val="16"/>
          <w:szCs w:val="16"/>
          <w:color w:val="262626"/>
        </w:rPr>
      </w:pPr>
    </w:p>
    <w:p>
      <w:pPr>
        <w:ind w:left="1860" w:hanging="249"/>
        <w:spacing w:after="0"/>
        <w:tabs>
          <w:tab w:leader="none" w:pos="1860" w:val="left"/>
        </w:tabs>
        <w:numPr>
          <w:ilvl w:val="0"/>
          <w:numId w:val="48"/>
        </w:numPr>
        <w:rPr>
          <w:rFonts w:ascii="Arial" w:cs="Arial" w:eastAsia="Arial" w:hAnsi="Arial"/>
          <w:sz w:val="16"/>
          <w:szCs w:val="16"/>
          <w:color w:val="262626"/>
        </w:rPr>
      </w:pPr>
      <w:r>
        <w:rPr>
          <w:rFonts w:ascii="Arial" w:cs="Arial" w:eastAsia="Arial" w:hAnsi="Arial"/>
          <w:sz w:val="16"/>
          <w:szCs w:val="16"/>
          <w:color w:val="262626"/>
        </w:rPr>
        <w:t>each of our directors and nominees for director;</w:t>
      </w:r>
    </w:p>
    <w:p>
      <w:pPr>
        <w:spacing w:after="0" w:line="191" w:lineRule="exact"/>
        <w:rPr>
          <w:rFonts w:ascii="Arial" w:cs="Arial" w:eastAsia="Arial" w:hAnsi="Arial"/>
          <w:sz w:val="16"/>
          <w:szCs w:val="16"/>
          <w:color w:val="262626"/>
        </w:rPr>
      </w:pPr>
    </w:p>
    <w:p>
      <w:pPr>
        <w:ind w:left="1860" w:hanging="249"/>
        <w:spacing w:after="0"/>
        <w:tabs>
          <w:tab w:leader="none" w:pos="1860" w:val="left"/>
        </w:tabs>
        <w:numPr>
          <w:ilvl w:val="0"/>
          <w:numId w:val="48"/>
        </w:numPr>
        <w:rPr>
          <w:rFonts w:ascii="Arial" w:cs="Arial" w:eastAsia="Arial" w:hAnsi="Arial"/>
          <w:sz w:val="16"/>
          <w:szCs w:val="16"/>
          <w:color w:val="262626"/>
        </w:rPr>
      </w:pPr>
      <w:r>
        <w:rPr>
          <w:rFonts w:ascii="Arial" w:cs="Arial" w:eastAsia="Arial" w:hAnsi="Arial"/>
          <w:sz w:val="16"/>
          <w:szCs w:val="16"/>
          <w:color w:val="262626"/>
        </w:rPr>
        <w:t>each named executive officer; and</w:t>
      </w:r>
    </w:p>
    <w:p>
      <w:pPr>
        <w:spacing w:after="0" w:line="191" w:lineRule="exact"/>
        <w:rPr>
          <w:rFonts w:ascii="Arial" w:cs="Arial" w:eastAsia="Arial" w:hAnsi="Arial"/>
          <w:sz w:val="16"/>
          <w:szCs w:val="16"/>
          <w:color w:val="262626"/>
        </w:rPr>
      </w:pPr>
    </w:p>
    <w:p>
      <w:pPr>
        <w:ind w:left="1860" w:hanging="249"/>
        <w:spacing w:after="0"/>
        <w:tabs>
          <w:tab w:leader="none" w:pos="1860" w:val="left"/>
        </w:tabs>
        <w:numPr>
          <w:ilvl w:val="0"/>
          <w:numId w:val="48"/>
        </w:numPr>
        <w:rPr>
          <w:rFonts w:ascii="Arial" w:cs="Arial" w:eastAsia="Arial" w:hAnsi="Arial"/>
          <w:sz w:val="16"/>
          <w:szCs w:val="16"/>
          <w:color w:val="262626"/>
        </w:rPr>
      </w:pPr>
      <w:r>
        <w:rPr>
          <w:rFonts w:ascii="Arial" w:cs="Arial" w:eastAsia="Arial" w:hAnsi="Arial"/>
          <w:sz w:val="16"/>
          <w:szCs w:val="16"/>
          <w:color w:val="262626"/>
        </w:rPr>
        <w:t>all of our current directors and executive officers as a group.</w:t>
      </w:r>
    </w:p>
    <w:p>
      <w:pPr>
        <w:spacing w:after="0" w:line="219"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We have determined beneficial ownership in accordance with the rules of the SEC. Except as indicated by the footnotes below, we believe, based on the information furnished to us, that the persons and entities named in the table below have sole voting and dispositive power with respect to all common stock that they beneficially own.</w:t>
      </w:r>
    </w:p>
    <w:p>
      <w:pPr>
        <w:spacing w:after="0" w:line="97" w:lineRule="exact"/>
        <w:rPr>
          <w:sz w:val="20"/>
          <w:szCs w:val="20"/>
          <w:color w:val="auto"/>
        </w:rPr>
      </w:pPr>
    </w:p>
    <w:p>
      <w:pPr>
        <w:jc w:val="both"/>
        <w:ind w:left="1280" w:right="179"/>
        <w:spacing w:after="0" w:line="352" w:lineRule="auto"/>
        <w:rPr>
          <w:sz w:val="20"/>
          <w:szCs w:val="20"/>
          <w:color w:val="auto"/>
        </w:rPr>
      </w:pPr>
      <w:r>
        <w:rPr>
          <w:rFonts w:ascii="Arial" w:cs="Arial" w:eastAsia="Arial" w:hAnsi="Arial"/>
          <w:sz w:val="16"/>
          <w:szCs w:val="16"/>
          <w:color w:val="262626"/>
        </w:rPr>
        <w:t>Common stock subject to RSU awards that vest within 60 days of February 24, 2026 are deemed to be outstanding and to be beneficially owned by the person holding the equity award for the purpose of computing the percentage ownership of that person but are not treated as outstanding for the purpose of computing the percentage ownership of any other person.</w:t>
      </w:r>
    </w:p>
    <w:p>
      <w:pPr>
        <w:spacing w:after="0" w:line="331" w:lineRule="exact"/>
        <w:rPr>
          <w:sz w:val="20"/>
          <w:szCs w:val="20"/>
          <w:color w:val="auto"/>
        </w:rPr>
      </w:pPr>
    </w:p>
    <w:p>
      <w:pPr>
        <w:jc w:val="both"/>
        <w:ind w:left="1280" w:right="179"/>
        <w:spacing w:after="0" w:line="371" w:lineRule="auto"/>
        <w:rPr>
          <w:sz w:val="20"/>
          <w:szCs w:val="20"/>
          <w:color w:val="auto"/>
        </w:rPr>
      </w:pPr>
      <w:r>
        <w:rPr>
          <w:rFonts w:ascii="Arial" w:cs="Arial" w:eastAsia="Arial" w:hAnsi="Arial"/>
          <w:sz w:val="16"/>
          <w:szCs w:val="16"/>
          <w:color w:val="262626"/>
        </w:rPr>
        <w:t>In the table below, percentage ownership is based on 4,735,602,612 shares of common stock outstanding as of 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107950</wp:posOffset>
            </wp:positionV>
            <wp:extent cx="55225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236" w:lineRule="exact"/>
        <w:rPr>
          <w:sz w:val="20"/>
          <w:szCs w:val="20"/>
          <w:color w:val="auto"/>
        </w:rPr>
      </w:pPr>
    </w:p>
    <w:tbl>
      <w:tblPr>
        <w:tblLayout w:type="fixed"/>
        <w:tblInd w:w="1280" w:type="dxa"/>
        <w:tblCellMar>
          <w:top w:w="0" w:type="dxa"/>
          <w:left w:w="0" w:type="dxa"/>
          <w:bottom w:w="0" w:type="dxa"/>
          <w:right w:w="0" w:type="dxa"/>
        </w:tblCellMar>
      </w:tblPr>
      <w:tr>
        <w:trPr>
          <w:trHeight w:val="276"/>
        </w:trPr>
        <w:tc>
          <w:tcPr>
            <w:tcW w:w="5580" w:type="dxa"/>
            <w:vAlign w:val="bottom"/>
          </w:tcPr>
          <w:p>
            <w:pPr>
              <w:spacing w:after="0"/>
              <w:rPr>
                <w:sz w:val="23"/>
                <w:szCs w:val="23"/>
                <w:color w:val="auto"/>
              </w:rPr>
            </w:pPr>
          </w:p>
        </w:tc>
        <w:tc>
          <w:tcPr>
            <w:tcW w:w="3120" w:type="dxa"/>
            <w:vAlign w:val="bottom"/>
            <w:tcBorders>
              <w:bottom w:val="single" w:sz="8" w:color="262626"/>
            </w:tcBorders>
            <w:gridSpan w:val="2"/>
          </w:tcPr>
          <w:p>
            <w:pPr>
              <w:ind w:left="580"/>
              <w:spacing w:after="0"/>
              <w:rPr>
                <w:sz w:val="20"/>
                <w:szCs w:val="20"/>
                <w:color w:val="auto"/>
              </w:rPr>
            </w:pPr>
            <w:r>
              <w:rPr>
                <w:rFonts w:ascii="Arial" w:cs="Arial" w:eastAsia="Arial" w:hAnsi="Arial"/>
                <w:sz w:val="16"/>
                <w:szCs w:val="16"/>
                <w:b w:val="1"/>
                <w:bCs w:val="1"/>
                <w:color w:val="262626"/>
              </w:rPr>
              <w:t>Shares Beneficially Owned</w:t>
            </w:r>
            <w:r>
              <w:rPr>
                <w:rFonts w:ascii="Arial" w:cs="Arial" w:eastAsia="Arial" w:hAnsi="Arial"/>
                <w:sz w:val="24"/>
                <w:szCs w:val="24"/>
                <w:b w:val="1"/>
                <w:bCs w:val="1"/>
                <w:color w:val="262626"/>
                <w:vertAlign w:val="superscript"/>
              </w:rPr>
              <w:t>(1)</w:t>
            </w:r>
          </w:p>
        </w:tc>
        <w:tc>
          <w:tcPr>
            <w:tcW w:w="0" w:type="dxa"/>
            <w:vAlign w:val="bottom"/>
          </w:tcPr>
          <w:p>
            <w:pPr>
              <w:spacing w:after="0"/>
              <w:rPr>
                <w:sz w:val="1"/>
                <w:szCs w:val="1"/>
                <w:color w:val="auto"/>
              </w:rPr>
            </w:pPr>
          </w:p>
        </w:tc>
      </w:tr>
      <w:tr>
        <w:trPr>
          <w:trHeight w:val="261"/>
        </w:trPr>
        <w:tc>
          <w:tcPr>
            <w:tcW w:w="5580" w:type="dxa"/>
            <w:vAlign w:val="bottom"/>
            <w:vMerge w:val="restart"/>
          </w:tcPr>
          <w:p>
            <w:pPr>
              <w:spacing w:after="0"/>
              <w:rPr>
                <w:sz w:val="20"/>
                <w:szCs w:val="20"/>
                <w:color w:val="auto"/>
              </w:rPr>
            </w:pPr>
            <w:r>
              <w:rPr>
                <w:rFonts w:ascii="Arial" w:cs="Arial" w:eastAsia="Arial" w:hAnsi="Arial"/>
                <w:sz w:val="16"/>
                <w:szCs w:val="16"/>
                <w:b w:val="1"/>
                <w:bCs w:val="1"/>
                <w:color w:val="262626"/>
              </w:rPr>
              <w:t>Name and Address of Beneficial Owners</w:t>
            </w:r>
          </w:p>
        </w:tc>
        <w:tc>
          <w:tcPr>
            <w:tcW w:w="1780" w:type="dxa"/>
            <w:vAlign w:val="bottom"/>
          </w:tcPr>
          <w:p>
            <w:pPr>
              <w:jc w:val="right"/>
              <w:ind w:right="59"/>
              <w:spacing w:after="0"/>
              <w:rPr>
                <w:sz w:val="20"/>
                <w:szCs w:val="20"/>
                <w:color w:val="auto"/>
              </w:rPr>
            </w:pPr>
            <w:r>
              <w:rPr>
                <w:rFonts w:ascii="Arial" w:cs="Arial" w:eastAsia="Arial" w:hAnsi="Arial"/>
                <w:sz w:val="16"/>
                <w:szCs w:val="16"/>
                <w:b w:val="1"/>
                <w:bCs w:val="1"/>
                <w:color w:val="262626"/>
              </w:rPr>
              <w:t>Number of Shares</w:t>
            </w:r>
          </w:p>
        </w:tc>
        <w:tc>
          <w:tcPr>
            <w:tcW w:w="1340" w:type="dxa"/>
            <w:vAlign w:val="bottom"/>
          </w:tcPr>
          <w:p>
            <w:pPr>
              <w:jc w:val="center"/>
              <w:ind w:left="39"/>
              <w:spacing w:after="0"/>
              <w:rPr>
                <w:sz w:val="20"/>
                <w:szCs w:val="20"/>
                <w:color w:val="auto"/>
              </w:rPr>
            </w:pPr>
            <w:r>
              <w:rPr>
                <w:rFonts w:ascii="Arial" w:cs="Arial" w:eastAsia="Arial" w:hAnsi="Arial"/>
                <w:sz w:val="16"/>
                <w:szCs w:val="16"/>
                <w:b w:val="1"/>
                <w:bCs w:val="1"/>
                <w:color w:val="262626"/>
              </w:rPr>
              <w:t>Percentage of</w:t>
            </w:r>
          </w:p>
        </w:tc>
        <w:tc>
          <w:tcPr>
            <w:tcW w:w="0" w:type="dxa"/>
            <w:vAlign w:val="bottom"/>
          </w:tcPr>
          <w:p>
            <w:pPr>
              <w:spacing w:after="0"/>
              <w:rPr>
                <w:sz w:val="1"/>
                <w:szCs w:val="1"/>
                <w:color w:val="auto"/>
              </w:rPr>
            </w:pPr>
          </w:p>
        </w:tc>
      </w:tr>
      <w:tr>
        <w:trPr>
          <w:trHeight w:val="128"/>
        </w:trPr>
        <w:tc>
          <w:tcPr>
            <w:tcW w:w="5580" w:type="dxa"/>
            <w:vAlign w:val="bottom"/>
            <w:vMerge w:val="continue"/>
          </w:tcPr>
          <w:p>
            <w:pPr>
              <w:spacing w:after="0"/>
              <w:rPr>
                <w:sz w:val="11"/>
                <w:szCs w:val="11"/>
                <w:color w:val="auto"/>
              </w:rPr>
            </w:pPr>
          </w:p>
        </w:tc>
        <w:tc>
          <w:tcPr>
            <w:tcW w:w="17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262626"/>
              </w:rPr>
              <w:t>Common Stock</w:t>
            </w:r>
          </w:p>
        </w:tc>
        <w:tc>
          <w:tcPr>
            <w:tcW w:w="134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262626"/>
              </w:rPr>
              <w:t>Common Stock</w:t>
            </w:r>
          </w:p>
        </w:tc>
        <w:tc>
          <w:tcPr>
            <w:tcW w:w="0" w:type="dxa"/>
            <w:vAlign w:val="bottom"/>
          </w:tcPr>
          <w:p>
            <w:pPr>
              <w:spacing w:after="0"/>
              <w:rPr>
                <w:sz w:val="1"/>
                <w:szCs w:val="1"/>
                <w:color w:val="auto"/>
              </w:rPr>
            </w:pPr>
          </w:p>
        </w:tc>
      </w:tr>
      <w:tr>
        <w:trPr>
          <w:trHeight w:val="94"/>
        </w:trPr>
        <w:tc>
          <w:tcPr>
            <w:tcW w:w="558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580" w:type="dxa"/>
            <w:vAlign w:val="bottom"/>
            <w:tcBorders>
              <w:bottom w:val="single" w:sz="8" w:color="CF0A2C"/>
            </w:tcBorders>
          </w:tcPr>
          <w:p>
            <w:pPr>
              <w:spacing w:after="0"/>
              <w:rPr>
                <w:sz w:val="7"/>
                <w:szCs w:val="7"/>
                <w:color w:val="auto"/>
              </w:rPr>
            </w:pPr>
          </w:p>
        </w:tc>
        <w:tc>
          <w:tcPr>
            <w:tcW w:w="1780" w:type="dxa"/>
            <w:vAlign w:val="bottom"/>
            <w:tcBorders>
              <w:bottom w:val="single" w:sz="8" w:color="CF0A2C"/>
            </w:tcBorders>
          </w:tcPr>
          <w:p>
            <w:pPr>
              <w:spacing w:after="0"/>
              <w:rPr>
                <w:sz w:val="7"/>
                <w:szCs w:val="7"/>
                <w:color w:val="auto"/>
              </w:rPr>
            </w:pPr>
          </w:p>
        </w:tc>
        <w:tc>
          <w:tcPr>
            <w:tcW w:w="1340" w:type="dxa"/>
            <w:vAlign w:val="bottom"/>
            <w:tcBorders>
              <w:bottom w:val="single" w:sz="8" w:color="CF0A2C"/>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5580" w:type="dxa"/>
            <w:vAlign w:val="bottom"/>
          </w:tcPr>
          <w:p>
            <w:pPr>
              <w:spacing w:after="0"/>
              <w:rPr>
                <w:sz w:val="20"/>
                <w:szCs w:val="20"/>
                <w:color w:val="auto"/>
              </w:rPr>
            </w:pPr>
            <w:r>
              <w:rPr>
                <w:rFonts w:ascii="Arial" w:cs="Arial" w:eastAsia="Arial" w:hAnsi="Arial"/>
                <w:sz w:val="16"/>
                <w:szCs w:val="16"/>
                <w:b w:val="1"/>
                <w:bCs w:val="1"/>
                <w:color w:val="262626"/>
              </w:rPr>
              <w:t>Five Percent Stockholders:</w:t>
            </w:r>
          </w:p>
        </w:tc>
        <w:tc>
          <w:tcPr>
            <w:tcW w:w="17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5580" w:type="dxa"/>
            <w:vAlign w:val="bottom"/>
          </w:tcPr>
          <w:p>
            <w:pPr>
              <w:spacing w:after="0"/>
              <w:rPr>
                <w:sz w:val="20"/>
                <w:szCs w:val="20"/>
                <w:color w:val="auto"/>
              </w:rPr>
            </w:pPr>
            <w:r>
              <w:rPr>
                <w:rFonts w:ascii="Arial" w:cs="Arial" w:eastAsia="Arial" w:hAnsi="Arial"/>
                <w:sz w:val="16"/>
                <w:szCs w:val="16"/>
                <w:color w:val="262626"/>
              </w:rPr>
              <w:t>The Vanguard Group</w:t>
            </w:r>
            <w:r>
              <w:rPr>
                <w:rFonts w:ascii="Arial" w:cs="Arial" w:eastAsia="Arial" w:hAnsi="Arial"/>
                <w:sz w:val="24"/>
                <w:szCs w:val="24"/>
                <w:color w:val="262626"/>
                <w:vertAlign w:val="superscript"/>
              </w:rPr>
              <w:t>(2)</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468,544,898</w:t>
            </w:r>
          </w:p>
        </w:tc>
        <w:tc>
          <w:tcPr>
            <w:tcW w:w="1340" w:type="dxa"/>
            <w:vAlign w:val="bottom"/>
          </w:tcPr>
          <w:p>
            <w:pPr>
              <w:jc w:val="center"/>
              <w:ind w:left="339"/>
              <w:spacing w:after="0"/>
              <w:rPr>
                <w:sz w:val="20"/>
                <w:szCs w:val="20"/>
                <w:color w:val="auto"/>
              </w:rPr>
            </w:pPr>
            <w:r>
              <w:rPr>
                <w:rFonts w:ascii="Arial" w:cs="Arial" w:eastAsia="Arial" w:hAnsi="Arial"/>
                <w:sz w:val="16"/>
                <w:szCs w:val="16"/>
                <w:color w:val="262626"/>
                <w:w w:val="98"/>
              </w:rPr>
              <w:t>9.9%</w:t>
            </w:r>
          </w:p>
        </w:tc>
        <w:tc>
          <w:tcPr>
            <w:tcW w:w="0" w:type="dxa"/>
            <w:vAlign w:val="bottom"/>
          </w:tcPr>
          <w:p>
            <w:pPr>
              <w:spacing w:after="0"/>
              <w:rPr>
                <w:sz w:val="1"/>
                <w:szCs w:val="1"/>
                <w:color w:val="auto"/>
              </w:rPr>
            </w:pPr>
          </w:p>
        </w:tc>
      </w:tr>
      <w:tr>
        <w:trPr>
          <w:trHeight w:val="214"/>
        </w:trPr>
        <w:tc>
          <w:tcPr>
            <w:tcW w:w="5580" w:type="dxa"/>
            <w:vAlign w:val="bottom"/>
          </w:tcPr>
          <w:p>
            <w:pPr>
              <w:ind w:left="240"/>
              <w:spacing w:after="0"/>
              <w:rPr>
                <w:sz w:val="20"/>
                <w:szCs w:val="20"/>
                <w:color w:val="auto"/>
              </w:rPr>
            </w:pPr>
            <w:r>
              <w:rPr>
                <w:rFonts w:ascii="Arial" w:cs="Arial" w:eastAsia="Arial" w:hAnsi="Arial"/>
                <w:sz w:val="16"/>
                <w:szCs w:val="16"/>
                <w:color w:val="262626"/>
              </w:rPr>
              <w:t>100 Vanguard Blvd.</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80" w:type="dxa"/>
            <w:vAlign w:val="bottom"/>
          </w:tcPr>
          <w:p>
            <w:pPr>
              <w:ind w:left="240"/>
              <w:spacing w:after="0"/>
              <w:rPr>
                <w:sz w:val="20"/>
                <w:szCs w:val="20"/>
                <w:color w:val="auto"/>
              </w:rPr>
            </w:pPr>
            <w:r>
              <w:rPr>
                <w:rFonts w:ascii="Arial" w:cs="Arial" w:eastAsia="Arial" w:hAnsi="Arial"/>
                <w:sz w:val="16"/>
                <w:szCs w:val="16"/>
                <w:color w:val="262626"/>
              </w:rPr>
              <w:t>Malvern, PA 19355</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580" w:type="dxa"/>
            <w:vAlign w:val="bottom"/>
          </w:tcPr>
          <w:p>
            <w:pPr>
              <w:spacing w:after="0"/>
              <w:rPr>
                <w:sz w:val="20"/>
                <w:szCs w:val="20"/>
                <w:color w:val="auto"/>
              </w:rPr>
            </w:pPr>
            <w:r>
              <w:rPr>
                <w:rFonts w:ascii="Arial" w:cs="Arial" w:eastAsia="Arial" w:hAnsi="Arial"/>
                <w:sz w:val="16"/>
                <w:szCs w:val="16"/>
                <w:color w:val="262626"/>
              </w:rPr>
              <w:t>BlackRock, Inc.</w:t>
            </w:r>
            <w:r>
              <w:rPr>
                <w:rFonts w:ascii="Arial" w:cs="Arial" w:eastAsia="Arial" w:hAnsi="Arial"/>
                <w:sz w:val="24"/>
                <w:szCs w:val="24"/>
                <w:color w:val="262626"/>
                <w:vertAlign w:val="superscript"/>
              </w:rPr>
              <w:t>(3)</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347,023,720</w:t>
            </w:r>
          </w:p>
        </w:tc>
        <w:tc>
          <w:tcPr>
            <w:tcW w:w="1340" w:type="dxa"/>
            <w:vAlign w:val="bottom"/>
          </w:tcPr>
          <w:p>
            <w:pPr>
              <w:jc w:val="center"/>
              <w:ind w:left="339"/>
              <w:spacing w:after="0"/>
              <w:rPr>
                <w:sz w:val="20"/>
                <w:szCs w:val="20"/>
                <w:color w:val="auto"/>
              </w:rPr>
            </w:pPr>
            <w:r>
              <w:rPr>
                <w:rFonts w:ascii="Arial" w:cs="Arial" w:eastAsia="Arial" w:hAnsi="Arial"/>
                <w:sz w:val="16"/>
                <w:szCs w:val="16"/>
                <w:color w:val="262626"/>
                <w:w w:val="98"/>
              </w:rPr>
              <w:t>7.3%</w:t>
            </w:r>
          </w:p>
        </w:tc>
        <w:tc>
          <w:tcPr>
            <w:tcW w:w="0" w:type="dxa"/>
            <w:vAlign w:val="bottom"/>
          </w:tcPr>
          <w:p>
            <w:pPr>
              <w:spacing w:after="0"/>
              <w:rPr>
                <w:sz w:val="1"/>
                <w:szCs w:val="1"/>
                <w:color w:val="auto"/>
              </w:rPr>
            </w:pPr>
          </w:p>
        </w:tc>
      </w:tr>
      <w:tr>
        <w:trPr>
          <w:trHeight w:val="214"/>
        </w:trPr>
        <w:tc>
          <w:tcPr>
            <w:tcW w:w="5580" w:type="dxa"/>
            <w:vAlign w:val="bottom"/>
          </w:tcPr>
          <w:p>
            <w:pPr>
              <w:ind w:left="240"/>
              <w:spacing w:after="0"/>
              <w:rPr>
                <w:sz w:val="20"/>
                <w:szCs w:val="20"/>
                <w:color w:val="auto"/>
              </w:rPr>
            </w:pPr>
            <w:r>
              <w:rPr>
                <w:rFonts w:ascii="Arial" w:cs="Arial" w:eastAsia="Arial" w:hAnsi="Arial"/>
                <w:sz w:val="16"/>
                <w:szCs w:val="16"/>
                <w:color w:val="262626"/>
              </w:rPr>
              <w:t>50 Hudson Yards</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80" w:type="dxa"/>
            <w:vAlign w:val="bottom"/>
          </w:tcPr>
          <w:p>
            <w:pPr>
              <w:ind w:left="240"/>
              <w:spacing w:after="0"/>
              <w:rPr>
                <w:sz w:val="20"/>
                <w:szCs w:val="20"/>
                <w:color w:val="auto"/>
              </w:rPr>
            </w:pPr>
            <w:r>
              <w:rPr>
                <w:rFonts w:ascii="Arial" w:cs="Arial" w:eastAsia="Arial" w:hAnsi="Arial"/>
                <w:sz w:val="16"/>
                <w:szCs w:val="16"/>
                <w:color w:val="262626"/>
              </w:rPr>
              <w:t>New York, NY 10001</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580" w:type="dxa"/>
            <w:vAlign w:val="bottom"/>
          </w:tcPr>
          <w:p>
            <w:pPr>
              <w:spacing w:after="0"/>
              <w:rPr>
                <w:sz w:val="20"/>
                <w:szCs w:val="20"/>
                <w:color w:val="auto"/>
              </w:rPr>
            </w:pPr>
            <w:r>
              <w:rPr>
                <w:rFonts w:ascii="Arial" w:cs="Arial" w:eastAsia="Arial" w:hAnsi="Arial"/>
                <w:sz w:val="16"/>
                <w:szCs w:val="16"/>
                <w:b w:val="1"/>
                <w:bCs w:val="1"/>
                <w:color w:val="262626"/>
              </w:rPr>
              <w:t>Directors and Named Executive Officers</w:t>
            </w:r>
            <w:r>
              <w:rPr>
                <w:rFonts w:ascii="Arial" w:cs="Arial" w:eastAsia="Arial" w:hAnsi="Arial"/>
                <w:sz w:val="16"/>
                <w:szCs w:val="16"/>
                <w:color w:val="262626"/>
              </w:rPr>
              <w:t>:</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580" w:type="dxa"/>
            <w:vAlign w:val="bottom"/>
          </w:tcPr>
          <w:p>
            <w:pPr>
              <w:spacing w:after="0"/>
              <w:rPr>
                <w:sz w:val="20"/>
                <w:szCs w:val="20"/>
                <w:color w:val="auto"/>
              </w:rPr>
            </w:pPr>
            <w:r>
              <w:rPr>
                <w:rFonts w:ascii="Arial" w:cs="Arial" w:eastAsia="Arial" w:hAnsi="Arial"/>
                <w:sz w:val="16"/>
                <w:szCs w:val="16"/>
                <w:color w:val="262626"/>
              </w:rPr>
              <w:t>Diane M. Bryant</w:t>
            </w:r>
            <w:r>
              <w:rPr>
                <w:rFonts w:ascii="Arial" w:cs="Arial" w:eastAsia="Arial" w:hAnsi="Arial"/>
                <w:sz w:val="24"/>
                <w:szCs w:val="24"/>
                <w:color w:val="262626"/>
                <w:vertAlign w:val="superscript"/>
              </w:rPr>
              <w:t>(4)</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8,382</w:t>
            </w:r>
          </w:p>
        </w:tc>
        <w:tc>
          <w:tcPr>
            <w:tcW w:w="1340" w:type="dxa"/>
            <w:vAlign w:val="bottom"/>
          </w:tcPr>
          <w:p>
            <w:pPr>
              <w:jc w:val="center"/>
              <w:ind w:left="319"/>
              <w:spacing w:after="0"/>
              <w:rPr>
                <w:sz w:val="20"/>
                <w:szCs w:val="20"/>
                <w:color w:val="auto"/>
              </w:rPr>
            </w:pPr>
            <w:r>
              <w:rPr>
                <w:rFonts w:ascii="Arial" w:cs="Arial" w:eastAsia="Arial" w:hAnsi="Arial"/>
                <w:sz w:val="16"/>
                <w:szCs w:val="16"/>
                <w:color w:val="262626"/>
                <w:w w:val="95"/>
              </w:rPr>
              <w:t>*</w:t>
            </w:r>
          </w:p>
        </w:tc>
        <w:tc>
          <w:tcPr>
            <w:tcW w:w="0" w:type="dxa"/>
            <w:vAlign w:val="bottom"/>
          </w:tcPr>
          <w:p>
            <w:pPr>
              <w:spacing w:after="0"/>
              <w:rPr>
                <w:sz w:val="1"/>
                <w:szCs w:val="1"/>
                <w:color w:val="auto"/>
              </w:rPr>
            </w:pPr>
          </w:p>
        </w:tc>
      </w:tr>
      <w:tr>
        <w:trPr>
          <w:trHeight w:val="322"/>
        </w:trPr>
        <w:tc>
          <w:tcPr>
            <w:tcW w:w="5580" w:type="dxa"/>
            <w:vAlign w:val="bottom"/>
          </w:tcPr>
          <w:p>
            <w:pPr>
              <w:spacing w:after="0"/>
              <w:rPr>
                <w:sz w:val="20"/>
                <w:szCs w:val="20"/>
                <w:color w:val="auto"/>
              </w:rPr>
            </w:pPr>
            <w:r>
              <w:rPr>
                <w:rFonts w:ascii="Arial" w:cs="Arial" w:eastAsia="Arial" w:hAnsi="Arial"/>
                <w:sz w:val="16"/>
                <w:szCs w:val="16"/>
                <w:color w:val="262626"/>
              </w:rPr>
              <w:t>Gayla J. Delly</w:t>
            </w:r>
            <w:r>
              <w:rPr>
                <w:rFonts w:ascii="Arial" w:cs="Arial" w:eastAsia="Arial" w:hAnsi="Arial"/>
                <w:sz w:val="24"/>
                <w:szCs w:val="24"/>
                <w:color w:val="262626"/>
                <w:vertAlign w:val="superscript"/>
              </w:rPr>
              <w:t>(5)</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33,352</w:t>
            </w:r>
          </w:p>
        </w:tc>
        <w:tc>
          <w:tcPr>
            <w:tcW w:w="1340" w:type="dxa"/>
            <w:vAlign w:val="bottom"/>
          </w:tcPr>
          <w:p>
            <w:pPr>
              <w:jc w:val="center"/>
              <w:ind w:left="319"/>
              <w:spacing w:after="0"/>
              <w:rPr>
                <w:sz w:val="20"/>
                <w:szCs w:val="20"/>
                <w:color w:val="auto"/>
              </w:rPr>
            </w:pPr>
            <w:r>
              <w:rPr>
                <w:rFonts w:ascii="Arial" w:cs="Arial" w:eastAsia="Arial" w:hAnsi="Arial"/>
                <w:sz w:val="16"/>
                <w:szCs w:val="16"/>
                <w:color w:val="262626"/>
                <w:w w:val="95"/>
              </w:rPr>
              <w:t>*</w:t>
            </w:r>
          </w:p>
        </w:tc>
        <w:tc>
          <w:tcPr>
            <w:tcW w:w="0" w:type="dxa"/>
            <w:vAlign w:val="bottom"/>
          </w:tcPr>
          <w:p>
            <w:pPr>
              <w:spacing w:after="0"/>
              <w:rPr>
                <w:sz w:val="1"/>
                <w:szCs w:val="1"/>
                <w:color w:val="auto"/>
              </w:rPr>
            </w:pPr>
          </w:p>
        </w:tc>
      </w:tr>
      <w:tr>
        <w:trPr>
          <w:trHeight w:val="322"/>
        </w:trPr>
        <w:tc>
          <w:tcPr>
            <w:tcW w:w="5580" w:type="dxa"/>
            <w:vAlign w:val="bottom"/>
          </w:tcPr>
          <w:p>
            <w:pPr>
              <w:spacing w:after="0"/>
              <w:rPr>
                <w:sz w:val="20"/>
                <w:szCs w:val="20"/>
                <w:color w:val="auto"/>
              </w:rPr>
            </w:pPr>
            <w:r>
              <w:rPr>
                <w:rFonts w:ascii="Arial" w:cs="Arial" w:eastAsia="Arial" w:hAnsi="Arial"/>
                <w:sz w:val="16"/>
                <w:szCs w:val="16"/>
                <w:color w:val="262626"/>
              </w:rPr>
              <w:t>Kenneth Y. Hao</w:t>
            </w:r>
            <w:r>
              <w:rPr>
                <w:rFonts w:ascii="Arial" w:cs="Arial" w:eastAsia="Arial" w:hAnsi="Arial"/>
                <w:sz w:val="24"/>
                <w:szCs w:val="24"/>
                <w:color w:val="262626"/>
                <w:vertAlign w:val="superscript"/>
              </w:rPr>
              <w:t>(6)</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1,628,042</w:t>
            </w:r>
          </w:p>
        </w:tc>
        <w:tc>
          <w:tcPr>
            <w:tcW w:w="1340" w:type="dxa"/>
            <w:vAlign w:val="bottom"/>
          </w:tcPr>
          <w:p>
            <w:pPr>
              <w:jc w:val="center"/>
              <w:ind w:left="319"/>
              <w:spacing w:after="0"/>
              <w:rPr>
                <w:sz w:val="20"/>
                <w:szCs w:val="20"/>
                <w:color w:val="auto"/>
              </w:rPr>
            </w:pPr>
            <w:r>
              <w:rPr>
                <w:rFonts w:ascii="Arial" w:cs="Arial" w:eastAsia="Arial" w:hAnsi="Arial"/>
                <w:sz w:val="16"/>
                <w:szCs w:val="16"/>
                <w:color w:val="262626"/>
                <w:w w:val="95"/>
              </w:rPr>
              <w:t>*</w:t>
            </w:r>
          </w:p>
        </w:tc>
        <w:tc>
          <w:tcPr>
            <w:tcW w:w="0" w:type="dxa"/>
            <w:vAlign w:val="bottom"/>
          </w:tcPr>
          <w:p>
            <w:pPr>
              <w:spacing w:after="0"/>
              <w:rPr>
                <w:sz w:val="1"/>
                <w:szCs w:val="1"/>
                <w:color w:val="auto"/>
              </w:rPr>
            </w:pPr>
          </w:p>
        </w:tc>
      </w:tr>
      <w:tr>
        <w:trPr>
          <w:trHeight w:val="322"/>
        </w:trPr>
        <w:tc>
          <w:tcPr>
            <w:tcW w:w="5580" w:type="dxa"/>
            <w:vAlign w:val="bottom"/>
          </w:tcPr>
          <w:p>
            <w:pPr>
              <w:spacing w:after="0"/>
              <w:rPr>
                <w:sz w:val="20"/>
                <w:szCs w:val="20"/>
                <w:color w:val="auto"/>
              </w:rPr>
            </w:pPr>
            <w:r>
              <w:rPr>
                <w:rFonts w:ascii="Arial" w:cs="Arial" w:eastAsia="Arial" w:hAnsi="Arial"/>
                <w:sz w:val="16"/>
                <w:szCs w:val="16"/>
                <w:color w:val="262626"/>
              </w:rPr>
              <w:t>Eddy W. Hartenstein</w:t>
            </w:r>
            <w:r>
              <w:rPr>
                <w:rFonts w:ascii="Arial" w:cs="Arial" w:eastAsia="Arial" w:hAnsi="Arial"/>
                <w:sz w:val="24"/>
                <w:szCs w:val="24"/>
                <w:color w:val="262626"/>
                <w:vertAlign w:val="superscript"/>
              </w:rPr>
              <w:t>(7)</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49,892</w:t>
            </w:r>
          </w:p>
        </w:tc>
        <w:tc>
          <w:tcPr>
            <w:tcW w:w="1340" w:type="dxa"/>
            <w:vAlign w:val="bottom"/>
          </w:tcPr>
          <w:p>
            <w:pPr>
              <w:jc w:val="center"/>
              <w:ind w:left="319"/>
              <w:spacing w:after="0"/>
              <w:rPr>
                <w:sz w:val="20"/>
                <w:szCs w:val="20"/>
                <w:color w:val="auto"/>
              </w:rPr>
            </w:pPr>
            <w:r>
              <w:rPr>
                <w:rFonts w:ascii="Arial" w:cs="Arial" w:eastAsia="Arial" w:hAnsi="Arial"/>
                <w:sz w:val="16"/>
                <w:szCs w:val="16"/>
                <w:color w:val="262626"/>
                <w:w w:val="95"/>
              </w:rPr>
              <w:t>*</w:t>
            </w:r>
          </w:p>
        </w:tc>
        <w:tc>
          <w:tcPr>
            <w:tcW w:w="0" w:type="dxa"/>
            <w:vAlign w:val="bottom"/>
          </w:tcPr>
          <w:p>
            <w:pPr>
              <w:spacing w:after="0"/>
              <w:rPr>
                <w:sz w:val="1"/>
                <w:szCs w:val="1"/>
                <w:color w:val="auto"/>
              </w:rPr>
            </w:pPr>
          </w:p>
        </w:tc>
      </w:tr>
      <w:tr>
        <w:trPr>
          <w:trHeight w:val="322"/>
        </w:trPr>
        <w:tc>
          <w:tcPr>
            <w:tcW w:w="5580" w:type="dxa"/>
            <w:vAlign w:val="bottom"/>
          </w:tcPr>
          <w:p>
            <w:pPr>
              <w:spacing w:after="0"/>
              <w:rPr>
                <w:sz w:val="20"/>
                <w:szCs w:val="20"/>
                <w:color w:val="auto"/>
              </w:rPr>
            </w:pPr>
            <w:r>
              <w:rPr>
                <w:rFonts w:ascii="Arial" w:cs="Arial" w:eastAsia="Arial" w:hAnsi="Arial"/>
                <w:sz w:val="16"/>
                <w:szCs w:val="16"/>
                <w:color w:val="262626"/>
              </w:rPr>
              <w:t>Check Kian Low</w:t>
            </w:r>
            <w:r>
              <w:rPr>
                <w:rFonts w:ascii="Arial" w:cs="Arial" w:eastAsia="Arial" w:hAnsi="Arial"/>
                <w:sz w:val="24"/>
                <w:szCs w:val="24"/>
                <w:color w:val="262626"/>
                <w:vertAlign w:val="superscript"/>
              </w:rPr>
              <w:t>(8)</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114,500</w:t>
            </w:r>
          </w:p>
        </w:tc>
        <w:tc>
          <w:tcPr>
            <w:tcW w:w="1340" w:type="dxa"/>
            <w:vAlign w:val="bottom"/>
          </w:tcPr>
          <w:p>
            <w:pPr>
              <w:jc w:val="center"/>
              <w:ind w:left="319"/>
              <w:spacing w:after="0"/>
              <w:rPr>
                <w:sz w:val="20"/>
                <w:szCs w:val="20"/>
                <w:color w:val="auto"/>
              </w:rPr>
            </w:pPr>
            <w:r>
              <w:rPr>
                <w:rFonts w:ascii="Arial" w:cs="Arial" w:eastAsia="Arial" w:hAnsi="Arial"/>
                <w:sz w:val="16"/>
                <w:szCs w:val="16"/>
                <w:color w:val="262626"/>
                <w:w w:val="95"/>
              </w:rPr>
              <w:t>*</w:t>
            </w:r>
          </w:p>
        </w:tc>
        <w:tc>
          <w:tcPr>
            <w:tcW w:w="0" w:type="dxa"/>
            <w:vAlign w:val="bottom"/>
          </w:tcPr>
          <w:p>
            <w:pPr>
              <w:spacing w:after="0"/>
              <w:rPr>
                <w:sz w:val="1"/>
                <w:szCs w:val="1"/>
                <w:color w:val="auto"/>
              </w:rPr>
            </w:pPr>
          </w:p>
        </w:tc>
      </w:tr>
      <w:tr>
        <w:trPr>
          <w:trHeight w:val="322"/>
        </w:trPr>
        <w:tc>
          <w:tcPr>
            <w:tcW w:w="5580" w:type="dxa"/>
            <w:vAlign w:val="bottom"/>
          </w:tcPr>
          <w:p>
            <w:pPr>
              <w:spacing w:after="0"/>
              <w:rPr>
                <w:sz w:val="20"/>
                <w:szCs w:val="20"/>
                <w:color w:val="auto"/>
              </w:rPr>
            </w:pPr>
            <w:r>
              <w:rPr>
                <w:rFonts w:ascii="Arial" w:cs="Arial" w:eastAsia="Arial" w:hAnsi="Arial"/>
                <w:sz w:val="16"/>
                <w:szCs w:val="16"/>
                <w:color w:val="262626"/>
              </w:rPr>
              <w:t>Justine F. Page</w:t>
            </w:r>
            <w:r>
              <w:rPr>
                <w:rFonts w:ascii="Arial" w:cs="Arial" w:eastAsia="Arial" w:hAnsi="Arial"/>
                <w:sz w:val="24"/>
                <w:szCs w:val="24"/>
                <w:color w:val="262626"/>
                <w:vertAlign w:val="superscript"/>
              </w:rPr>
              <w:t>(9)</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20,182</w:t>
            </w:r>
          </w:p>
        </w:tc>
        <w:tc>
          <w:tcPr>
            <w:tcW w:w="1340" w:type="dxa"/>
            <w:vAlign w:val="bottom"/>
          </w:tcPr>
          <w:p>
            <w:pPr>
              <w:jc w:val="center"/>
              <w:ind w:left="319"/>
              <w:spacing w:after="0"/>
              <w:rPr>
                <w:sz w:val="20"/>
                <w:szCs w:val="20"/>
                <w:color w:val="auto"/>
              </w:rPr>
            </w:pPr>
            <w:r>
              <w:rPr>
                <w:rFonts w:ascii="Arial" w:cs="Arial" w:eastAsia="Arial" w:hAnsi="Arial"/>
                <w:sz w:val="16"/>
                <w:szCs w:val="16"/>
                <w:color w:val="262626"/>
                <w:w w:val="95"/>
              </w:rPr>
              <w:t>*</w:t>
            </w:r>
          </w:p>
        </w:tc>
        <w:tc>
          <w:tcPr>
            <w:tcW w:w="0" w:type="dxa"/>
            <w:vAlign w:val="bottom"/>
          </w:tcPr>
          <w:p>
            <w:pPr>
              <w:spacing w:after="0"/>
              <w:rPr>
                <w:sz w:val="1"/>
                <w:szCs w:val="1"/>
                <w:color w:val="auto"/>
              </w:rPr>
            </w:pPr>
          </w:p>
        </w:tc>
      </w:tr>
      <w:tr>
        <w:trPr>
          <w:trHeight w:val="322"/>
        </w:trPr>
        <w:tc>
          <w:tcPr>
            <w:tcW w:w="5580" w:type="dxa"/>
            <w:vAlign w:val="bottom"/>
          </w:tcPr>
          <w:p>
            <w:pPr>
              <w:spacing w:after="0"/>
              <w:rPr>
                <w:sz w:val="20"/>
                <w:szCs w:val="20"/>
                <w:color w:val="auto"/>
              </w:rPr>
            </w:pPr>
            <w:r>
              <w:rPr>
                <w:rFonts w:ascii="Arial" w:cs="Arial" w:eastAsia="Arial" w:hAnsi="Arial"/>
                <w:sz w:val="16"/>
                <w:szCs w:val="16"/>
                <w:color w:val="262626"/>
              </w:rPr>
              <w:t>Henry Samueli, Ph.D.</w:t>
            </w:r>
            <w:r>
              <w:rPr>
                <w:rFonts w:ascii="Arial" w:cs="Arial" w:eastAsia="Arial" w:hAnsi="Arial"/>
                <w:sz w:val="24"/>
                <w:szCs w:val="24"/>
                <w:color w:val="262626"/>
                <w:vertAlign w:val="superscript"/>
              </w:rPr>
              <w:t>(10)</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85,559,569</w:t>
            </w:r>
          </w:p>
        </w:tc>
        <w:tc>
          <w:tcPr>
            <w:tcW w:w="1340" w:type="dxa"/>
            <w:vAlign w:val="bottom"/>
          </w:tcPr>
          <w:p>
            <w:pPr>
              <w:jc w:val="center"/>
              <w:ind w:left="339"/>
              <w:spacing w:after="0"/>
              <w:rPr>
                <w:sz w:val="20"/>
                <w:szCs w:val="20"/>
                <w:color w:val="auto"/>
              </w:rPr>
            </w:pPr>
            <w:r>
              <w:rPr>
                <w:rFonts w:ascii="Arial" w:cs="Arial" w:eastAsia="Arial" w:hAnsi="Arial"/>
                <w:sz w:val="16"/>
                <w:szCs w:val="16"/>
                <w:color w:val="262626"/>
                <w:w w:val="98"/>
              </w:rPr>
              <w:t>1.8%</w:t>
            </w:r>
          </w:p>
        </w:tc>
        <w:tc>
          <w:tcPr>
            <w:tcW w:w="0" w:type="dxa"/>
            <w:vAlign w:val="bottom"/>
          </w:tcPr>
          <w:p>
            <w:pPr>
              <w:spacing w:after="0"/>
              <w:rPr>
                <w:sz w:val="1"/>
                <w:szCs w:val="1"/>
                <w:color w:val="auto"/>
              </w:rPr>
            </w:pPr>
          </w:p>
        </w:tc>
      </w:tr>
      <w:tr>
        <w:trPr>
          <w:trHeight w:val="322"/>
        </w:trPr>
        <w:tc>
          <w:tcPr>
            <w:tcW w:w="5580" w:type="dxa"/>
            <w:vAlign w:val="bottom"/>
          </w:tcPr>
          <w:p>
            <w:pPr>
              <w:spacing w:after="0"/>
              <w:rPr>
                <w:sz w:val="20"/>
                <w:szCs w:val="20"/>
                <w:color w:val="auto"/>
              </w:rPr>
            </w:pPr>
            <w:r>
              <w:rPr>
                <w:rFonts w:ascii="Arial" w:cs="Arial" w:eastAsia="Arial" w:hAnsi="Arial"/>
                <w:sz w:val="16"/>
                <w:szCs w:val="16"/>
                <w:color w:val="262626"/>
              </w:rPr>
              <w:t>Hock E. Tan</w:t>
            </w:r>
            <w:r>
              <w:rPr>
                <w:rFonts w:ascii="Arial" w:cs="Arial" w:eastAsia="Arial" w:hAnsi="Arial"/>
                <w:sz w:val="24"/>
                <w:szCs w:val="24"/>
                <w:color w:val="262626"/>
                <w:vertAlign w:val="superscript"/>
              </w:rPr>
              <w:t>(11)</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908,474</w:t>
            </w:r>
          </w:p>
        </w:tc>
        <w:tc>
          <w:tcPr>
            <w:tcW w:w="1340" w:type="dxa"/>
            <w:vAlign w:val="bottom"/>
          </w:tcPr>
          <w:p>
            <w:pPr>
              <w:jc w:val="center"/>
              <w:ind w:left="319"/>
              <w:spacing w:after="0"/>
              <w:rPr>
                <w:sz w:val="20"/>
                <w:szCs w:val="20"/>
                <w:color w:val="auto"/>
              </w:rPr>
            </w:pPr>
            <w:r>
              <w:rPr>
                <w:rFonts w:ascii="Arial" w:cs="Arial" w:eastAsia="Arial" w:hAnsi="Arial"/>
                <w:sz w:val="16"/>
                <w:szCs w:val="16"/>
                <w:color w:val="262626"/>
                <w:w w:val="95"/>
              </w:rPr>
              <w:t>*</w:t>
            </w:r>
          </w:p>
        </w:tc>
        <w:tc>
          <w:tcPr>
            <w:tcW w:w="0" w:type="dxa"/>
            <w:vAlign w:val="bottom"/>
          </w:tcPr>
          <w:p>
            <w:pPr>
              <w:spacing w:after="0"/>
              <w:rPr>
                <w:sz w:val="1"/>
                <w:szCs w:val="1"/>
                <w:color w:val="auto"/>
              </w:rPr>
            </w:pPr>
          </w:p>
        </w:tc>
      </w:tr>
      <w:tr>
        <w:trPr>
          <w:trHeight w:val="322"/>
        </w:trPr>
        <w:tc>
          <w:tcPr>
            <w:tcW w:w="5580" w:type="dxa"/>
            <w:vAlign w:val="bottom"/>
          </w:tcPr>
          <w:p>
            <w:pPr>
              <w:spacing w:after="0"/>
              <w:rPr>
                <w:sz w:val="20"/>
                <w:szCs w:val="20"/>
                <w:color w:val="auto"/>
              </w:rPr>
            </w:pPr>
            <w:r>
              <w:rPr>
                <w:rFonts w:ascii="Arial" w:cs="Arial" w:eastAsia="Arial" w:hAnsi="Arial"/>
                <w:sz w:val="16"/>
                <w:szCs w:val="16"/>
                <w:color w:val="262626"/>
              </w:rPr>
              <w:t>Harry L. You</w:t>
            </w:r>
            <w:r>
              <w:rPr>
                <w:rFonts w:ascii="Arial" w:cs="Arial" w:eastAsia="Arial" w:hAnsi="Arial"/>
                <w:sz w:val="24"/>
                <w:szCs w:val="24"/>
                <w:color w:val="262626"/>
                <w:vertAlign w:val="superscript"/>
              </w:rPr>
              <w:t>(12)</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36,602</w:t>
            </w:r>
          </w:p>
        </w:tc>
        <w:tc>
          <w:tcPr>
            <w:tcW w:w="1340" w:type="dxa"/>
            <w:vAlign w:val="bottom"/>
          </w:tcPr>
          <w:p>
            <w:pPr>
              <w:jc w:val="center"/>
              <w:ind w:left="319"/>
              <w:spacing w:after="0"/>
              <w:rPr>
                <w:sz w:val="20"/>
                <w:szCs w:val="20"/>
                <w:color w:val="auto"/>
              </w:rPr>
            </w:pPr>
            <w:r>
              <w:rPr>
                <w:rFonts w:ascii="Arial" w:cs="Arial" w:eastAsia="Arial" w:hAnsi="Arial"/>
                <w:sz w:val="16"/>
                <w:szCs w:val="16"/>
                <w:color w:val="262626"/>
                <w:w w:val="95"/>
              </w:rPr>
              <w:t>*</w:t>
            </w:r>
          </w:p>
        </w:tc>
        <w:tc>
          <w:tcPr>
            <w:tcW w:w="0" w:type="dxa"/>
            <w:vAlign w:val="bottom"/>
          </w:tcPr>
          <w:p>
            <w:pPr>
              <w:spacing w:after="0"/>
              <w:rPr>
                <w:sz w:val="1"/>
                <w:szCs w:val="1"/>
                <w:color w:val="auto"/>
              </w:rPr>
            </w:pPr>
          </w:p>
        </w:tc>
      </w:tr>
      <w:tr>
        <w:trPr>
          <w:trHeight w:val="322"/>
        </w:trPr>
        <w:tc>
          <w:tcPr>
            <w:tcW w:w="5580" w:type="dxa"/>
            <w:vAlign w:val="bottom"/>
          </w:tcPr>
          <w:p>
            <w:pPr>
              <w:spacing w:after="0"/>
              <w:rPr>
                <w:sz w:val="20"/>
                <w:szCs w:val="20"/>
                <w:color w:val="auto"/>
              </w:rPr>
            </w:pPr>
            <w:r>
              <w:rPr>
                <w:rFonts w:ascii="Arial" w:cs="Arial" w:eastAsia="Arial" w:hAnsi="Arial"/>
                <w:sz w:val="16"/>
                <w:szCs w:val="16"/>
                <w:color w:val="262626"/>
              </w:rPr>
              <w:t>Mark D. Brazeal</w:t>
            </w:r>
            <w:r>
              <w:rPr>
                <w:rFonts w:ascii="Arial" w:cs="Arial" w:eastAsia="Arial" w:hAnsi="Arial"/>
                <w:sz w:val="24"/>
                <w:szCs w:val="24"/>
                <w:color w:val="262626"/>
                <w:vertAlign w:val="superscript"/>
              </w:rPr>
              <w:t>(13</w:t>
            </w:r>
            <w:r>
              <w:rPr>
                <w:rFonts w:ascii="Arial" w:cs="Arial" w:eastAsia="Arial" w:hAnsi="Arial"/>
                <w:sz w:val="24"/>
                <w:szCs w:val="24"/>
                <w:b w:val="1"/>
                <w:bCs w:val="1"/>
                <w:color w:val="262626"/>
                <w:vertAlign w:val="superscript"/>
              </w:rPr>
              <w:t>)</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70,573</w:t>
            </w:r>
          </w:p>
        </w:tc>
        <w:tc>
          <w:tcPr>
            <w:tcW w:w="1340" w:type="dxa"/>
            <w:vAlign w:val="bottom"/>
          </w:tcPr>
          <w:p>
            <w:pPr>
              <w:jc w:val="center"/>
              <w:ind w:left="319"/>
              <w:spacing w:after="0"/>
              <w:rPr>
                <w:sz w:val="20"/>
                <w:szCs w:val="20"/>
                <w:color w:val="auto"/>
              </w:rPr>
            </w:pPr>
            <w:r>
              <w:rPr>
                <w:rFonts w:ascii="Arial" w:cs="Arial" w:eastAsia="Arial" w:hAnsi="Arial"/>
                <w:sz w:val="16"/>
                <w:szCs w:val="16"/>
                <w:color w:val="262626"/>
                <w:w w:val="95"/>
              </w:rPr>
              <w:t>*</w:t>
            </w:r>
          </w:p>
        </w:tc>
        <w:tc>
          <w:tcPr>
            <w:tcW w:w="0" w:type="dxa"/>
            <w:vAlign w:val="bottom"/>
          </w:tcPr>
          <w:p>
            <w:pPr>
              <w:spacing w:after="0"/>
              <w:rPr>
                <w:sz w:val="1"/>
                <w:szCs w:val="1"/>
                <w:color w:val="auto"/>
              </w:rPr>
            </w:pPr>
          </w:p>
        </w:tc>
      </w:tr>
      <w:tr>
        <w:trPr>
          <w:trHeight w:val="322"/>
        </w:trPr>
        <w:tc>
          <w:tcPr>
            <w:tcW w:w="5580" w:type="dxa"/>
            <w:vAlign w:val="bottom"/>
          </w:tcPr>
          <w:p>
            <w:pPr>
              <w:spacing w:after="0"/>
              <w:rPr>
                <w:sz w:val="20"/>
                <w:szCs w:val="20"/>
                <w:color w:val="auto"/>
              </w:rPr>
            </w:pPr>
            <w:r>
              <w:rPr>
                <w:rFonts w:ascii="Arial" w:cs="Arial" w:eastAsia="Arial" w:hAnsi="Arial"/>
                <w:sz w:val="16"/>
                <w:szCs w:val="16"/>
                <w:color w:val="262626"/>
              </w:rPr>
              <w:t>Charlie B. Kawwas, Ph.D.</w:t>
            </w:r>
            <w:r>
              <w:rPr>
                <w:rFonts w:ascii="Arial" w:cs="Arial" w:eastAsia="Arial" w:hAnsi="Arial"/>
                <w:sz w:val="24"/>
                <w:szCs w:val="24"/>
                <w:color w:val="262626"/>
                <w:vertAlign w:val="superscript"/>
              </w:rPr>
              <w:t>(14)</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814,716</w:t>
            </w:r>
          </w:p>
        </w:tc>
        <w:tc>
          <w:tcPr>
            <w:tcW w:w="1340" w:type="dxa"/>
            <w:vAlign w:val="bottom"/>
          </w:tcPr>
          <w:p>
            <w:pPr>
              <w:jc w:val="center"/>
              <w:ind w:left="319"/>
              <w:spacing w:after="0"/>
              <w:rPr>
                <w:sz w:val="20"/>
                <w:szCs w:val="20"/>
                <w:color w:val="auto"/>
              </w:rPr>
            </w:pPr>
            <w:r>
              <w:rPr>
                <w:rFonts w:ascii="Arial" w:cs="Arial" w:eastAsia="Arial" w:hAnsi="Arial"/>
                <w:sz w:val="16"/>
                <w:szCs w:val="16"/>
                <w:color w:val="262626"/>
                <w:w w:val="95"/>
              </w:rPr>
              <w:t>*</w:t>
            </w:r>
          </w:p>
        </w:tc>
        <w:tc>
          <w:tcPr>
            <w:tcW w:w="0" w:type="dxa"/>
            <w:vAlign w:val="bottom"/>
          </w:tcPr>
          <w:p>
            <w:pPr>
              <w:spacing w:after="0"/>
              <w:rPr>
                <w:sz w:val="1"/>
                <w:szCs w:val="1"/>
                <w:color w:val="auto"/>
              </w:rPr>
            </w:pPr>
          </w:p>
        </w:tc>
      </w:tr>
      <w:tr>
        <w:trPr>
          <w:trHeight w:val="322"/>
        </w:trPr>
        <w:tc>
          <w:tcPr>
            <w:tcW w:w="5580" w:type="dxa"/>
            <w:vAlign w:val="bottom"/>
          </w:tcPr>
          <w:p>
            <w:pPr>
              <w:spacing w:after="0"/>
              <w:rPr>
                <w:sz w:val="20"/>
                <w:szCs w:val="20"/>
                <w:color w:val="auto"/>
              </w:rPr>
            </w:pPr>
            <w:r>
              <w:rPr>
                <w:rFonts w:ascii="Arial" w:cs="Arial" w:eastAsia="Arial" w:hAnsi="Arial"/>
                <w:sz w:val="16"/>
                <w:szCs w:val="16"/>
                <w:color w:val="262626"/>
              </w:rPr>
              <w:t>Kirsten M. Spears</w:t>
            </w:r>
            <w:r>
              <w:rPr>
                <w:rFonts w:ascii="Arial" w:cs="Arial" w:eastAsia="Arial" w:hAnsi="Arial"/>
                <w:sz w:val="24"/>
                <w:szCs w:val="24"/>
                <w:color w:val="262626"/>
                <w:vertAlign w:val="superscript"/>
              </w:rPr>
              <w:t>(15)</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187,237</w:t>
            </w:r>
          </w:p>
        </w:tc>
        <w:tc>
          <w:tcPr>
            <w:tcW w:w="1340" w:type="dxa"/>
            <w:vAlign w:val="bottom"/>
          </w:tcPr>
          <w:p>
            <w:pPr>
              <w:jc w:val="center"/>
              <w:ind w:left="319"/>
              <w:spacing w:after="0"/>
              <w:rPr>
                <w:sz w:val="20"/>
                <w:szCs w:val="20"/>
                <w:color w:val="auto"/>
              </w:rPr>
            </w:pPr>
            <w:r>
              <w:rPr>
                <w:rFonts w:ascii="Arial" w:cs="Arial" w:eastAsia="Arial" w:hAnsi="Arial"/>
                <w:sz w:val="16"/>
                <w:szCs w:val="16"/>
                <w:color w:val="262626"/>
                <w:w w:val="95"/>
              </w:rPr>
              <w:t>*</w:t>
            </w:r>
          </w:p>
        </w:tc>
        <w:tc>
          <w:tcPr>
            <w:tcW w:w="0" w:type="dxa"/>
            <w:vAlign w:val="bottom"/>
          </w:tcPr>
          <w:p>
            <w:pPr>
              <w:spacing w:after="0"/>
              <w:rPr>
                <w:sz w:val="1"/>
                <w:szCs w:val="1"/>
                <w:color w:val="auto"/>
              </w:rPr>
            </w:pPr>
          </w:p>
        </w:tc>
      </w:tr>
      <w:tr>
        <w:trPr>
          <w:trHeight w:val="323"/>
        </w:trPr>
        <w:tc>
          <w:tcPr>
            <w:tcW w:w="5580" w:type="dxa"/>
            <w:vAlign w:val="bottom"/>
          </w:tcPr>
          <w:p>
            <w:pPr>
              <w:spacing w:after="0"/>
              <w:rPr>
                <w:sz w:val="20"/>
                <w:szCs w:val="20"/>
                <w:color w:val="auto"/>
              </w:rPr>
            </w:pPr>
            <w:r>
              <w:rPr>
                <w:rFonts w:ascii="Arial" w:cs="Arial" w:eastAsia="Arial" w:hAnsi="Arial"/>
                <w:sz w:val="16"/>
                <w:szCs w:val="16"/>
                <w:color w:val="262626"/>
              </w:rPr>
              <w:t>All 13 current directors and executive officers as a group</w:t>
            </w:r>
            <w:r>
              <w:rPr>
                <w:rFonts w:ascii="Arial" w:cs="Arial" w:eastAsia="Arial" w:hAnsi="Arial"/>
                <w:sz w:val="24"/>
                <w:szCs w:val="24"/>
                <w:color w:val="262626"/>
                <w:vertAlign w:val="superscript"/>
              </w:rPr>
              <w:t>(16)</w:t>
            </w:r>
          </w:p>
        </w:tc>
        <w:tc>
          <w:tcPr>
            <w:tcW w:w="1780" w:type="dxa"/>
            <w:vAlign w:val="bottom"/>
          </w:tcPr>
          <w:p>
            <w:pPr>
              <w:jc w:val="right"/>
              <w:ind w:right="59"/>
              <w:spacing w:after="0"/>
              <w:rPr>
                <w:sz w:val="20"/>
                <w:szCs w:val="20"/>
                <w:color w:val="auto"/>
              </w:rPr>
            </w:pPr>
            <w:r>
              <w:rPr>
                <w:rFonts w:ascii="Arial" w:cs="Arial" w:eastAsia="Arial" w:hAnsi="Arial"/>
                <w:sz w:val="16"/>
                <w:szCs w:val="16"/>
                <w:color w:val="262626"/>
              </w:rPr>
              <w:t>89,467,014</w:t>
            </w:r>
          </w:p>
        </w:tc>
        <w:tc>
          <w:tcPr>
            <w:tcW w:w="1340" w:type="dxa"/>
            <w:vAlign w:val="bottom"/>
          </w:tcPr>
          <w:p>
            <w:pPr>
              <w:jc w:val="center"/>
              <w:ind w:left="339"/>
              <w:spacing w:after="0"/>
              <w:rPr>
                <w:sz w:val="20"/>
                <w:szCs w:val="20"/>
                <w:color w:val="auto"/>
              </w:rPr>
            </w:pPr>
            <w:r>
              <w:rPr>
                <w:rFonts w:ascii="Arial" w:cs="Arial" w:eastAsia="Arial" w:hAnsi="Arial"/>
                <w:sz w:val="16"/>
                <w:szCs w:val="16"/>
                <w:color w:val="262626"/>
                <w:w w:val="98"/>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8255</wp:posOffset>
            </wp:positionV>
            <wp:extent cx="4343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37" w:lineRule="exact"/>
        <w:rPr>
          <w:sz w:val="20"/>
          <w:szCs w:val="20"/>
          <w:color w:val="auto"/>
        </w:rPr>
      </w:pPr>
    </w:p>
    <w:p>
      <w:pPr>
        <w:ind w:left="1620" w:hanging="344"/>
        <w:spacing w:after="0"/>
        <w:tabs>
          <w:tab w:leader="none" w:pos="1620" w:val="left"/>
        </w:tabs>
        <w:numPr>
          <w:ilvl w:val="0"/>
          <w:numId w:val="49"/>
        </w:numPr>
        <w:rPr>
          <w:rFonts w:ascii="Arial" w:cs="Arial" w:eastAsia="Arial" w:hAnsi="Arial"/>
          <w:sz w:val="14"/>
          <w:szCs w:val="14"/>
          <w:color w:val="262626"/>
        </w:rPr>
      </w:pPr>
      <w:r>
        <w:rPr>
          <w:rFonts w:ascii="Arial" w:cs="Arial" w:eastAsia="Arial" w:hAnsi="Arial"/>
          <w:sz w:val="14"/>
          <w:szCs w:val="14"/>
          <w:color w:val="262626"/>
        </w:rPr>
        <w:t>Represents beneficial ownership of less than 1%.</w:t>
      </w:r>
    </w:p>
    <w:p>
      <w:pPr>
        <w:sectPr>
          <w:pgSz w:w="11900" w:h="16838" w:orient="portrait"/>
          <w:cols w:equalWidth="0" w:num="1">
            <w:col w:w="10139"/>
          </w:cols>
          <w:pgMar w:left="320" w:top="480" w:right="1440" w:bottom="921" w:gutter="0" w:footer="0" w:header="0"/>
        </w:sectPr>
      </w:pPr>
    </w:p>
    <w:p>
      <w:pPr>
        <w:spacing w:after="0" w:line="140"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921"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6" w:lineRule="exact"/>
        <w:rPr>
          <w:sz w:val="20"/>
          <w:szCs w:val="20"/>
          <w:color w:val="auto"/>
        </w:rPr>
      </w:pPr>
    </w:p>
    <w:p>
      <w:pPr>
        <w:ind w:left="1620" w:right="179" w:hanging="344"/>
        <w:spacing w:after="0" w:line="362" w:lineRule="auto"/>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securities held in the beneficial owner’s name or jointly with others, or in the name of a bank, nominee or trustee for the beneficial owner’s account.</w:t>
      </w:r>
    </w:p>
    <w:p>
      <w:pPr>
        <w:spacing w:after="0" w:line="24" w:lineRule="exact"/>
        <w:rPr>
          <w:rFonts w:ascii="Arial" w:cs="Arial" w:eastAsia="Arial" w:hAnsi="Arial"/>
          <w:sz w:val="14"/>
          <w:szCs w:val="14"/>
          <w:color w:val="262626"/>
        </w:rPr>
      </w:pPr>
    </w:p>
    <w:p>
      <w:pPr>
        <w:jc w:val="both"/>
        <w:ind w:left="1620" w:right="179" w:hanging="344"/>
        <w:spacing w:after="0" w:line="341" w:lineRule="auto"/>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Based on the Schedule 13G/A filed with the SEC by The Vanguard Group on October 4, 2024, The Vanguard Group reported that it has sole dispositive power over 447,685,971 shares, shared dispositive power over 20,858,927 shares and shared voting power over 6,120,947 shares.</w:t>
      </w:r>
    </w:p>
    <w:p>
      <w:pPr>
        <w:spacing w:after="0" w:line="38" w:lineRule="exact"/>
        <w:rPr>
          <w:rFonts w:ascii="Arial" w:cs="Arial" w:eastAsia="Arial" w:hAnsi="Arial"/>
          <w:sz w:val="14"/>
          <w:szCs w:val="14"/>
          <w:color w:val="262626"/>
        </w:rPr>
      </w:pPr>
    </w:p>
    <w:p>
      <w:pPr>
        <w:ind w:left="1620" w:right="159" w:hanging="344"/>
        <w:spacing w:after="0" w:line="362" w:lineRule="auto"/>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Based on the Schedule 13G/A filed with the SEC by BlackRock, Inc. on January 26, 2024, BlackRock, Inc. reported that it has sole dispositive power over these shares and sole voting power over 316,200,770 shares.</w:t>
      </w:r>
    </w:p>
    <w:p>
      <w:pPr>
        <w:spacing w:after="0" w:line="24" w:lineRule="exact"/>
        <w:rPr>
          <w:rFonts w:ascii="Arial" w:cs="Arial" w:eastAsia="Arial" w:hAnsi="Arial"/>
          <w:sz w:val="14"/>
          <w:szCs w:val="14"/>
          <w:color w:val="262626"/>
        </w:rPr>
      </w:pPr>
    </w:p>
    <w:p>
      <w:pPr>
        <w:ind w:left="1620" w:right="159" w:hanging="344"/>
        <w:spacing w:after="0" w:line="362" w:lineRule="auto"/>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320 shares held by The Diane M. Bryant Trust u/a/d 11/08/17 and 1,602 shares that Ms. Bryant has the right to acquire within 60 days after February 24, 2026 upon the vesting of RSU awards.</w:t>
      </w:r>
    </w:p>
    <w:p>
      <w:pPr>
        <w:spacing w:after="0" w:line="24" w:lineRule="exact"/>
        <w:rPr>
          <w:rFonts w:ascii="Arial" w:cs="Arial" w:eastAsia="Arial" w:hAnsi="Arial"/>
          <w:sz w:val="14"/>
          <w:szCs w:val="14"/>
          <w:color w:val="262626"/>
        </w:rPr>
      </w:pPr>
    </w:p>
    <w:p>
      <w:pPr>
        <w:ind w:left="1620" w:right="179" w:hanging="344"/>
        <w:spacing w:after="0" w:line="301" w:lineRule="auto"/>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1,602 shares that Ms. Delly has the right to acquire within 60 days after February 24, 2026 upon the vesting of RSU awards.</w:t>
      </w:r>
    </w:p>
    <w:p>
      <w:pPr>
        <w:spacing w:after="0" w:line="308" w:lineRule="exact"/>
        <w:rPr>
          <w:rFonts w:ascii="Arial" w:cs="Arial" w:eastAsia="Arial" w:hAnsi="Arial"/>
          <w:sz w:val="14"/>
          <w:szCs w:val="14"/>
          <w:color w:val="262626"/>
        </w:rPr>
      </w:pPr>
    </w:p>
    <w:p>
      <w:pPr>
        <w:jc w:val="both"/>
        <w:ind w:left="1620" w:right="179" w:hanging="344"/>
        <w:spacing w:after="0" w:line="341" w:lineRule="auto"/>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1,066,000 shares held by a limited liability company, 504,180 shares held by a charitable family foundation, 53,920 shares held by a family partnership and 1,602 shares that Mr. Hao has the right to acquire within 60 days after February 24, 2026 upon the vesting of RSU awards.</w:t>
      </w:r>
    </w:p>
    <w:p>
      <w:pPr>
        <w:spacing w:after="0" w:line="38" w:lineRule="exact"/>
        <w:rPr>
          <w:rFonts w:ascii="Arial" w:cs="Arial" w:eastAsia="Arial" w:hAnsi="Arial"/>
          <w:sz w:val="14"/>
          <w:szCs w:val="14"/>
          <w:color w:val="262626"/>
        </w:rPr>
      </w:pPr>
    </w:p>
    <w:p>
      <w:pPr>
        <w:jc w:val="both"/>
        <w:ind w:left="1620" w:right="179" w:hanging="344"/>
        <w:spacing w:after="0" w:line="341" w:lineRule="auto"/>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46,400 shares held by The Hartenstein Family Trust and 1,602 shares that Mr. Hartenstein has the right to acquire within 60 days after February 24, 2026 upon the vesting of RSU awards. Mr. Hartenstein is not standing for re-election, but intends to serve on our Board until the Annual Meeting.</w:t>
      </w:r>
    </w:p>
    <w:p>
      <w:pPr>
        <w:spacing w:after="0" w:line="38" w:lineRule="exact"/>
        <w:rPr>
          <w:rFonts w:ascii="Arial" w:cs="Arial" w:eastAsia="Arial" w:hAnsi="Arial"/>
          <w:sz w:val="14"/>
          <w:szCs w:val="14"/>
          <w:color w:val="262626"/>
        </w:rPr>
      </w:pPr>
    </w:p>
    <w:p>
      <w:pPr>
        <w:ind w:left="1620" w:hanging="344"/>
        <w:spacing w:after="0"/>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1,602 shares that Mr. Low has the right to acquire within 60 days after February 24, 2026 upon the vesting of RSU awards.</w:t>
      </w:r>
    </w:p>
    <w:p>
      <w:pPr>
        <w:spacing w:after="0" w:line="134" w:lineRule="exact"/>
        <w:rPr>
          <w:rFonts w:ascii="Arial" w:cs="Arial" w:eastAsia="Arial" w:hAnsi="Arial"/>
          <w:sz w:val="14"/>
          <w:szCs w:val="14"/>
          <w:color w:val="262626"/>
        </w:rPr>
      </w:pPr>
    </w:p>
    <w:p>
      <w:pPr>
        <w:ind w:left="1620" w:right="179" w:hanging="344"/>
        <w:spacing w:after="0" w:line="301" w:lineRule="auto"/>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1,602 shares that Ms. Page has the right to acquire within 60 days after February 24, 2026 upon the vesting of RSU awards.</w:t>
      </w:r>
    </w:p>
    <w:p>
      <w:pPr>
        <w:spacing w:after="0" w:line="308" w:lineRule="exact"/>
        <w:rPr>
          <w:rFonts w:ascii="Arial" w:cs="Arial" w:eastAsia="Arial" w:hAnsi="Arial"/>
          <w:sz w:val="14"/>
          <w:szCs w:val="14"/>
          <w:color w:val="262626"/>
        </w:rPr>
      </w:pPr>
    </w:p>
    <w:p>
      <w:pPr>
        <w:jc w:val="both"/>
        <w:ind w:left="1620" w:right="159" w:hanging="344"/>
        <w:spacing w:after="0" w:line="325" w:lineRule="auto"/>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(i) 37,257,607 shares held by D95GT LLC, (ii) 12,272,030 shares held by E95GT LLC, (iii) 4,596,900 shares held by H&amp;S Portfolio II L.P., (iv) 31,429,540 shares held by H&amp;S Investments I, L.P. and (v) 1,602 shares that Dr. Samueli has the right to acquire within 60 days after February 24, 2026 upon the vesting of RSU awards. Of these shares, 16,175,000 shares have been pledged as collateral to secure certain indebtedness. See “</w:t>
      </w:r>
      <w:r>
        <w:rPr>
          <w:rFonts w:ascii="Arial" w:cs="Arial" w:eastAsia="Arial" w:hAnsi="Arial"/>
          <w:sz w:val="14"/>
          <w:szCs w:val="14"/>
          <w:i w:val="1"/>
          <w:iCs w:val="1"/>
          <w:color w:val="262626"/>
        </w:rPr>
        <w:t>Corporate Governance</w:t>
      </w:r>
      <w:r>
        <w:rPr>
          <w:rFonts w:ascii="Arial" w:cs="Arial" w:eastAsia="Arial" w:hAnsi="Arial"/>
          <w:sz w:val="14"/>
          <w:szCs w:val="14"/>
          <w:color w:val="262626"/>
        </w:rPr>
        <w:t xml:space="preserve"> — </w:t>
      </w:r>
      <w:r>
        <w:rPr>
          <w:rFonts w:ascii="Arial" w:cs="Arial" w:eastAsia="Arial" w:hAnsi="Arial"/>
          <w:sz w:val="14"/>
          <w:szCs w:val="14"/>
          <w:i w:val="1"/>
          <w:iCs w:val="1"/>
          <w:color w:val="262626"/>
        </w:rPr>
        <w:t>Restriction</w:t>
      </w:r>
      <w:r>
        <w:rPr>
          <w:rFonts w:ascii="Arial" w:cs="Arial" w:eastAsia="Arial" w:hAnsi="Arial"/>
          <w:sz w:val="14"/>
          <w:szCs w:val="14"/>
          <w:color w:val="262626"/>
        </w:rPr>
        <w:t xml:space="preserve">s </w:t>
      </w:r>
      <w:r>
        <w:rPr>
          <w:rFonts w:ascii="Arial" w:cs="Arial" w:eastAsia="Arial" w:hAnsi="Arial"/>
          <w:sz w:val="14"/>
          <w:szCs w:val="14"/>
          <w:i w:val="1"/>
          <w:iCs w:val="1"/>
          <w:color w:val="262626"/>
        </w:rPr>
        <w:t>on Transactions Involving Our</w:t>
      </w:r>
      <w:r>
        <w:rPr>
          <w:rFonts w:ascii="Arial" w:cs="Arial" w:eastAsia="Arial" w:hAnsi="Arial"/>
          <w:sz w:val="14"/>
          <w:szCs w:val="14"/>
          <w:color w:val="262626"/>
        </w:rPr>
        <w:t xml:space="preserve"> </w:t>
      </w:r>
      <w:r>
        <w:rPr>
          <w:rFonts w:ascii="Arial" w:cs="Arial" w:eastAsia="Arial" w:hAnsi="Arial"/>
          <w:sz w:val="14"/>
          <w:szCs w:val="14"/>
          <w:i w:val="1"/>
          <w:iCs w:val="1"/>
          <w:color w:val="262626"/>
        </w:rPr>
        <w:t>Securities</w:t>
      </w:r>
      <w:r>
        <w:rPr>
          <w:rFonts w:ascii="Arial" w:cs="Arial" w:eastAsia="Arial" w:hAnsi="Arial"/>
          <w:sz w:val="14"/>
          <w:szCs w:val="14"/>
          <w:color w:val="262626"/>
        </w:rPr>
        <w:t>” for more information on our Board’s oversight of such arrangement. Dr. Samueli disclaims beneficial ownership of the</w:t>
      </w:r>
      <w:r>
        <w:rPr>
          <w:rFonts w:ascii="Arial" w:cs="Arial" w:eastAsia="Arial" w:hAnsi="Arial"/>
          <w:sz w:val="14"/>
          <w:szCs w:val="14"/>
          <w:i w:val="1"/>
          <w:iCs w:val="1"/>
          <w:color w:val="262626"/>
        </w:rPr>
        <w:t xml:space="preserve"> </w:t>
      </w:r>
      <w:r>
        <w:rPr>
          <w:rFonts w:ascii="Arial" w:cs="Arial" w:eastAsia="Arial" w:hAnsi="Arial"/>
          <w:sz w:val="14"/>
          <w:szCs w:val="14"/>
          <w:color w:val="262626"/>
        </w:rPr>
        <w:t>shares held by H&amp;S Portfolio II, L.P and H&amp;S Investments I, L.P. (collectively, the “H&amp;S Partnerships”), D95GT LLC and E95GT LLC, except to the extent of his pecuniary interest therein. H&amp;S Ventures LLC is the general partner of the H&amp;S Partnerships and Dr. Samueli has an ownership interest in H&amp;S Ventures LLC. Dr. Samueli has sole dispositive and voting power over the shares held by the H&amp;S Partnerships, D95GT LLC and E95GT LLC.</w:t>
      </w:r>
    </w:p>
    <w:p>
      <w:pPr>
        <w:spacing w:after="0" w:line="51" w:lineRule="exact"/>
        <w:rPr>
          <w:rFonts w:ascii="Arial" w:cs="Arial" w:eastAsia="Arial" w:hAnsi="Arial"/>
          <w:sz w:val="14"/>
          <w:szCs w:val="14"/>
          <w:color w:val="262626"/>
        </w:rPr>
      </w:pPr>
    </w:p>
    <w:p>
      <w:pPr>
        <w:ind w:left="1620" w:hanging="344"/>
        <w:spacing w:after="0"/>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775,638 shares held by a family trust.</w:t>
      </w:r>
    </w:p>
    <w:p>
      <w:pPr>
        <w:spacing w:after="0" w:line="134" w:lineRule="exact"/>
        <w:rPr>
          <w:rFonts w:ascii="Arial" w:cs="Arial" w:eastAsia="Arial" w:hAnsi="Arial"/>
          <w:sz w:val="14"/>
          <w:szCs w:val="14"/>
          <w:color w:val="262626"/>
        </w:rPr>
      </w:pPr>
    </w:p>
    <w:p>
      <w:pPr>
        <w:ind w:left="1620" w:hanging="344"/>
        <w:spacing w:after="0"/>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1,602 shares that Mr. You has the right to acquire within 60 days after February 24, 2026 upon the vesting of RSU awards.</w:t>
      </w:r>
    </w:p>
    <w:p>
      <w:pPr>
        <w:spacing w:after="0" w:line="134" w:lineRule="exact"/>
        <w:rPr>
          <w:rFonts w:ascii="Arial" w:cs="Arial" w:eastAsia="Arial" w:hAnsi="Arial"/>
          <w:sz w:val="14"/>
          <w:szCs w:val="14"/>
          <w:color w:val="262626"/>
        </w:rPr>
      </w:pPr>
    </w:p>
    <w:p>
      <w:pPr>
        <w:jc w:val="both"/>
        <w:ind w:left="1620" w:right="179" w:hanging="344"/>
        <w:spacing w:after="0" w:line="341" w:lineRule="auto"/>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19,063 shares that Mr. Brazeal has the right to acquire within 60 days after February 24, 2026 upon the vesting of RSU awards. These shares do not include any shares that may be earned pursuant to PSUs for the performance periods ending March 1, 2026.</w:t>
      </w:r>
    </w:p>
    <w:p>
      <w:pPr>
        <w:spacing w:after="0" w:line="38" w:lineRule="exact"/>
        <w:rPr>
          <w:rFonts w:ascii="Arial" w:cs="Arial" w:eastAsia="Arial" w:hAnsi="Arial"/>
          <w:sz w:val="14"/>
          <w:szCs w:val="14"/>
          <w:color w:val="262626"/>
        </w:rPr>
      </w:pPr>
    </w:p>
    <w:p>
      <w:pPr>
        <w:jc w:val="both"/>
        <w:ind w:left="1620" w:right="159" w:hanging="344"/>
        <w:spacing w:after="0" w:line="341" w:lineRule="auto"/>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797,184 shares held by a family trust, 3,140 aggregate shares held by his children and 6,250 shares that Dr. Kawwas has the right to acquire within 60 days after February 24, 2026 upon the vesting of RSU awards. These shares do not include any shares that may be earned pursuant to PSUs for the performance periods ending March 1, 2026.</w:t>
      </w:r>
    </w:p>
    <w:p>
      <w:pPr>
        <w:spacing w:after="0" w:line="38" w:lineRule="exact"/>
        <w:rPr>
          <w:rFonts w:ascii="Arial" w:cs="Arial" w:eastAsia="Arial" w:hAnsi="Arial"/>
          <w:sz w:val="14"/>
          <w:szCs w:val="14"/>
          <w:color w:val="262626"/>
        </w:rPr>
      </w:pPr>
    </w:p>
    <w:p>
      <w:pPr>
        <w:jc w:val="both"/>
        <w:ind w:left="1620" w:right="179" w:hanging="344"/>
        <w:spacing w:after="0" w:line="341" w:lineRule="auto"/>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12,032 shares that Ms. Spears has the right to acquire within 60 days after February 24, 2026 upon the vesting of RSU awards. These shares do not include any shares that may be earned pursuant to PSUs for the performance periods ending March 1, 2026.</w:t>
      </w:r>
    </w:p>
    <w:p>
      <w:pPr>
        <w:spacing w:after="0" w:line="38" w:lineRule="exact"/>
        <w:rPr>
          <w:rFonts w:ascii="Arial" w:cs="Arial" w:eastAsia="Arial" w:hAnsi="Arial"/>
          <w:sz w:val="14"/>
          <w:szCs w:val="14"/>
          <w:color w:val="262626"/>
        </w:rPr>
      </w:pPr>
    </w:p>
    <w:p>
      <w:pPr>
        <w:jc w:val="both"/>
        <w:ind w:left="1620" w:right="179" w:hanging="344"/>
        <w:spacing w:after="0" w:line="341" w:lineRule="auto"/>
        <w:tabs>
          <w:tab w:leader="none" w:pos="1620" w:val="left"/>
        </w:tabs>
        <w:numPr>
          <w:ilvl w:val="0"/>
          <w:numId w:val="50"/>
        </w:numPr>
        <w:rPr>
          <w:rFonts w:ascii="Arial" w:cs="Arial" w:eastAsia="Arial" w:hAnsi="Arial"/>
          <w:sz w:val="14"/>
          <w:szCs w:val="14"/>
          <w:color w:val="262626"/>
        </w:rPr>
      </w:pPr>
      <w:r>
        <w:rPr>
          <w:rFonts w:ascii="Arial" w:cs="Arial" w:eastAsia="Arial" w:hAnsi="Arial"/>
          <w:sz w:val="14"/>
          <w:szCs w:val="14"/>
          <w:color w:val="262626"/>
        </w:rPr>
        <w:t>Includes 56,411 shares that directors and executive officers have the right to acquire within 60 days after February 24, 2026 upon the vesting of RSU awards. These shares do not include any shares that may be earned by our executive officers pursuant to their respective PSUs for the performance periods ending March 1, 2026.</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768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5155"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1700"/>
        <w:spacing w:after="0"/>
        <w:rPr>
          <w:sz w:val="20"/>
          <w:szCs w:val="20"/>
          <w:color w:val="auto"/>
        </w:rPr>
      </w:pPr>
      <w:r>
        <w:rPr>
          <w:rFonts w:ascii="Arial" w:cs="Arial" w:eastAsia="Arial" w:hAnsi="Arial"/>
          <w:sz w:val="25"/>
          <w:szCs w:val="25"/>
          <w:color w:val="CF0A2C"/>
        </w:rPr>
        <w:t>CERTAIN RELATIONSHIPS AND RELATED PARTY TRANSACTIONS</w:t>
      </w:r>
    </w:p>
    <w:p>
      <w:pPr>
        <w:spacing w:after="0" w:line="24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PROCEDURES FOR APPROVAL OF RELATED PARTY TRANSACTIONS</w:t>
      </w:r>
    </w:p>
    <w:p>
      <w:pPr>
        <w:spacing w:after="0" w:line="200"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As provided by the Audit Committee Charter, the Audit Committee must review all related party transactions on an ongoing basis and all such transactions must be approved by the Audit Committee. The Audit Committee may delegate to one or more designated members of the committee the authority to pre-approve related party transactions, provided such approvals are presented to the Audit Committee at its next scheduled meeting.</w:t>
      </w:r>
    </w:p>
    <w:p>
      <w:pPr>
        <w:spacing w:after="0" w:line="101"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In approving or rejecting the proposed related party transaction, the Audit Committee considers the relevant facts and circumstances available and deemed relevant to the Audit Committee, including the extent of the related person’s interests, the risks, costs and benefits to us, the terms of the transaction, the availability of other sources for comparable services or products, and, if applicable, the impact on a director’s independence. The Code of Ethics also requires that our directors, officers and employees make appropriate disclosure of potential conflicts of interest to and receive approval from (i) the NCG Committee or the Audit Committee, in the case of directors and officers, or (ii) our compliance officer, in the case of employees. Our Board has authority to approve related party transactions in lieu of the Audit Committee.</w:t>
      </w:r>
    </w:p>
    <w:p>
      <w:pPr>
        <w:spacing w:after="0" w:line="16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OTHER RELATIONSHIPS</w:t>
      </w:r>
    </w:p>
    <w:p>
      <w:pPr>
        <w:spacing w:after="0" w:line="200" w:lineRule="exact"/>
        <w:rPr>
          <w:sz w:val="20"/>
          <w:szCs w:val="20"/>
          <w:color w:val="auto"/>
        </w:rPr>
      </w:pPr>
    </w:p>
    <w:p>
      <w:pPr>
        <w:jc w:val="both"/>
        <w:ind w:left="1280" w:right="179"/>
        <w:spacing w:after="0" w:line="343" w:lineRule="auto"/>
        <w:rPr>
          <w:sz w:val="20"/>
          <w:szCs w:val="20"/>
          <w:color w:val="auto"/>
        </w:rPr>
      </w:pPr>
      <w:r>
        <w:rPr>
          <w:rFonts w:ascii="Arial" w:cs="Arial" w:eastAsia="Arial" w:hAnsi="Arial"/>
          <w:sz w:val="16"/>
          <w:szCs w:val="16"/>
          <w:color w:val="262626"/>
        </w:rPr>
        <w:t>From time to time in the ordinary course of business, on an arms’ length basis, Broadcom purchases from and/or sells to certain entities where one of our directors or management may have relationships as directors, executive officers or beneficial owners.</w:t>
      </w:r>
    </w:p>
    <w:p>
      <w:pPr>
        <w:spacing w:after="0" w:line="80" w:lineRule="exact"/>
        <w:rPr>
          <w:sz w:val="20"/>
          <w:szCs w:val="20"/>
          <w:color w:val="auto"/>
        </w:rPr>
      </w:pPr>
    </w:p>
    <w:p>
      <w:pPr>
        <w:jc w:val="right"/>
        <w:ind w:right="159"/>
        <w:spacing w:after="0"/>
        <w:rPr>
          <w:sz w:val="20"/>
          <w:szCs w:val="20"/>
          <w:color w:val="auto"/>
        </w:rPr>
      </w:pPr>
      <w:r>
        <w:rPr>
          <w:rFonts w:ascii="Arial" w:cs="Arial" w:eastAsia="Arial" w:hAnsi="Arial"/>
          <w:sz w:val="15"/>
          <w:szCs w:val="15"/>
          <w:color w:val="262626"/>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16" w:lineRule="exact"/>
        <w:rPr>
          <w:sz w:val="20"/>
          <w:szCs w:val="20"/>
          <w:color w:val="auto"/>
        </w:rPr>
      </w:pPr>
    </w:p>
    <w:p>
      <w:pPr>
        <w:ind w:left="3360"/>
        <w:spacing w:after="0"/>
        <w:rPr>
          <w:sz w:val="20"/>
          <w:szCs w:val="20"/>
          <w:color w:val="auto"/>
        </w:rPr>
      </w:pPr>
      <w:r>
        <w:rPr>
          <w:rFonts w:ascii="Arial" w:cs="Arial" w:eastAsia="Arial" w:hAnsi="Arial"/>
          <w:sz w:val="25"/>
          <w:szCs w:val="25"/>
          <w:color w:val="CF0A2C"/>
        </w:rPr>
        <w:t>ADDITIONAL MEETING INFORMATION</w:t>
      </w:r>
    </w:p>
    <w:p>
      <w:pPr>
        <w:spacing w:after="0" w:line="258" w:lineRule="exact"/>
        <w:rPr>
          <w:sz w:val="20"/>
          <w:szCs w:val="20"/>
          <w:color w:val="auto"/>
        </w:rPr>
      </w:pPr>
    </w:p>
    <w:tbl>
      <w:tblPr>
        <w:tblLayout w:type="fixed"/>
        <w:tblInd w:w="258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6"/>
                <w:szCs w:val="16"/>
                <w:b w:val="1"/>
                <w:bCs w:val="1"/>
                <w:color w:val="auto"/>
              </w:rPr>
              <w:t>When:</w:t>
            </w:r>
          </w:p>
        </w:tc>
        <w:tc>
          <w:tcPr>
            <w:tcW w:w="2240" w:type="dxa"/>
            <w:vAlign w:val="bottom"/>
          </w:tcPr>
          <w:p>
            <w:pPr>
              <w:ind w:left="40"/>
              <w:spacing w:after="0"/>
              <w:rPr>
                <w:sz w:val="20"/>
                <w:szCs w:val="20"/>
                <w:color w:val="auto"/>
              </w:rPr>
            </w:pPr>
            <w:r>
              <w:rPr>
                <w:rFonts w:ascii="Arial" w:cs="Arial" w:eastAsia="Arial" w:hAnsi="Arial"/>
                <w:sz w:val="16"/>
                <w:szCs w:val="16"/>
                <w:color w:val="262626"/>
              </w:rPr>
              <w:t>April 20, 2026</w:t>
            </w:r>
          </w:p>
        </w:tc>
        <w:tc>
          <w:tcPr>
            <w:tcW w:w="900" w:type="dxa"/>
            <w:vAlign w:val="bottom"/>
          </w:tcPr>
          <w:p>
            <w:pPr>
              <w:ind w:left="300"/>
              <w:spacing w:after="0"/>
              <w:rPr>
                <w:sz w:val="20"/>
                <w:szCs w:val="20"/>
                <w:color w:val="auto"/>
              </w:rPr>
            </w:pPr>
            <w:r>
              <w:rPr>
                <w:rFonts w:ascii="Arial" w:cs="Arial" w:eastAsia="Arial" w:hAnsi="Arial"/>
                <w:sz w:val="16"/>
                <w:szCs w:val="16"/>
                <w:b w:val="1"/>
                <w:bCs w:val="1"/>
                <w:color w:val="auto"/>
              </w:rPr>
              <w:t>Time:</w:t>
            </w:r>
          </w:p>
        </w:tc>
        <w:tc>
          <w:tcPr>
            <w:tcW w:w="1640" w:type="dxa"/>
            <w:vAlign w:val="bottom"/>
          </w:tcPr>
          <w:p>
            <w:pPr>
              <w:ind w:left="40"/>
              <w:spacing w:after="0"/>
              <w:rPr>
                <w:sz w:val="20"/>
                <w:szCs w:val="20"/>
                <w:color w:val="auto"/>
              </w:rPr>
            </w:pPr>
            <w:r>
              <w:rPr>
                <w:rFonts w:ascii="Arial" w:cs="Arial" w:eastAsia="Arial" w:hAnsi="Arial"/>
                <w:sz w:val="16"/>
                <w:szCs w:val="16"/>
                <w:color w:val="262626"/>
                <w:w w:val="99"/>
              </w:rPr>
              <w:t>4:00 p.m. Pacific Time</w:t>
            </w:r>
          </w:p>
        </w:tc>
      </w:tr>
      <w:tr>
        <w:trPr>
          <w:trHeight w:val="369"/>
        </w:trPr>
        <w:tc>
          <w:tcPr>
            <w:tcW w:w="600" w:type="dxa"/>
            <w:vAlign w:val="bottom"/>
          </w:tcPr>
          <w:p>
            <w:pPr>
              <w:spacing w:after="0"/>
              <w:rPr>
                <w:sz w:val="20"/>
                <w:szCs w:val="20"/>
                <w:color w:val="auto"/>
              </w:rPr>
            </w:pPr>
            <w:r>
              <w:rPr>
                <w:rFonts w:ascii="Arial" w:cs="Arial" w:eastAsia="Arial" w:hAnsi="Arial"/>
                <w:sz w:val="16"/>
                <w:szCs w:val="16"/>
                <w:b w:val="1"/>
                <w:bCs w:val="1"/>
                <w:color w:val="auto"/>
              </w:rPr>
              <w:t>Where:</w:t>
            </w:r>
          </w:p>
        </w:tc>
        <w:tc>
          <w:tcPr>
            <w:tcW w:w="2240" w:type="dxa"/>
            <w:vAlign w:val="bottom"/>
          </w:tcPr>
          <w:p>
            <w:pPr>
              <w:ind w:left="40"/>
              <w:spacing w:after="0"/>
              <w:rPr>
                <w:sz w:val="20"/>
                <w:szCs w:val="20"/>
                <w:color w:val="auto"/>
              </w:rPr>
            </w:pPr>
            <w:r>
              <w:rPr>
                <w:rFonts w:ascii="Arial" w:cs="Arial" w:eastAsia="Arial" w:hAnsi="Arial"/>
                <w:sz w:val="16"/>
                <w:szCs w:val="16"/>
                <w:color w:val="262626"/>
              </w:rPr>
              <w:t>3421 Hillview Avenue</w:t>
            </w:r>
          </w:p>
        </w:tc>
        <w:tc>
          <w:tcPr>
            <w:tcW w:w="900" w:type="dxa"/>
            <w:vAlign w:val="bottom"/>
          </w:tcPr>
          <w:p>
            <w:pPr>
              <w:ind w:left="300"/>
              <w:spacing w:after="0"/>
              <w:rPr>
                <w:sz w:val="20"/>
                <w:szCs w:val="20"/>
                <w:color w:val="auto"/>
              </w:rPr>
            </w:pPr>
            <w:r>
              <w:rPr>
                <w:rFonts w:ascii="Arial" w:cs="Arial" w:eastAsia="Arial" w:hAnsi="Arial"/>
                <w:sz w:val="16"/>
                <w:szCs w:val="16"/>
                <w:b w:val="1"/>
                <w:bCs w:val="1"/>
                <w:color w:val="auto"/>
              </w:rPr>
              <w:t>Record</w:t>
            </w:r>
          </w:p>
        </w:tc>
        <w:tc>
          <w:tcPr>
            <w:tcW w:w="1640" w:type="dxa"/>
            <w:vAlign w:val="bottom"/>
          </w:tcPr>
          <w:p>
            <w:pPr>
              <w:ind w:left="40"/>
              <w:spacing w:after="0"/>
              <w:rPr>
                <w:sz w:val="20"/>
                <w:szCs w:val="20"/>
                <w:color w:val="auto"/>
              </w:rPr>
            </w:pPr>
            <w:r>
              <w:rPr>
                <w:rFonts w:ascii="Arial" w:cs="Arial" w:eastAsia="Arial" w:hAnsi="Arial"/>
                <w:sz w:val="16"/>
                <w:szCs w:val="16"/>
                <w:color w:val="262626"/>
              </w:rPr>
              <w:t>February 24, 2026</w:t>
            </w:r>
          </w:p>
        </w:tc>
      </w:tr>
      <w:tr>
        <w:trPr>
          <w:trHeight w:val="222"/>
        </w:trPr>
        <w:tc>
          <w:tcPr>
            <w:tcW w:w="600" w:type="dxa"/>
            <w:vAlign w:val="bottom"/>
          </w:tcPr>
          <w:p>
            <w:pPr>
              <w:spacing w:after="0"/>
              <w:rPr>
                <w:sz w:val="19"/>
                <w:szCs w:val="19"/>
                <w:color w:val="auto"/>
              </w:rPr>
            </w:pPr>
          </w:p>
        </w:tc>
        <w:tc>
          <w:tcPr>
            <w:tcW w:w="2240" w:type="dxa"/>
            <w:vAlign w:val="bottom"/>
          </w:tcPr>
          <w:p>
            <w:pPr>
              <w:ind w:left="40"/>
              <w:spacing w:after="0"/>
              <w:rPr>
                <w:sz w:val="20"/>
                <w:szCs w:val="20"/>
                <w:color w:val="auto"/>
              </w:rPr>
            </w:pPr>
            <w:r>
              <w:rPr>
                <w:rFonts w:ascii="Arial" w:cs="Arial" w:eastAsia="Arial" w:hAnsi="Arial"/>
                <w:sz w:val="16"/>
                <w:szCs w:val="16"/>
                <w:color w:val="262626"/>
              </w:rPr>
              <w:t>Palo Alto, California 94304</w:t>
            </w:r>
          </w:p>
        </w:tc>
        <w:tc>
          <w:tcPr>
            <w:tcW w:w="900" w:type="dxa"/>
            <w:vAlign w:val="bottom"/>
          </w:tcPr>
          <w:p>
            <w:pPr>
              <w:ind w:left="300"/>
              <w:spacing w:after="0"/>
              <w:rPr>
                <w:sz w:val="20"/>
                <w:szCs w:val="20"/>
                <w:color w:val="auto"/>
              </w:rPr>
            </w:pPr>
            <w:r>
              <w:rPr>
                <w:rFonts w:ascii="Arial" w:cs="Arial" w:eastAsia="Arial" w:hAnsi="Arial"/>
                <w:sz w:val="16"/>
                <w:szCs w:val="16"/>
                <w:b w:val="1"/>
                <w:bCs w:val="1"/>
                <w:color w:val="auto"/>
              </w:rPr>
              <w:t>Date:</w:t>
            </w:r>
          </w:p>
        </w:tc>
        <w:tc>
          <w:tcPr>
            <w:tcW w:w="1640" w:type="dxa"/>
            <w:vAlign w:val="bottom"/>
          </w:tcPr>
          <w:p>
            <w:pPr>
              <w:spacing w:after="0"/>
              <w:rPr>
                <w:sz w:val="19"/>
                <w:szCs w:val="19"/>
                <w:color w:val="auto"/>
              </w:rPr>
            </w:pPr>
          </w:p>
        </w:tc>
      </w:tr>
    </w:tbl>
    <w:p>
      <w:pPr>
        <w:spacing w:after="0" w:line="20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MEETING ATTENDANCE AND ADMISSION</w:t>
      </w:r>
    </w:p>
    <w:p>
      <w:pPr>
        <w:spacing w:after="0" w:line="200"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You are invited to attend the Annual Meeting if you were a registered stockholder or a beneficial owner of Broadcom common stock on the Record Date. Stockholders must register in advance at www.proxyvote.com and registration will be on a first-come, first-served basis. Due to space constraints at the venue, registration will be limited. Only stockholders as of the Record Date who have registered in advance and have a valid registration confirmation ticket from Broadridge Investor Communication Solutions, Inc. (“Broadridge”), together with proof of identification, will be admitted to the Annual Meeting.</w:t>
      </w:r>
    </w:p>
    <w:p>
      <w:pPr>
        <w:spacing w:after="0" w:line="106" w:lineRule="exact"/>
        <w:rPr>
          <w:sz w:val="20"/>
          <w:szCs w:val="20"/>
          <w:color w:val="auto"/>
        </w:rPr>
      </w:pPr>
    </w:p>
    <w:p>
      <w:pPr>
        <w:jc w:val="both"/>
        <w:ind w:left="1280" w:right="179"/>
        <w:spacing w:after="0" w:line="339" w:lineRule="auto"/>
        <w:rPr>
          <w:sz w:val="20"/>
          <w:szCs w:val="20"/>
          <w:color w:val="auto"/>
        </w:rPr>
      </w:pPr>
      <w:r>
        <w:rPr>
          <w:rFonts w:ascii="Arial" w:cs="Arial" w:eastAsia="Arial" w:hAnsi="Arial"/>
          <w:sz w:val="16"/>
          <w:szCs w:val="16"/>
          <w:color w:val="262626"/>
        </w:rPr>
        <w:t>No recording is allowed at the Annual Meeting. This includes photography, audio recording and video recording. In addition, the use of mobile phones, tablets or computers is strictly prohibited. We reserve the right to revoke admission privileges or to eject a participant for behavior likely to cause damage, injury, disruption or annoyance or for failure to comply with reasonable requests or the rules of conduct for the Annual Meeting.</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CF0A2C"/>
        </w:rPr>
        <w:t>QUESTIONS AND ANSWERS RELATING TO PROXY MATERIALS AND THE ANNUAL MEETING</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Proxy Materials</w:t>
      </w:r>
    </w:p>
    <w:p>
      <w:pPr>
        <w:spacing w:after="0" w:line="215" w:lineRule="exact"/>
        <w:rPr>
          <w:sz w:val="20"/>
          <w:szCs w:val="20"/>
          <w:color w:val="auto"/>
        </w:rPr>
      </w:pPr>
    </w:p>
    <w:p>
      <w:pPr>
        <w:ind w:left="1620" w:hanging="344"/>
        <w:spacing w:after="0"/>
        <w:tabs>
          <w:tab w:leader="none" w:pos="162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Why am I receiving these proxy materials?</w:t>
      </w:r>
    </w:p>
    <w:p>
      <w:pPr>
        <w:spacing w:after="0" w:line="218" w:lineRule="exact"/>
        <w:rPr>
          <w:rFonts w:ascii="Arial" w:cs="Arial" w:eastAsia="Arial" w:hAnsi="Arial"/>
          <w:sz w:val="16"/>
          <w:szCs w:val="16"/>
          <w:b w:val="1"/>
          <w:bCs w:val="1"/>
          <w:color w:val="auto"/>
        </w:rPr>
      </w:pPr>
    </w:p>
    <w:p>
      <w:pPr>
        <w:jc w:val="both"/>
        <w:ind w:left="1620" w:right="159"/>
        <w:spacing w:after="0" w:line="343" w:lineRule="auto"/>
        <w:rPr>
          <w:rFonts w:ascii="Arial" w:cs="Arial" w:eastAsia="Arial" w:hAnsi="Arial"/>
          <w:sz w:val="16"/>
          <w:szCs w:val="16"/>
          <w:b w:val="1"/>
          <w:bCs w:val="1"/>
          <w:color w:val="auto"/>
        </w:rPr>
      </w:pPr>
      <w:r>
        <w:rPr>
          <w:rFonts w:ascii="Arial" w:cs="Arial" w:eastAsia="Arial" w:hAnsi="Arial"/>
          <w:sz w:val="16"/>
          <w:szCs w:val="16"/>
          <w:color w:val="262626"/>
        </w:rPr>
        <w:t>Broadcom is soliciting proxies for use at the Annual Meeting, including any adjournments or postponements thereof. Stockholders are encouraged to read this Proxy Statement as it contains important information to consider when deciding how to vote on the matters brought before the Annual Meeting.</w:t>
      </w:r>
    </w:p>
    <w:p>
      <w:pPr>
        <w:spacing w:after="0" w:line="96" w:lineRule="exact"/>
        <w:rPr>
          <w:rFonts w:ascii="Arial" w:cs="Arial" w:eastAsia="Arial" w:hAnsi="Arial"/>
          <w:sz w:val="16"/>
          <w:szCs w:val="16"/>
          <w:b w:val="1"/>
          <w:bCs w:val="1"/>
          <w:color w:val="auto"/>
        </w:rPr>
      </w:pPr>
    </w:p>
    <w:p>
      <w:pPr>
        <w:ind w:left="1620" w:right="159"/>
        <w:spacing w:after="0" w:line="371" w:lineRule="auto"/>
        <w:rPr>
          <w:rFonts w:ascii="Arial" w:cs="Arial" w:eastAsia="Arial" w:hAnsi="Arial"/>
          <w:sz w:val="16"/>
          <w:szCs w:val="16"/>
          <w:b w:val="1"/>
          <w:bCs w:val="1"/>
          <w:color w:val="auto"/>
        </w:rPr>
      </w:pPr>
      <w:r>
        <w:rPr>
          <w:rFonts w:ascii="Arial" w:cs="Arial" w:eastAsia="Arial" w:hAnsi="Arial"/>
          <w:sz w:val="16"/>
          <w:szCs w:val="16"/>
          <w:color w:val="262626"/>
        </w:rPr>
        <w:t>The Internet Notice, this Proxy Statement, the accompanying proxy card and our 2025 Annual Report were first made available to our stockholders on or about March 2, 2026.</w:t>
      </w:r>
    </w:p>
    <w:p>
      <w:pPr>
        <w:spacing w:after="0" w:line="88" w:lineRule="exact"/>
        <w:rPr>
          <w:rFonts w:ascii="Arial" w:cs="Arial" w:eastAsia="Arial" w:hAnsi="Arial"/>
          <w:sz w:val="16"/>
          <w:szCs w:val="16"/>
          <w:b w:val="1"/>
          <w:bCs w:val="1"/>
          <w:color w:val="auto"/>
        </w:rPr>
      </w:pPr>
    </w:p>
    <w:p>
      <w:pPr>
        <w:ind w:left="1620" w:right="179" w:hanging="344"/>
        <w:spacing w:after="0" w:line="364" w:lineRule="auto"/>
        <w:tabs>
          <w:tab w:leader="none" w:pos="162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Why did I receive an Internet Notice instead of a paper copy of the proxy materials? How may I obtain a paper copy of the proxy materials?</w:t>
      </w:r>
    </w:p>
    <w:p>
      <w:pPr>
        <w:spacing w:after="0" w:line="72" w:lineRule="exact"/>
        <w:rPr>
          <w:rFonts w:ascii="Arial" w:cs="Arial" w:eastAsia="Arial" w:hAnsi="Arial"/>
          <w:sz w:val="16"/>
          <w:szCs w:val="16"/>
          <w:b w:val="1"/>
          <w:bCs w:val="1"/>
          <w:color w:val="auto"/>
        </w:rPr>
      </w:pPr>
    </w:p>
    <w:p>
      <w:pPr>
        <w:jc w:val="both"/>
        <w:ind w:left="1620" w:right="159"/>
        <w:spacing w:after="0" w:line="337" w:lineRule="auto"/>
        <w:rPr>
          <w:rFonts w:ascii="Arial" w:cs="Arial" w:eastAsia="Arial" w:hAnsi="Arial"/>
          <w:sz w:val="16"/>
          <w:szCs w:val="16"/>
          <w:b w:val="1"/>
          <w:bCs w:val="1"/>
          <w:color w:val="auto"/>
        </w:rPr>
      </w:pPr>
      <w:r>
        <w:rPr>
          <w:rFonts w:ascii="Arial" w:cs="Arial" w:eastAsia="Arial" w:hAnsi="Arial"/>
          <w:sz w:val="16"/>
          <w:szCs w:val="16"/>
          <w:color w:val="262626"/>
        </w:rPr>
        <w:t>We furnish the proxy materials, including this Proxy Statement and the 2025 Annual Report, to our stockholders via the Internet instead of mailing printed copies. The Internet Notice provides instructions on how you may access and review all of the proxy materials on the Internet, how you may submit your proxy over the Internet or by telephone, and how to request a paper copy of the proxy materials. A request to receive proxy materials by mail will remain in effect until revoked by you.</w:t>
      </w:r>
    </w:p>
    <w:p>
      <w:pPr>
        <w:spacing w:after="0" w:line="117" w:lineRule="exact"/>
        <w:rPr>
          <w:rFonts w:ascii="Arial" w:cs="Arial" w:eastAsia="Arial" w:hAnsi="Arial"/>
          <w:sz w:val="16"/>
          <w:szCs w:val="16"/>
          <w:b w:val="1"/>
          <w:bCs w:val="1"/>
          <w:color w:val="auto"/>
        </w:rPr>
      </w:pPr>
    </w:p>
    <w:p>
      <w:pPr>
        <w:ind w:left="1620" w:hanging="344"/>
        <w:spacing w:after="0"/>
        <w:tabs>
          <w:tab w:leader="none" w:pos="162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How may I obtain a copy of the Proxy Statement and the 2025 Annual Report?</w:t>
      </w:r>
    </w:p>
    <w:p>
      <w:pPr>
        <w:spacing w:after="0" w:line="205" w:lineRule="exact"/>
        <w:rPr>
          <w:rFonts w:ascii="Arial" w:cs="Arial" w:eastAsia="Arial" w:hAnsi="Arial"/>
          <w:sz w:val="16"/>
          <w:szCs w:val="16"/>
          <w:b w:val="1"/>
          <w:bCs w:val="1"/>
          <w:color w:val="auto"/>
        </w:rPr>
      </w:pPr>
    </w:p>
    <w:p>
      <w:pPr>
        <w:jc w:val="both"/>
        <w:ind w:left="1620" w:right="159"/>
        <w:spacing w:after="0" w:line="332" w:lineRule="auto"/>
        <w:rPr>
          <w:rFonts w:ascii="Arial" w:cs="Arial" w:eastAsia="Arial" w:hAnsi="Arial"/>
          <w:sz w:val="16"/>
          <w:szCs w:val="16"/>
          <w:b w:val="1"/>
          <w:bCs w:val="1"/>
          <w:color w:val="auto"/>
        </w:rPr>
      </w:pPr>
      <w:r>
        <w:rPr>
          <w:rFonts w:ascii="Arial" w:cs="Arial" w:eastAsia="Arial" w:hAnsi="Arial"/>
          <w:sz w:val="16"/>
          <w:szCs w:val="16"/>
          <w:color w:val="262626"/>
        </w:rPr>
        <w:t>Copies of this Proxy Statement and the 2025 Annual Report are available free of charge on the Internet from the SEC at www.sec.gov and on our website in the “Investor Center — Financial Information” section of our website at</w:t>
      </w:r>
    </w:p>
    <w:p>
      <w:pPr>
        <w:ind w:left="1620" w:right="179"/>
        <w:spacing w:after="0" w:line="364" w:lineRule="auto"/>
        <w:rPr>
          <w:rFonts w:ascii="Arial" w:cs="Arial" w:eastAsia="Arial" w:hAnsi="Arial"/>
          <w:sz w:val="16"/>
          <w:szCs w:val="16"/>
          <w:b w:val="1"/>
          <w:bCs w:val="1"/>
          <w:color w:val="auto"/>
        </w:rPr>
      </w:pPr>
      <w:r>
        <w:rPr>
          <w:rFonts w:ascii="Arial" w:cs="Arial" w:eastAsia="Arial" w:hAnsi="Arial"/>
          <w:sz w:val="16"/>
          <w:szCs w:val="16"/>
          <w:color w:val="262626"/>
        </w:rPr>
        <w:t xml:space="preserve">www.broadcom.com. </w:t>
      </w:r>
      <w:r>
        <w:rPr>
          <w:rFonts w:ascii="Arial" w:cs="Arial" w:eastAsia="Arial" w:hAnsi="Arial"/>
          <w:sz w:val="16"/>
          <w:szCs w:val="16"/>
          <w:b w:val="1"/>
          <w:bCs w:val="1"/>
          <w:color w:val="262626"/>
        </w:rPr>
        <w:t>You can request a paper copy, including any exhibit listed in our 2025 Annual Report,</w:t>
      </w:r>
      <w:r>
        <w:rPr>
          <w:rFonts w:ascii="Arial" w:cs="Arial" w:eastAsia="Arial" w:hAnsi="Arial"/>
          <w:sz w:val="16"/>
          <w:szCs w:val="16"/>
          <w:color w:val="262626"/>
        </w:rPr>
        <w:t xml:space="preserve"> </w:t>
      </w:r>
      <w:r>
        <w:rPr>
          <w:rFonts w:ascii="Arial" w:cs="Arial" w:eastAsia="Arial" w:hAnsi="Arial"/>
          <w:sz w:val="16"/>
          <w:szCs w:val="16"/>
          <w:b w:val="1"/>
          <w:bCs w:val="1"/>
          <w:color w:val="262626"/>
        </w:rPr>
        <w:t>free of charge by calling Investor Relations at (650) 427-6000 or emailing investor.relations@broadcom.com.</w:t>
      </w:r>
    </w:p>
    <w:p>
      <w:pPr>
        <w:spacing w:after="0" w:line="86" w:lineRule="exact"/>
        <w:rPr>
          <w:rFonts w:ascii="Arial" w:cs="Arial" w:eastAsia="Arial" w:hAnsi="Arial"/>
          <w:sz w:val="16"/>
          <w:szCs w:val="16"/>
          <w:b w:val="1"/>
          <w:bCs w:val="1"/>
          <w:color w:val="auto"/>
        </w:rPr>
      </w:pPr>
    </w:p>
    <w:p>
      <w:pPr>
        <w:ind w:left="1620" w:hanging="344"/>
        <w:spacing w:after="0"/>
        <w:tabs>
          <w:tab w:leader="none" w:pos="162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What if I received a notice from my broker stating that it will be “householding” deliveries to my address?</w:t>
      </w:r>
    </w:p>
    <w:p>
      <w:pPr>
        <w:spacing w:after="0" w:line="218" w:lineRule="exact"/>
        <w:rPr>
          <w:rFonts w:ascii="Arial" w:cs="Arial" w:eastAsia="Arial" w:hAnsi="Arial"/>
          <w:sz w:val="16"/>
          <w:szCs w:val="16"/>
          <w:b w:val="1"/>
          <w:bCs w:val="1"/>
          <w:color w:val="auto"/>
        </w:rPr>
      </w:pPr>
    </w:p>
    <w:p>
      <w:pPr>
        <w:jc w:val="both"/>
        <w:ind w:left="1620" w:right="159"/>
        <w:spacing w:after="0" w:line="343" w:lineRule="auto"/>
        <w:rPr>
          <w:rFonts w:ascii="Arial" w:cs="Arial" w:eastAsia="Arial" w:hAnsi="Arial"/>
          <w:sz w:val="16"/>
          <w:szCs w:val="16"/>
          <w:b w:val="1"/>
          <w:bCs w:val="1"/>
          <w:color w:val="auto"/>
        </w:rPr>
      </w:pPr>
      <w:r>
        <w:rPr>
          <w:rFonts w:ascii="Arial" w:cs="Arial" w:eastAsia="Arial" w:hAnsi="Arial"/>
          <w:sz w:val="16"/>
          <w:szCs w:val="16"/>
          <w:color w:val="262626"/>
        </w:rPr>
        <w:t>SEC rules permit companies and intermediaries, such as brokers, to deliver one copy of the Internet Notice or, if applicable, the proxy materials to multiple stockholders who share an address, unless contrary instructions from one or more stockholders are received. This practice is referred to as “householding.”</w:t>
      </w:r>
    </w:p>
    <w:p>
      <w:pPr>
        <w:sectPr>
          <w:pgSz w:w="11900" w:h="16838" w:orient="portrait"/>
          <w:cols w:equalWidth="0" w:num="1">
            <w:col w:w="10139"/>
          </w:cols>
          <w:pgMar w:left="320" w:top="480" w:right="1440" w:bottom="1440" w:gutter="0" w:footer="0" w:header="0"/>
        </w:sectPr>
      </w:pPr>
    </w:p>
    <w:p>
      <w:pPr>
        <w:spacing w:after="0" w:line="67" w:lineRule="exact"/>
        <w:rPr>
          <w:sz w:val="20"/>
          <w:szCs w:val="20"/>
          <w:color w:val="auto"/>
        </w:rPr>
      </w:pPr>
    </w:p>
    <w:p>
      <w:pPr>
        <w:ind w:left="1280"/>
        <w:spacing w:after="0"/>
        <w:rPr>
          <w:sz w:val="20"/>
          <w:szCs w:val="20"/>
          <w:color w:val="auto"/>
        </w:rPr>
      </w:pPr>
      <w:r>
        <w:rPr>
          <w:rFonts w:ascii="Arial" w:cs="Arial" w:eastAsia="Arial" w:hAnsi="Arial"/>
          <w:sz w:val="14"/>
          <w:szCs w:val="14"/>
          <w:color w:val="262626"/>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-90805</wp:posOffset>
            </wp:positionV>
            <wp:extent cx="605155" cy="850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5" w:lineRule="exact"/>
        <w:rPr>
          <w:sz w:val="20"/>
          <w:szCs w:val="20"/>
          <w:color w:val="auto"/>
        </w:rPr>
      </w:pPr>
    </w:p>
    <w:p>
      <w:pPr>
        <w:jc w:val="both"/>
        <w:ind w:left="1620" w:right="159"/>
        <w:spacing w:after="0" w:line="283" w:lineRule="auto"/>
        <w:rPr>
          <w:sz w:val="20"/>
          <w:szCs w:val="20"/>
          <w:color w:val="auto"/>
        </w:rPr>
      </w:pPr>
      <w:r>
        <w:rPr>
          <w:rFonts w:ascii="Arial" w:cs="Arial" w:eastAsia="Arial" w:hAnsi="Arial"/>
          <w:sz w:val="16"/>
          <w:szCs w:val="16"/>
          <w:color w:val="262626"/>
        </w:rPr>
        <w:t>To receive a separate copy of the Internet Notice or, if applicable, the proxy materials, or if you are receiving multiple copies and would like to receive only one copy for your household, stockholders of record may contact Broadridge at:</w:t>
      </w:r>
    </w:p>
    <w:p>
      <w:pPr>
        <w:spacing w:after="0" w:line="116" w:lineRule="exact"/>
        <w:rPr>
          <w:sz w:val="20"/>
          <w:szCs w:val="20"/>
          <w:color w:val="auto"/>
        </w:rPr>
      </w:pPr>
    </w:p>
    <w:p>
      <w:pPr>
        <w:ind w:left="2020" w:hanging="234"/>
        <w:spacing w:after="0"/>
        <w:tabs>
          <w:tab w:leader="none" w:pos="2020" w:val="left"/>
        </w:tabs>
        <w:numPr>
          <w:ilvl w:val="0"/>
          <w:numId w:val="52"/>
        </w:numPr>
        <w:rPr>
          <w:rFonts w:ascii="Arial" w:cs="Arial" w:eastAsia="Arial" w:hAnsi="Arial"/>
          <w:sz w:val="16"/>
          <w:szCs w:val="16"/>
          <w:color w:val="262626"/>
        </w:rPr>
      </w:pPr>
      <w:r>
        <w:rPr>
          <w:rFonts w:ascii="Arial" w:cs="Arial" w:eastAsia="Arial" w:hAnsi="Arial"/>
          <w:sz w:val="16"/>
          <w:szCs w:val="16"/>
          <w:color w:val="262626"/>
        </w:rPr>
        <w:t>By Internet: www.proxyvote.com</w:t>
      </w:r>
    </w:p>
    <w:p>
      <w:pPr>
        <w:spacing w:after="0" w:line="191" w:lineRule="exact"/>
        <w:rPr>
          <w:rFonts w:ascii="Arial" w:cs="Arial" w:eastAsia="Arial" w:hAnsi="Arial"/>
          <w:sz w:val="16"/>
          <w:szCs w:val="16"/>
          <w:color w:val="262626"/>
        </w:rPr>
      </w:pPr>
    </w:p>
    <w:p>
      <w:pPr>
        <w:ind w:left="2020" w:hanging="234"/>
        <w:spacing w:after="0"/>
        <w:tabs>
          <w:tab w:leader="none" w:pos="2020" w:val="left"/>
        </w:tabs>
        <w:numPr>
          <w:ilvl w:val="0"/>
          <w:numId w:val="52"/>
        </w:numPr>
        <w:rPr>
          <w:rFonts w:ascii="Arial" w:cs="Arial" w:eastAsia="Arial" w:hAnsi="Arial"/>
          <w:sz w:val="16"/>
          <w:szCs w:val="16"/>
          <w:color w:val="262626"/>
        </w:rPr>
      </w:pPr>
      <w:r>
        <w:rPr>
          <w:rFonts w:ascii="Arial" w:cs="Arial" w:eastAsia="Arial" w:hAnsi="Arial"/>
          <w:sz w:val="16"/>
          <w:szCs w:val="16"/>
          <w:color w:val="262626"/>
        </w:rPr>
        <w:t>By telephone: (800) 579-1639</w:t>
      </w:r>
    </w:p>
    <w:p>
      <w:pPr>
        <w:spacing w:after="0" w:line="191" w:lineRule="exact"/>
        <w:rPr>
          <w:rFonts w:ascii="Arial" w:cs="Arial" w:eastAsia="Arial" w:hAnsi="Arial"/>
          <w:sz w:val="16"/>
          <w:szCs w:val="16"/>
          <w:color w:val="262626"/>
        </w:rPr>
      </w:pPr>
    </w:p>
    <w:p>
      <w:pPr>
        <w:ind w:left="1620" w:right="319" w:firstLine="166"/>
        <w:spacing w:after="0" w:line="511" w:lineRule="auto"/>
        <w:tabs>
          <w:tab w:leader="none" w:pos="2024" w:val="left"/>
        </w:tabs>
        <w:numPr>
          <w:ilvl w:val="0"/>
          <w:numId w:val="52"/>
        </w:numPr>
        <w:rPr>
          <w:rFonts w:ascii="Arial" w:cs="Arial" w:eastAsia="Arial" w:hAnsi="Arial"/>
          <w:sz w:val="16"/>
          <w:szCs w:val="16"/>
          <w:color w:val="262626"/>
        </w:rPr>
      </w:pPr>
      <w:r>
        <w:rPr>
          <w:rFonts w:ascii="Arial" w:cs="Arial" w:eastAsia="Arial" w:hAnsi="Arial"/>
          <w:sz w:val="16"/>
          <w:szCs w:val="16"/>
          <w:color w:val="262626"/>
        </w:rPr>
        <w:t>By email: sendmaterial@proxyvote.com (please include your 16-digit control number in the email subject line) If you are a beneficial owner, you should contact your broker, bank or other nominee.</w:t>
      </w:r>
    </w:p>
    <w:p>
      <w:pPr>
        <w:spacing w:after="0" w:line="2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Voting Information</w:t>
      </w:r>
    </w:p>
    <w:p>
      <w:pPr>
        <w:spacing w:after="0" w:line="215" w:lineRule="exact"/>
        <w:rPr>
          <w:sz w:val="20"/>
          <w:szCs w:val="20"/>
          <w:color w:val="auto"/>
        </w:rPr>
      </w:pPr>
    </w:p>
    <w:p>
      <w:pPr>
        <w:ind w:left="1620" w:hanging="344"/>
        <w:spacing w:after="0"/>
        <w:tabs>
          <w:tab w:leader="none" w:pos="162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Who may vote at the Annual Meeting?</w:t>
      </w:r>
    </w:p>
    <w:p>
      <w:pPr>
        <w:spacing w:after="0" w:line="218" w:lineRule="exact"/>
        <w:rPr>
          <w:rFonts w:ascii="Arial" w:cs="Arial" w:eastAsia="Arial" w:hAnsi="Arial"/>
          <w:sz w:val="16"/>
          <w:szCs w:val="16"/>
          <w:b w:val="1"/>
          <w:bCs w:val="1"/>
          <w:color w:val="auto"/>
        </w:rPr>
      </w:pPr>
    </w:p>
    <w:p>
      <w:pPr>
        <w:jc w:val="both"/>
        <w:ind w:left="1620" w:right="179"/>
        <w:spacing w:after="0" w:line="343" w:lineRule="auto"/>
        <w:rPr>
          <w:rFonts w:ascii="Arial" w:cs="Arial" w:eastAsia="Arial" w:hAnsi="Arial"/>
          <w:sz w:val="16"/>
          <w:szCs w:val="16"/>
          <w:b w:val="1"/>
          <w:bCs w:val="1"/>
          <w:color w:val="auto"/>
        </w:rPr>
      </w:pPr>
      <w:r>
        <w:rPr>
          <w:rFonts w:ascii="Arial" w:cs="Arial" w:eastAsia="Arial" w:hAnsi="Arial"/>
          <w:sz w:val="16"/>
          <w:szCs w:val="16"/>
          <w:color w:val="262626"/>
        </w:rPr>
        <w:t>Holders of Broadcom common stock as of the close of business on the Record Date are entitled to vote at the Annual Meeting. Each share of Broadcom common stock has one vote for each matter. As of the Record Date, Broadcom had 4,735,602,612 shares of common stock issued and outstanding.</w:t>
      </w:r>
    </w:p>
    <w:p>
      <w:pPr>
        <w:spacing w:after="0" w:line="96" w:lineRule="exact"/>
        <w:rPr>
          <w:rFonts w:ascii="Arial" w:cs="Arial" w:eastAsia="Arial" w:hAnsi="Arial"/>
          <w:sz w:val="16"/>
          <w:szCs w:val="16"/>
          <w:b w:val="1"/>
          <w:bCs w:val="1"/>
          <w:color w:val="auto"/>
        </w:rPr>
      </w:pPr>
    </w:p>
    <w:p>
      <w:pPr>
        <w:ind w:left="1620" w:hanging="344"/>
        <w:spacing w:after="0"/>
        <w:tabs>
          <w:tab w:leader="none" w:pos="162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difference between holding shares as a stockholder of record and as a beneficial owner?</w:t>
      </w:r>
    </w:p>
    <w:p>
      <w:pPr>
        <w:spacing w:after="0" w:line="218" w:lineRule="exact"/>
        <w:rPr>
          <w:rFonts w:ascii="Arial" w:cs="Arial" w:eastAsia="Arial" w:hAnsi="Arial"/>
          <w:sz w:val="16"/>
          <w:szCs w:val="16"/>
          <w:b w:val="1"/>
          <w:bCs w:val="1"/>
          <w:color w:val="auto"/>
        </w:rPr>
      </w:pPr>
    </w:p>
    <w:p>
      <w:pPr>
        <w:ind w:left="1620" w:right="179"/>
        <w:spacing w:after="0" w:line="371" w:lineRule="auto"/>
        <w:rPr>
          <w:rFonts w:ascii="Arial" w:cs="Arial" w:eastAsia="Arial" w:hAnsi="Arial"/>
          <w:sz w:val="16"/>
          <w:szCs w:val="16"/>
          <w:b w:val="1"/>
          <w:bCs w:val="1"/>
          <w:color w:val="auto"/>
        </w:rPr>
      </w:pPr>
      <w:r>
        <w:rPr>
          <w:rFonts w:ascii="Arial" w:cs="Arial" w:eastAsia="Arial" w:hAnsi="Arial"/>
          <w:sz w:val="16"/>
          <w:szCs w:val="16"/>
          <w:color w:val="262626"/>
        </w:rPr>
        <w:t>If your shares are registered directly in your name with our transfer agent, Computershare Trust Company, N.A., you are a stockholder of record with respect to those shares.</w:t>
      </w:r>
    </w:p>
    <w:p>
      <w:pPr>
        <w:spacing w:after="0" w:line="75" w:lineRule="exact"/>
        <w:rPr>
          <w:rFonts w:ascii="Arial" w:cs="Arial" w:eastAsia="Arial" w:hAnsi="Arial"/>
          <w:sz w:val="16"/>
          <w:szCs w:val="16"/>
          <w:b w:val="1"/>
          <w:bCs w:val="1"/>
          <w:color w:val="auto"/>
        </w:rPr>
      </w:pPr>
    </w:p>
    <w:p>
      <w:pPr>
        <w:jc w:val="both"/>
        <w:ind w:left="1620" w:right="179"/>
        <w:spacing w:after="0" w:line="343" w:lineRule="auto"/>
        <w:rPr>
          <w:rFonts w:ascii="Arial" w:cs="Arial" w:eastAsia="Arial" w:hAnsi="Arial"/>
          <w:sz w:val="16"/>
          <w:szCs w:val="16"/>
          <w:b w:val="1"/>
          <w:bCs w:val="1"/>
          <w:color w:val="auto"/>
        </w:rPr>
      </w:pPr>
      <w:r>
        <w:rPr>
          <w:rFonts w:ascii="Arial" w:cs="Arial" w:eastAsia="Arial" w:hAnsi="Arial"/>
          <w:sz w:val="16"/>
          <w:szCs w:val="16"/>
          <w:color w:val="262626"/>
        </w:rPr>
        <w:t>If your shares are held by a broker, bank or other nominee, you are the “beneficial owner” of shares held in “street name.” As a beneficial owner, you have the right to instruct the broker, bank or other nominee that holds your shares on how to vote them.</w:t>
      </w:r>
    </w:p>
    <w:p>
      <w:pPr>
        <w:spacing w:after="0" w:line="110" w:lineRule="exact"/>
        <w:rPr>
          <w:rFonts w:ascii="Arial" w:cs="Arial" w:eastAsia="Arial" w:hAnsi="Arial"/>
          <w:sz w:val="16"/>
          <w:szCs w:val="16"/>
          <w:b w:val="1"/>
          <w:bCs w:val="1"/>
          <w:color w:val="auto"/>
        </w:rPr>
      </w:pPr>
    </w:p>
    <w:p>
      <w:pPr>
        <w:ind w:left="1620" w:hanging="344"/>
        <w:spacing w:after="0"/>
        <w:tabs>
          <w:tab w:leader="none" w:pos="162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How do I vote my shares?</w:t>
      </w:r>
    </w:p>
    <w:p>
      <w:pPr>
        <w:spacing w:after="0" w:line="218" w:lineRule="exact"/>
        <w:rPr>
          <w:rFonts w:ascii="Arial" w:cs="Arial" w:eastAsia="Arial" w:hAnsi="Arial"/>
          <w:sz w:val="16"/>
          <w:szCs w:val="16"/>
          <w:b w:val="1"/>
          <w:bCs w:val="1"/>
          <w:color w:val="auto"/>
        </w:rPr>
      </w:pPr>
    </w:p>
    <w:p>
      <w:pPr>
        <w:ind w:left="1620" w:right="179"/>
        <w:spacing w:after="0" w:line="353" w:lineRule="auto"/>
        <w:rPr>
          <w:rFonts w:ascii="Arial" w:cs="Arial" w:eastAsia="Arial" w:hAnsi="Arial"/>
          <w:sz w:val="16"/>
          <w:szCs w:val="16"/>
          <w:b w:val="1"/>
          <w:bCs w:val="1"/>
          <w:color w:val="auto"/>
        </w:rPr>
      </w:pPr>
      <w:r>
        <w:rPr>
          <w:rFonts w:ascii="Arial" w:cs="Arial" w:eastAsia="Arial" w:hAnsi="Arial"/>
          <w:sz w:val="16"/>
          <w:szCs w:val="16"/>
          <w:color w:val="262626"/>
        </w:rPr>
        <w:t>Even if you plan to attend the Annual Meeting, please vote in advance using one of the methods outlined below. The method or timing of your vote will not limit your right to vote in person at the Annual Meeting.</w:t>
      </w:r>
    </w:p>
    <w:p>
      <w:pPr>
        <w:spacing w:after="0" w:line="102" w:lineRule="exact"/>
        <w:rPr>
          <w:rFonts w:ascii="Arial" w:cs="Arial" w:eastAsia="Arial" w:hAnsi="Arial"/>
          <w:sz w:val="16"/>
          <w:szCs w:val="16"/>
          <w:b w:val="1"/>
          <w:bCs w:val="1"/>
          <w:color w:val="auto"/>
        </w:rPr>
      </w:pPr>
    </w:p>
    <w:p>
      <w:pPr>
        <w:ind w:left="2020" w:hanging="234"/>
        <w:spacing w:after="0"/>
        <w:tabs>
          <w:tab w:leader="none" w:pos="2020" w:val="left"/>
        </w:tabs>
        <w:numPr>
          <w:ilvl w:val="1"/>
          <w:numId w:val="53"/>
        </w:numPr>
        <w:rPr>
          <w:rFonts w:ascii="Arial" w:cs="Arial" w:eastAsia="Arial" w:hAnsi="Arial"/>
          <w:sz w:val="16"/>
          <w:szCs w:val="16"/>
          <w:color w:val="262626"/>
        </w:rPr>
      </w:pPr>
      <w:r>
        <w:rPr>
          <w:rFonts w:ascii="Arial" w:cs="Arial" w:eastAsia="Arial" w:hAnsi="Arial"/>
          <w:sz w:val="16"/>
          <w:szCs w:val="16"/>
          <w:b w:val="1"/>
          <w:bCs w:val="1"/>
          <w:color w:val="262626"/>
        </w:rPr>
        <w:t>Internet</w:t>
      </w:r>
      <w:r>
        <w:rPr>
          <w:rFonts w:ascii="Arial" w:cs="Arial" w:eastAsia="Arial" w:hAnsi="Arial"/>
          <w:sz w:val="16"/>
          <w:szCs w:val="16"/>
          <w:color w:val="262626"/>
        </w:rPr>
        <w:t>: Vote your shares at www.proxyvote.com.</w:t>
      </w:r>
    </w:p>
    <w:p>
      <w:pPr>
        <w:spacing w:after="0" w:line="218" w:lineRule="exact"/>
        <w:rPr>
          <w:rFonts w:ascii="Arial" w:cs="Arial" w:eastAsia="Arial" w:hAnsi="Arial"/>
          <w:sz w:val="16"/>
          <w:szCs w:val="16"/>
          <w:color w:val="262626"/>
        </w:rPr>
      </w:pPr>
    </w:p>
    <w:p>
      <w:pPr>
        <w:ind w:left="2020" w:hanging="234"/>
        <w:spacing w:after="0"/>
        <w:tabs>
          <w:tab w:leader="none" w:pos="2020" w:val="left"/>
        </w:tabs>
        <w:numPr>
          <w:ilvl w:val="1"/>
          <w:numId w:val="53"/>
        </w:numPr>
        <w:rPr>
          <w:rFonts w:ascii="Arial" w:cs="Arial" w:eastAsia="Arial" w:hAnsi="Arial"/>
          <w:sz w:val="16"/>
          <w:szCs w:val="16"/>
          <w:color w:val="262626"/>
        </w:rPr>
      </w:pPr>
      <w:r>
        <w:rPr>
          <w:rFonts w:ascii="Arial" w:cs="Arial" w:eastAsia="Arial" w:hAnsi="Arial"/>
          <w:sz w:val="16"/>
          <w:szCs w:val="16"/>
          <w:b w:val="1"/>
          <w:bCs w:val="1"/>
          <w:color w:val="262626"/>
        </w:rPr>
        <w:t>Telephone</w:t>
      </w:r>
      <w:r>
        <w:rPr>
          <w:rFonts w:ascii="Arial" w:cs="Arial" w:eastAsia="Arial" w:hAnsi="Arial"/>
          <w:sz w:val="16"/>
          <w:szCs w:val="16"/>
          <w:color w:val="262626"/>
        </w:rPr>
        <w:t>: Call (800) 690-6903.</w:t>
      </w:r>
    </w:p>
    <w:p>
      <w:pPr>
        <w:spacing w:after="0" w:line="218" w:lineRule="exact"/>
        <w:rPr>
          <w:rFonts w:ascii="Arial" w:cs="Arial" w:eastAsia="Arial" w:hAnsi="Arial"/>
          <w:sz w:val="16"/>
          <w:szCs w:val="16"/>
          <w:color w:val="262626"/>
        </w:rPr>
      </w:pPr>
    </w:p>
    <w:p>
      <w:pPr>
        <w:ind w:left="2020" w:right="179" w:hanging="234"/>
        <w:spacing w:after="0" w:line="371" w:lineRule="auto"/>
        <w:tabs>
          <w:tab w:leader="none" w:pos="2020" w:val="left"/>
        </w:tabs>
        <w:numPr>
          <w:ilvl w:val="1"/>
          <w:numId w:val="53"/>
        </w:numPr>
        <w:rPr>
          <w:rFonts w:ascii="Arial" w:cs="Arial" w:eastAsia="Arial" w:hAnsi="Arial"/>
          <w:sz w:val="16"/>
          <w:szCs w:val="16"/>
          <w:color w:val="262626"/>
        </w:rPr>
      </w:pPr>
      <w:r>
        <w:rPr>
          <w:rFonts w:ascii="Arial" w:cs="Arial" w:eastAsia="Arial" w:hAnsi="Arial"/>
          <w:sz w:val="16"/>
          <w:szCs w:val="16"/>
          <w:b w:val="1"/>
          <w:bCs w:val="1"/>
          <w:color w:val="262626"/>
        </w:rPr>
        <w:t>Mail</w:t>
      </w:r>
      <w:r>
        <w:rPr>
          <w:rFonts w:ascii="Arial" w:cs="Arial" w:eastAsia="Arial" w:hAnsi="Arial"/>
          <w:sz w:val="16"/>
          <w:szCs w:val="16"/>
          <w:color w:val="262626"/>
        </w:rPr>
        <w:t>: Complete, sign and date your proxy card and return it in the postage-paid envelope. You cannot vote by</w:t>
      </w:r>
      <w:r>
        <w:rPr>
          <w:rFonts w:ascii="Arial" w:cs="Arial" w:eastAsia="Arial" w:hAnsi="Arial"/>
          <w:sz w:val="16"/>
          <w:szCs w:val="16"/>
          <w:b w:val="1"/>
          <w:bCs w:val="1"/>
          <w:color w:val="262626"/>
        </w:rPr>
        <w:t xml:space="preserve"> </w:t>
      </w:r>
      <w:r>
        <w:rPr>
          <w:rFonts w:ascii="Arial" w:cs="Arial" w:eastAsia="Arial" w:hAnsi="Arial"/>
          <w:sz w:val="16"/>
          <w:szCs w:val="16"/>
          <w:color w:val="262626"/>
        </w:rPr>
        <w:t>marking the Internet Notice and returning it.</w:t>
      </w:r>
    </w:p>
    <w:p>
      <w:pPr>
        <w:spacing w:after="0" w:line="75" w:lineRule="exact"/>
        <w:rPr>
          <w:sz w:val="20"/>
          <w:szCs w:val="20"/>
          <w:color w:val="auto"/>
        </w:rPr>
      </w:pPr>
    </w:p>
    <w:p>
      <w:pPr>
        <w:jc w:val="both"/>
        <w:ind w:left="1620" w:right="179"/>
        <w:spacing w:after="0" w:line="343" w:lineRule="auto"/>
        <w:rPr>
          <w:sz w:val="20"/>
          <w:szCs w:val="20"/>
          <w:color w:val="auto"/>
        </w:rPr>
      </w:pPr>
      <w:r>
        <w:rPr>
          <w:rFonts w:ascii="Arial" w:cs="Arial" w:eastAsia="Arial" w:hAnsi="Arial"/>
          <w:sz w:val="16"/>
          <w:szCs w:val="16"/>
          <w:color w:val="262626"/>
        </w:rPr>
        <w:t>Internet and telephone voting are available 24 hours a day and will close at 11:59 p.m. Eastern Time on Sunday, April 19, 2026. The shares voted by proxy over the Internet, telephonically or through proxy cards received, properly marked, dated, signed and not revoked, will be voted at the Annual Meeting.</w:t>
      </w:r>
    </w:p>
    <w:p>
      <w:pPr>
        <w:spacing w:after="0" w:line="97" w:lineRule="exact"/>
        <w:rPr>
          <w:sz w:val="20"/>
          <w:szCs w:val="20"/>
          <w:color w:val="auto"/>
        </w:rPr>
      </w:pPr>
    </w:p>
    <w:p>
      <w:pPr>
        <w:jc w:val="both"/>
        <w:ind w:left="1620" w:right="179"/>
        <w:spacing w:after="0" w:line="352" w:lineRule="auto"/>
        <w:rPr>
          <w:sz w:val="20"/>
          <w:szCs w:val="20"/>
          <w:color w:val="auto"/>
        </w:rPr>
      </w:pPr>
      <w:r>
        <w:rPr>
          <w:rFonts w:ascii="Arial" w:cs="Arial" w:eastAsia="Arial" w:hAnsi="Arial"/>
          <w:sz w:val="16"/>
          <w:szCs w:val="16"/>
          <w:color w:val="262626"/>
        </w:rPr>
        <w:t>You may also vote in-person at the Annual Meeting if you properly register in advance. If your shares are held in the name of a broker, bank or other nominee, you must obtain a legal proxy, executed in your favor, from the holder of record to be able to vote in-person at the Annual Meeting and submit the legal proxy with your ballot.</w:t>
      </w:r>
    </w:p>
    <w:p>
      <w:pPr>
        <w:spacing w:after="0" w:line="90" w:lineRule="exact"/>
        <w:rPr>
          <w:sz w:val="20"/>
          <w:szCs w:val="20"/>
          <w:color w:val="auto"/>
        </w:rPr>
      </w:pPr>
    </w:p>
    <w:p>
      <w:pPr>
        <w:ind w:left="1620" w:hanging="344"/>
        <w:spacing w:after="0"/>
        <w:tabs>
          <w:tab w:leader="none" w:pos="162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How are uninstructed votes handled?</w:t>
      </w:r>
    </w:p>
    <w:p>
      <w:pPr>
        <w:spacing w:after="0" w:line="218" w:lineRule="exact"/>
        <w:rPr>
          <w:rFonts w:ascii="Arial" w:cs="Arial" w:eastAsia="Arial" w:hAnsi="Arial"/>
          <w:sz w:val="16"/>
          <w:szCs w:val="16"/>
          <w:b w:val="1"/>
          <w:bCs w:val="1"/>
          <w:color w:val="auto"/>
        </w:rPr>
      </w:pPr>
    </w:p>
    <w:p>
      <w:pPr>
        <w:jc w:val="both"/>
        <w:ind w:left="1620" w:right="159"/>
        <w:spacing w:after="0" w:line="339" w:lineRule="auto"/>
        <w:rPr>
          <w:rFonts w:ascii="Arial" w:cs="Arial" w:eastAsia="Arial" w:hAnsi="Arial"/>
          <w:sz w:val="16"/>
          <w:szCs w:val="16"/>
          <w:b w:val="1"/>
          <w:bCs w:val="1"/>
          <w:color w:val="auto"/>
        </w:rPr>
      </w:pPr>
      <w:r>
        <w:rPr>
          <w:rFonts w:ascii="Arial" w:cs="Arial" w:eastAsia="Arial" w:hAnsi="Arial"/>
          <w:sz w:val="16"/>
          <w:szCs w:val="16"/>
          <w:color w:val="262626"/>
        </w:rPr>
        <w:t>If you are a stockholder of record and you return your signed proxy card without giving specific voting instructions, your shares will be voted by the proxy holders — Hock E. Tan, Kirsten M. Spears and Mark D. Brazeal or any one of them, with full power of substitution (together, the “Proxy Holders”) — as recommended by our Board (see table below).</w:t>
      </w:r>
    </w:p>
    <w:p>
      <w:pPr>
        <w:spacing w:after="0" w:line="101" w:lineRule="exact"/>
        <w:rPr>
          <w:rFonts w:ascii="Arial" w:cs="Arial" w:eastAsia="Arial" w:hAnsi="Arial"/>
          <w:sz w:val="16"/>
          <w:szCs w:val="16"/>
          <w:b w:val="1"/>
          <w:bCs w:val="1"/>
          <w:color w:val="auto"/>
        </w:rPr>
      </w:pPr>
    </w:p>
    <w:p>
      <w:pPr>
        <w:jc w:val="both"/>
        <w:ind w:left="1620" w:right="179"/>
        <w:spacing w:after="0" w:line="339" w:lineRule="auto"/>
        <w:rPr>
          <w:rFonts w:ascii="Arial" w:cs="Arial" w:eastAsia="Arial" w:hAnsi="Arial"/>
          <w:sz w:val="16"/>
          <w:szCs w:val="16"/>
          <w:b w:val="1"/>
          <w:bCs w:val="1"/>
          <w:color w:val="auto"/>
        </w:rPr>
      </w:pPr>
      <w:r>
        <w:rPr>
          <w:rFonts w:ascii="Arial" w:cs="Arial" w:eastAsia="Arial" w:hAnsi="Arial"/>
          <w:sz w:val="16"/>
          <w:szCs w:val="16"/>
          <w:color w:val="262626"/>
        </w:rPr>
        <w:t>If you are a beneficial owner and do not provide specific voting instructions to your broker, bank or other nominee, the organization that holds your shares will not be authorized to vote your shares, which will result in “broker non-votes,” on proposals other than the ratification of the appointment of PwC as our independent registered public accounting firm (see table below).</w:t>
      </w:r>
    </w:p>
    <w:p>
      <w:pPr>
        <w:sectPr>
          <w:pgSz w:w="11900" w:h="16838" w:orient="portrait"/>
          <w:cols w:equalWidth="0" w:num="1">
            <w:col w:w="10139"/>
          </w:cols>
          <w:pgMar w:left="320" w:top="479" w:right="1440" w:bottom="1440" w:gutter="0" w:footer="0" w:header="0"/>
        </w:sectPr>
      </w:pPr>
    </w:p>
    <w:p>
      <w:pPr>
        <w:spacing w:after="0" w:line="85"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ind w:left="1620" w:hanging="344"/>
        <w:spacing w:after="0"/>
        <w:tabs>
          <w:tab w:leader="none" w:pos="162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How does the Board recommend that I vote? What is the effect of abstentions and broker non-votes?</w:t>
      </w:r>
    </w:p>
    <w:p>
      <w:pPr>
        <w:spacing w:after="0" w:line="205" w:lineRule="exact"/>
        <w:rPr>
          <w:rFonts w:ascii="Arial" w:cs="Arial" w:eastAsia="Arial" w:hAnsi="Arial"/>
          <w:sz w:val="16"/>
          <w:szCs w:val="16"/>
          <w:b w:val="1"/>
          <w:bCs w:val="1"/>
          <w:color w:val="auto"/>
        </w:rPr>
      </w:pPr>
    </w:p>
    <w:p>
      <w:pPr>
        <w:ind w:left="1620" w:right="179"/>
        <w:spacing w:after="0" w:line="371" w:lineRule="auto"/>
        <w:rPr>
          <w:rFonts w:ascii="Arial" w:cs="Arial" w:eastAsia="Arial" w:hAnsi="Arial"/>
          <w:sz w:val="16"/>
          <w:szCs w:val="16"/>
          <w:b w:val="1"/>
          <w:bCs w:val="1"/>
          <w:color w:val="auto"/>
        </w:rPr>
      </w:pPr>
      <w:r>
        <w:rPr>
          <w:rFonts w:ascii="Arial" w:cs="Arial" w:eastAsia="Arial" w:hAnsi="Arial"/>
          <w:sz w:val="16"/>
          <w:szCs w:val="16"/>
          <w:color w:val="262626"/>
        </w:rPr>
        <w:t>The following chart describes the proposals to be considered at the Annual Meeting, our Board’s recommendations, the vote required for each proposal and the manner in which votes will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107950</wp:posOffset>
            </wp:positionV>
            <wp:extent cx="53009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300980" cy="8255"/>
                    </a:xfrm>
                    <a:prstGeom prst="rect">
                      <a:avLst/>
                    </a:prstGeom>
                    <a:noFill/>
                  </pic:spPr>
                </pic:pic>
              </a:graphicData>
            </a:graphic>
          </wp:anchor>
        </w:drawing>
      </w:r>
    </w:p>
    <w:p>
      <w:pPr>
        <w:spacing w:after="0" w:line="270" w:lineRule="exact"/>
        <w:rPr>
          <w:sz w:val="20"/>
          <w:szCs w:val="20"/>
          <w:color w:val="auto"/>
        </w:rPr>
      </w:pPr>
    </w:p>
    <w:tbl>
      <w:tblPr>
        <w:tblLayout w:type="fixed"/>
        <w:tblInd w:w="162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6"/>
                <w:szCs w:val="16"/>
                <w:b w:val="1"/>
                <w:bCs w:val="1"/>
                <w:color w:val="262626"/>
              </w:rPr>
              <w:t>Effect of</w:t>
            </w:r>
          </w:p>
        </w:tc>
      </w:tr>
      <w:tr>
        <w:trPr>
          <w:trHeight w:val="188"/>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262626"/>
                <w:w w:val="99"/>
              </w:rPr>
              <w:t>Board</w:t>
            </w:r>
          </w:p>
        </w:tc>
        <w:tc>
          <w:tcPr>
            <w:tcW w:w="17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262626"/>
                <w:w w:val="99"/>
              </w:rPr>
              <w:t>Effect of</w:t>
            </w:r>
          </w:p>
        </w:tc>
        <w:tc>
          <w:tcPr>
            <w:tcW w:w="880" w:type="dxa"/>
            <w:vAlign w:val="bottom"/>
          </w:tcPr>
          <w:p>
            <w:pPr>
              <w:ind w:left="220"/>
              <w:spacing w:after="0"/>
              <w:rPr>
                <w:sz w:val="20"/>
                <w:szCs w:val="20"/>
                <w:color w:val="auto"/>
              </w:rPr>
            </w:pPr>
            <w:r>
              <w:rPr>
                <w:rFonts w:ascii="Arial" w:cs="Arial" w:eastAsia="Arial" w:hAnsi="Arial"/>
                <w:sz w:val="16"/>
                <w:szCs w:val="16"/>
                <w:b w:val="1"/>
                <w:bCs w:val="1"/>
                <w:color w:val="262626"/>
              </w:rPr>
              <w:t>Broker</w:t>
            </w:r>
          </w:p>
        </w:tc>
      </w:tr>
      <w:tr>
        <w:trPr>
          <w:trHeight w:val="222"/>
        </w:trPr>
        <w:tc>
          <w:tcPr>
            <w:tcW w:w="3200" w:type="dxa"/>
            <w:vAlign w:val="bottom"/>
            <w:gridSpan w:val="2"/>
          </w:tcPr>
          <w:p>
            <w:pPr>
              <w:spacing w:after="0"/>
              <w:rPr>
                <w:sz w:val="20"/>
                <w:szCs w:val="20"/>
                <w:color w:val="auto"/>
              </w:rPr>
            </w:pPr>
            <w:r>
              <w:rPr>
                <w:rFonts w:ascii="Arial" w:cs="Arial" w:eastAsia="Arial" w:hAnsi="Arial"/>
                <w:sz w:val="16"/>
                <w:szCs w:val="16"/>
                <w:b w:val="1"/>
                <w:bCs w:val="1"/>
                <w:color w:val="262626"/>
              </w:rPr>
              <w:t>Proposal</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262626"/>
              </w:rPr>
              <w:t>Recommendation</w:t>
            </w:r>
          </w:p>
        </w:tc>
        <w:tc>
          <w:tcPr>
            <w:tcW w:w="1700" w:type="dxa"/>
            <w:vAlign w:val="bottom"/>
          </w:tcPr>
          <w:p>
            <w:pPr>
              <w:ind w:left="320"/>
              <w:spacing w:after="0"/>
              <w:rPr>
                <w:sz w:val="20"/>
                <w:szCs w:val="20"/>
                <w:color w:val="auto"/>
              </w:rPr>
            </w:pPr>
            <w:r>
              <w:rPr>
                <w:rFonts w:ascii="Arial" w:cs="Arial" w:eastAsia="Arial" w:hAnsi="Arial"/>
                <w:sz w:val="16"/>
                <w:szCs w:val="16"/>
                <w:b w:val="1"/>
                <w:bCs w:val="1"/>
                <w:color w:val="262626"/>
              </w:rPr>
              <w:t>Vote Required</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262626"/>
                <w:w w:val="99"/>
              </w:rPr>
              <w:t>Abstentions</w:t>
            </w:r>
          </w:p>
        </w:tc>
        <w:tc>
          <w:tcPr>
            <w:tcW w:w="880" w:type="dxa"/>
            <w:vAlign w:val="bottom"/>
          </w:tcPr>
          <w:p>
            <w:pPr>
              <w:ind w:left="80"/>
              <w:spacing w:after="0"/>
              <w:rPr>
                <w:sz w:val="20"/>
                <w:szCs w:val="20"/>
                <w:color w:val="auto"/>
              </w:rPr>
            </w:pPr>
            <w:r>
              <w:rPr>
                <w:rFonts w:ascii="Arial" w:cs="Arial" w:eastAsia="Arial" w:hAnsi="Arial"/>
                <w:sz w:val="16"/>
                <w:szCs w:val="16"/>
                <w:b w:val="1"/>
                <w:bCs w:val="1"/>
                <w:color w:val="262626"/>
                <w:w w:val="97"/>
              </w:rPr>
              <w:t>Non-Votes</w:t>
            </w:r>
          </w:p>
        </w:tc>
      </w:tr>
      <w:tr>
        <w:trPr>
          <w:trHeight w:val="88"/>
        </w:trPr>
        <w:tc>
          <w:tcPr>
            <w:tcW w:w="3200" w:type="dxa"/>
            <w:vAlign w:val="bottom"/>
            <w:tcBorders>
              <w:bottom w:val="single" w:sz="8" w:color="CF0A2C"/>
            </w:tcBorders>
            <w:gridSpan w:val="2"/>
          </w:tcPr>
          <w:p>
            <w:pPr>
              <w:spacing w:after="0"/>
              <w:rPr>
                <w:sz w:val="7"/>
                <w:szCs w:val="7"/>
                <w:color w:val="auto"/>
              </w:rPr>
            </w:pPr>
          </w:p>
        </w:tc>
        <w:tc>
          <w:tcPr>
            <w:tcW w:w="1480" w:type="dxa"/>
            <w:vAlign w:val="bottom"/>
            <w:tcBorders>
              <w:bottom w:val="single" w:sz="8" w:color="CF0A2C"/>
            </w:tcBorders>
          </w:tcPr>
          <w:p>
            <w:pPr>
              <w:spacing w:after="0"/>
              <w:rPr>
                <w:sz w:val="7"/>
                <w:szCs w:val="7"/>
                <w:color w:val="auto"/>
              </w:rPr>
            </w:pPr>
          </w:p>
        </w:tc>
        <w:tc>
          <w:tcPr>
            <w:tcW w:w="1700" w:type="dxa"/>
            <w:vAlign w:val="bottom"/>
            <w:tcBorders>
              <w:bottom w:val="single" w:sz="8" w:color="CF0A2C"/>
            </w:tcBorders>
          </w:tcPr>
          <w:p>
            <w:pPr>
              <w:spacing w:after="0"/>
              <w:rPr>
                <w:sz w:val="7"/>
                <w:szCs w:val="7"/>
                <w:color w:val="auto"/>
              </w:rPr>
            </w:pPr>
          </w:p>
        </w:tc>
        <w:tc>
          <w:tcPr>
            <w:tcW w:w="1100" w:type="dxa"/>
            <w:vAlign w:val="bottom"/>
            <w:tcBorders>
              <w:bottom w:val="single" w:sz="8" w:color="CF0A2C"/>
            </w:tcBorders>
          </w:tcPr>
          <w:p>
            <w:pPr>
              <w:spacing w:after="0"/>
              <w:rPr>
                <w:sz w:val="7"/>
                <w:szCs w:val="7"/>
                <w:color w:val="auto"/>
              </w:rPr>
            </w:pPr>
          </w:p>
        </w:tc>
        <w:tc>
          <w:tcPr>
            <w:tcW w:w="880" w:type="dxa"/>
            <w:vAlign w:val="bottom"/>
            <w:tcBorders>
              <w:bottom w:val="single" w:sz="8" w:color="CF0A2C"/>
            </w:tcBorders>
          </w:tcPr>
          <w:p>
            <w:pPr>
              <w:spacing w:after="0"/>
              <w:rPr>
                <w:sz w:val="7"/>
                <w:szCs w:val="7"/>
                <w:color w:val="auto"/>
              </w:rPr>
            </w:pPr>
          </w:p>
        </w:tc>
      </w:tr>
      <w:tr>
        <w:trPr>
          <w:trHeight w:val="261"/>
        </w:trPr>
        <w:tc>
          <w:tcPr>
            <w:tcW w:w="3200" w:type="dxa"/>
            <w:vAlign w:val="bottom"/>
            <w:gridSpan w:val="2"/>
          </w:tcPr>
          <w:p>
            <w:pPr>
              <w:spacing w:after="0"/>
              <w:rPr>
                <w:sz w:val="20"/>
                <w:szCs w:val="20"/>
                <w:color w:val="auto"/>
              </w:rPr>
            </w:pPr>
            <w:r>
              <w:rPr>
                <w:rFonts w:ascii="Arial" w:cs="Arial" w:eastAsia="Arial" w:hAnsi="Arial"/>
                <w:sz w:val="16"/>
                <w:szCs w:val="16"/>
                <w:color w:val="262626"/>
              </w:rPr>
              <w:t>1.    To elect each of the eight director</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CF0A2C"/>
              </w:rPr>
              <w:t>FOR</w:t>
            </w:r>
          </w:p>
        </w:tc>
        <w:tc>
          <w:tcPr>
            <w:tcW w:w="1700" w:type="dxa"/>
            <w:vAlign w:val="bottom"/>
          </w:tcPr>
          <w:p>
            <w:pPr>
              <w:ind w:left="80"/>
              <w:spacing w:after="0"/>
              <w:rPr>
                <w:sz w:val="20"/>
                <w:szCs w:val="20"/>
                <w:color w:val="auto"/>
              </w:rPr>
            </w:pPr>
            <w:r>
              <w:rPr>
                <w:rFonts w:ascii="Arial" w:cs="Arial" w:eastAsia="Arial" w:hAnsi="Arial"/>
                <w:sz w:val="16"/>
                <w:szCs w:val="16"/>
                <w:color w:val="262626"/>
              </w:rPr>
              <w:t>Affirmative vote of a</w:t>
            </w:r>
          </w:p>
        </w:tc>
        <w:tc>
          <w:tcPr>
            <w:tcW w:w="1100" w:type="dxa"/>
            <w:vAlign w:val="bottom"/>
          </w:tcPr>
          <w:p>
            <w:pPr>
              <w:jc w:val="center"/>
              <w:spacing w:after="0"/>
              <w:rPr>
                <w:sz w:val="20"/>
                <w:szCs w:val="20"/>
                <w:color w:val="auto"/>
              </w:rPr>
            </w:pPr>
            <w:r>
              <w:rPr>
                <w:rFonts w:ascii="Arial" w:cs="Arial" w:eastAsia="Arial" w:hAnsi="Arial"/>
                <w:sz w:val="16"/>
                <w:szCs w:val="16"/>
                <w:color w:val="262626"/>
                <w:w w:val="99"/>
              </w:rPr>
              <w:t>None</w:t>
            </w:r>
          </w:p>
        </w:tc>
        <w:tc>
          <w:tcPr>
            <w:tcW w:w="880" w:type="dxa"/>
            <w:vAlign w:val="bottom"/>
          </w:tcPr>
          <w:p>
            <w:pPr>
              <w:ind w:left="60"/>
              <w:spacing w:after="0"/>
              <w:rPr>
                <w:sz w:val="20"/>
                <w:szCs w:val="20"/>
                <w:color w:val="auto"/>
              </w:rPr>
            </w:pPr>
            <w:r>
              <w:rPr>
                <w:rFonts w:ascii="Arial" w:cs="Arial" w:eastAsia="Arial" w:hAnsi="Arial"/>
                <w:sz w:val="16"/>
                <w:szCs w:val="16"/>
                <w:color w:val="262626"/>
              </w:rPr>
              <w:t>None</w:t>
            </w:r>
          </w:p>
        </w:tc>
      </w:tr>
      <w:tr>
        <w:trPr>
          <w:trHeight w:val="215"/>
        </w:trPr>
        <w:tc>
          <w:tcPr>
            <w:tcW w:w="20" w:type="dxa"/>
            <w:vAlign w:val="bottom"/>
          </w:tcPr>
          <w:p>
            <w:pPr>
              <w:spacing w:after="0"/>
              <w:rPr>
                <w:sz w:val="18"/>
                <w:szCs w:val="18"/>
                <w:color w:val="auto"/>
              </w:rPr>
            </w:pPr>
          </w:p>
        </w:tc>
        <w:tc>
          <w:tcPr>
            <w:tcW w:w="3180" w:type="dxa"/>
            <w:vAlign w:val="bottom"/>
          </w:tcPr>
          <w:p>
            <w:pPr>
              <w:ind w:left="300"/>
              <w:spacing w:after="0"/>
              <w:rPr>
                <w:sz w:val="20"/>
                <w:szCs w:val="20"/>
                <w:color w:val="auto"/>
              </w:rPr>
            </w:pPr>
            <w:r>
              <w:rPr>
                <w:rFonts w:ascii="Arial" w:cs="Arial" w:eastAsia="Arial" w:hAnsi="Arial"/>
                <w:sz w:val="16"/>
                <w:szCs w:val="16"/>
                <w:color w:val="262626"/>
              </w:rPr>
              <w:t>nominees until the next annual meeting</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CF0A2C"/>
              </w:rPr>
              <w:t>each nominee</w:t>
            </w:r>
          </w:p>
        </w:tc>
        <w:tc>
          <w:tcPr>
            <w:tcW w:w="1700" w:type="dxa"/>
            <w:vAlign w:val="bottom"/>
          </w:tcPr>
          <w:p>
            <w:pPr>
              <w:ind w:left="80"/>
              <w:spacing w:after="0"/>
              <w:rPr>
                <w:sz w:val="20"/>
                <w:szCs w:val="20"/>
                <w:color w:val="auto"/>
              </w:rPr>
            </w:pPr>
            <w:r>
              <w:rPr>
                <w:rFonts w:ascii="Arial" w:cs="Arial" w:eastAsia="Arial" w:hAnsi="Arial"/>
                <w:sz w:val="16"/>
                <w:szCs w:val="16"/>
                <w:color w:val="262626"/>
              </w:rPr>
              <w:t>majority of votes cast</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180" w:type="dxa"/>
            <w:vAlign w:val="bottom"/>
          </w:tcPr>
          <w:p>
            <w:pPr>
              <w:ind w:left="300"/>
              <w:spacing w:after="0"/>
              <w:rPr>
                <w:sz w:val="20"/>
                <w:szCs w:val="20"/>
                <w:color w:val="auto"/>
              </w:rPr>
            </w:pPr>
            <w:r>
              <w:rPr>
                <w:rFonts w:ascii="Arial" w:cs="Arial" w:eastAsia="Arial" w:hAnsi="Arial"/>
                <w:sz w:val="16"/>
                <w:szCs w:val="16"/>
                <w:color w:val="262626"/>
              </w:rPr>
              <w:t>of stockholders or until their</w:t>
            </w: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80" w:type="dxa"/>
            <w:vAlign w:val="bottom"/>
          </w:tcPr>
          <w:p>
            <w:pPr>
              <w:ind w:left="300"/>
              <w:spacing w:after="0"/>
              <w:rPr>
                <w:sz w:val="20"/>
                <w:szCs w:val="20"/>
                <w:color w:val="auto"/>
              </w:rPr>
            </w:pPr>
            <w:r>
              <w:rPr>
                <w:rFonts w:ascii="Arial" w:cs="Arial" w:eastAsia="Arial" w:hAnsi="Arial"/>
                <w:sz w:val="16"/>
                <w:szCs w:val="16"/>
                <w:color w:val="262626"/>
              </w:rPr>
              <w:t>successors have been elected</w:t>
            </w: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09"/>
        </w:trPr>
        <w:tc>
          <w:tcPr>
            <w:tcW w:w="20" w:type="dxa"/>
            <w:vAlign w:val="bottom"/>
          </w:tcPr>
          <w:p>
            <w:pPr>
              <w:spacing w:after="0"/>
              <w:rPr>
                <w:sz w:val="9"/>
                <w:szCs w:val="9"/>
                <w:color w:val="auto"/>
              </w:rPr>
            </w:pPr>
          </w:p>
        </w:tc>
        <w:tc>
          <w:tcPr>
            <w:tcW w:w="3180" w:type="dxa"/>
            <w:vAlign w:val="bottom"/>
            <w:tcBorders>
              <w:bottom w:val="single" w:sz="8" w:color="CF0A2C"/>
            </w:tcBorders>
          </w:tcPr>
          <w:p>
            <w:pPr>
              <w:spacing w:after="0"/>
              <w:rPr>
                <w:sz w:val="9"/>
                <w:szCs w:val="9"/>
                <w:color w:val="auto"/>
              </w:rPr>
            </w:pPr>
          </w:p>
        </w:tc>
        <w:tc>
          <w:tcPr>
            <w:tcW w:w="1480" w:type="dxa"/>
            <w:vAlign w:val="bottom"/>
            <w:tcBorders>
              <w:bottom w:val="single" w:sz="8" w:color="CF0A2C"/>
            </w:tcBorders>
          </w:tcPr>
          <w:p>
            <w:pPr>
              <w:spacing w:after="0"/>
              <w:rPr>
                <w:sz w:val="9"/>
                <w:szCs w:val="9"/>
                <w:color w:val="auto"/>
              </w:rPr>
            </w:pPr>
          </w:p>
        </w:tc>
        <w:tc>
          <w:tcPr>
            <w:tcW w:w="1700" w:type="dxa"/>
            <w:vAlign w:val="bottom"/>
            <w:tcBorders>
              <w:bottom w:val="single" w:sz="8" w:color="CF0A2C"/>
            </w:tcBorders>
          </w:tcPr>
          <w:p>
            <w:pPr>
              <w:spacing w:after="0"/>
              <w:rPr>
                <w:sz w:val="9"/>
                <w:szCs w:val="9"/>
                <w:color w:val="auto"/>
              </w:rPr>
            </w:pPr>
          </w:p>
        </w:tc>
        <w:tc>
          <w:tcPr>
            <w:tcW w:w="1100" w:type="dxa"/>
            <w:vAlign w:val="bottom"/>
            <w:tcBorders>
              <w:bottom w:val="single" w:sz="8" w:color="CF0A2C"/>
            </w:tcBorders>
          </w:tcPr>
          <w:p>
            <w:pPr>
              <w:spacing w:after="0"/>
              <w:rPr>
                <w:sz w:val="9"/>
                <w:szCs w:val="9"/>
                <w:color w:val="auto"/>
              </w:rPr>
            </w:pPr>
          </w:p>
        </w:tc>
        <w:tc>
          <w:tcPr>
            <w:tcW w:w="880" w:type="dxa"/>
            <w:vAlign w:val="bottom"/>
            <w:tcBorders>
              <w:bottom w:val="single" w:sz="8" w:color="CF0A2C"/>
            </w:tcBorders>
          </w:tcPr>
          <w:p>
            <w:pPr>
              <w:spacing w:after="0"/>
              <w:rPr>
                <w:sz w:val="9"/>
                <w:szCs w:val="9"/>
                <w:color w:val="auto"/>
              </w:rPr>
            </w:pPr>
          </w:p>
        </w:tc>
      </w:tr>
      <w:tr>
        <w:trPr>
          <w:trHeight w:val="261"/>
        </w:trPr>
        <w:tc>
          <w:tcPr>
            <w:tcW w:w="3200" w:type="dxa"/>
            <w:vAlign w:val="bottom"/>
            <w:gridSpan w:val="2"/>
          </w:tcPr>
          <w:p>
            <w:pPr>
              <w:spacing w:after="0"/>
              <w:rPr>
                <w:sz w:val="20"/>
                <w:szCs w:val="20"/>
                <w:color w:val="auto"/>
              </w:rPr>
            </w:pPr>
            <w:r>
              <w:rPr>
                <w:rFonts w:ascii="Arial" w:cs="Arial" w:eastAsia="Arial" w:hAnsi="Arial"/>
                <w:sz w:val="16"/>
                <w:szCs w:val="16"/>
                <w:color w:val="262626"/>
              </w:rPr>
              <w:t>2.    To ratify the appointment of</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CF0A2C"/>
              </w:rPr>
              <w:t>FOR</w:t>
            </w:r>
          </w:p>
        </w:tc>
        <w:tc>
          <w:tcPr>
            <w:tcW w:w="1700" w:type="dxa"/>
            <w:vAlign w:val="bottom"/>
          </w:tcPr>
          <w:p>
            <w:pPr>
              <w:ind w:left="80"/>
              <w:spacing w:after="0"/>
              <w:rPr>
                <w:sz w:val="20"/>
                <w:szCs w:val="20"/>
                <w:color w:val="auto"/>
              </w:rPr>
            </w:pPr>
            <w:r>
              <w:rPr>
                <w:rFonts w:ascii="Arial" w:cs="Arial" w:eastAsia="Arial" w:hAnsi="Arial"/>
                <w:sz w:val="16"/>
                <w:szCs w:val="16"/>
                <w:color w:val="262626"/>
              </w:rPr>
              <w:t>Affirmative vote of a</w:t>
            </w:r>
          </w:p>
        </w:tc>
        <w:tc>
          <w:tcPr>
            <w:tcW w:w="1100" w:type="dxa"/>
            <w:vAlign w:val="bottom"/>
          </w:tcPr>
          <w:p>
            <w:pPr>
              <w:jc w:val="center"/>
              <w:spacing w:after="0"/>
              <w:rPr>
                <w:sz w:val="20"/>
                <w:szCs w:val="20"/>
                <w:color w:val="auto"/>
              </w:rPr>
            </w:pPr>
            <w:r>
              <w:rPr>
                <w:rFonts w:ascii="Arial" w:cs="Arial" w:eastAsia="Arial" w:hAnsi="Arial"/>
                <w:sz w:val="16"/>
                <w:szCs w:val="16"/>
                <w:color w:val="262626"/>
              </w:rPr>
              <w:t>Against</w:t>
            </w:r>
          </w:p>
        </w:tc>
        <w:tc>
          <w:tcPr>
            <w:tcW w:w="880" w:type="dxa"/>
            <w:vAlign w:val="bottom"/>
          </w:tcPr>
          <w:p>
            <w:pPr>
              <w:ind w:left="60"/>
              <w:spacing w:after="0"/>
              <w:rPr>
                <w:sz w:val="20"/>
                <w:szCs w:val="20"/>
                <w:color w:val="auto"/>
              </w:rPr>
            </w:pPr>
            <w:r>
              <w:rPr>
                <w:rFonts w:ascii="Arial" w:cs="Arial" w:eastAsia="Arial" w:hAnsi="Arial"/>
                <w:sz w:val="16"/>
                <w:szCs w:val="16"/>
                <w:color w:val="262626"/>
              </w:rPr>
              <w:t>Broker has</w:t>
            </w:r>
          </w:p>
        </w:tc>
      </w:tr>
      <w:tr>
        <w:trPr>
          <w:trHeight w:val="214"/>
        </w:trPr>
        <w:tc>
          <w:tcPr>
            <w:tcW w:w="20" w:type="dxa"/>
            <w:vAlign w:val="bottom"/>
          </w:tcPr>
          <w:p>
            <w:pPr>
              <w:spacing w:after="0"/>
              <w:rPr>
                <w:sz w:val="18"/>
                <w:szCs w:val="18"/>
                <w:color w:val="auto"/>
              </w:rPr>
            </w:pPr>
          </w:p>
        </w:tc>
        <w:tc>
          <w:tcPr>
            <w:tcW w:w="3180" w:type="dxa"/>
            <w:vAlign w:val="bottom"/>
          </w:tcPr>
          <w:p>
            <w:pPr>
              <w:ind w:left="300"/>
              <w:spacing w:after="0"/>
              <w:rPr>
                <w:sz w:val="20"/>
                <w:szCs w:val="20"/>
                <w:color w:val="auto"/>
              </w:rPr>
            </w:pPr>
            <w:r>
              <w:rPr>
                <w:rFonts w:ascii="Arial" w:cs="Arial" w:eastAsia="Arial" w:hAnsi="Arial"/>
                <w:sz w:val="16"/>
                <w:szCs w:val="16"/>
                <w:color w:val="262626"/>
              </w:rPr>
              <w:t>PricewaterhouseCoopers LLP as the</w:t>
            </w:r>
          </w:p>
        </w:tc>
        <w:tc>
          <w:tcPr>
            <w:tcW w:w="14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6"/>
                <w:szCs w:val="16"/>
                <w:color w:val="262626"/>
              </w:rPr>
              <w:t>majority of votes</w:t>
            </w:r>
          </w:p>
        </w:tc>
        <w:tc>
          <w:tcPr>
            <w:tcW w:w="110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6"/>
                <w:szCs w:val="16"/>
                <w:color w:val="262626"/>
              </w:rPr>
              <w:t>discretion</w:t>
            </w:r>
          </w:p>
        </w:tc>
      </w:tr>
      <w:tr>
        <w:trPr>
          <w:trHeight w:val="215"/>
        </w:trPr>
        <w:tc>
          <w:tcPr>
            <w:tcW w:w="20" w:type="dxa"/>
            <w:vAlign w:val="bottom"/>
          </w:tcPr>
          <w:p>
            <w:pPr>
              <w:spacing w:after="0"/>
              <w:rPr>
                <w:sz w:val="18"/>
                <w:szCs w:val="18"/>
                <w:color w:val="auto"/>
              </w:rPr>
            </w:pPr>
          </w:p>
        </w:tc>
        <w:tc>
          <w:tcPr>
            <w:tcW w:w="3180" w:type="dxa"/>
            <w:vAlign w:val="bottom"/>
          </w:tcPr>
          <w:p>
            <w:pPr>
              <w:ind w:left="300"/>
              <w:spacing w:after="0"/>
              <w:rPr>
                <w:sz w:val="20"/>
                <w:szCs w:val="20"/>
                <w:color w:val="auto"/>
              </w:rPr>
            </w:pPr>
            <w:r>
              <w:rPr>
                <w:rFonts w:ascii="Arial" w:cs="Arial" w:eastAsia="Arial" w:hAnsi="Arial"/>
                <w:sz w:val="16"/>
                <w:szCs w:val="16"/>
                <w:color w:val="262626"/>
              </w:rPr>
              <w:t>independent registered public</w:t>
            </w:r>
          </w:p>
        </w:tc>
        <w:tc>
          <w:tcPr>
            <w:tcW w:w="14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6"/>
                <w:szCs w:val="16"/>
                <w:color w:val="262626"/>
              </w:rPr>
              <w:t>represented at the</w:t>
            </w:r>
          </w:p>
        </w:tc>
        <w:tc>
          <w:tcPr>
            <w:tcW w:w="110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6"/>
                <w:szCs w:val="16"/>
                <w:color w:val="262626"/>
              </w:rPr>
              <w:t>to vote</w:t>
            </w:r>
          </w:p>
        </w:tc>
      </w:tr>
      <w:tr>
        <w:trPr>
          <w:trHeight w:val="215"/>
        </w:trPr>
        <w:tc>
          <w:tcPr>
            <w:tcW w:w="20" w:type="dxa"/>
            <w:vAlign w:val="bottom"/>
          </w:tcPr>
          <w:p>
            <w:pPr>
              <w:spacing w:after="0"/>
              <w:rPr>
                <w:sz w:val="18"/>
                <w:szCs w:val="18"/>
                <w:color w:val="auto"/>
              </w:rPr>
            </w:pPr>
          </w:p>
        </w:tc>
        <w:tc>
          <w:tcPr>
            <w:tcW w:w="3180" w:type="dxa"/>
            <w:vAlign w:val="bottom"/>
          </w:tcPr>
          <w:p>
            <w:pPr>
              <w:ind w:left="300"/>
              <w:spacing w:after="0"/>
              <w:rPr>
                <w:sz w:val="20"/>
                <w:szCs w:val="20"/>
                <w:color w:val="auto"/>
              </w:rPr>
            </w:pPr>
            <w:r>
              <w:rPr>
                <w:rFonts w:ascii="Arial" w:cs="Arial" w:eastAsia="Arial" w:hAnsi="Arial"/>
                <w:sz w:val="16"/>
                <w:szCs w:val="16"/>
                <w:color w:val="262626"/>
              </w:rPr>
              <w:t>accounting firm of Broadcom for the</w:t>
            </w:r>
          </w:p>
        </w:tc>
        <w:tc>
          <w:tcPr>
            <w:tcW w:w="14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6"/>
                <w:szCs w:val="16"/>
                <w:color w:val="262626"/>
              </w:rPr>
              <w:t>Annual Meeting and</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80" w:type="dxa"/>
            <w:vAlign w:val="bottom"/>
          </w:tcPr>
          <w:p>
            <w:pPr>
              <w:ind w:left="300"/>
              <w:spacing w:after="0"/>
              <w:rPr>
                <w:sz w:val="20"/>
                <w:szCs w:val="20"/>
                <w:color w:val="auto"/>
              </w:rPr>
            </w:pPr>
            <w:r>
              <w:rPr>
                <w:rFonts w:ascii="Arial" w:cs="Arial" w:eastAsia="Arial" w:hAnsi="Arial"/>
                <w:sz w:val="16"/>
                <w:szCs w:val="16"/>
                <w:color w:val="262626"/>
              </w:rPr>
              <w:t>fiscal year ending November 1, 2026</w:t>
            </w:r>
          </w:p>
        </w:tc>
        <w:tc>
          <w:tcPr>
            <w:tcW w:w="14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6"/>
                <w:szCs w:val="16"/>
                <w:color w:val="262626"/>
              </w:rPr>
              <w:t>entitled to vote</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09"/>
        </w:trPr>
        <w:tc>
          <w:tcPr>
            <w:tcW w:w="20" w:type="dxa"/>
            <w:vAlign w:val="bottom"/>
          </w:tcPr>
          <w:p>
            <w:pPr>
              <w:spacing w:after="0"/>
              <w:rPr>
                <w:sz w:val="9"/>
                <w:szCs w:val="9"/>
                <w:color w:val="auto"/>
              </w:rPr>
            </w:pPr>
          </w:p>
        </w:tc>
        <w:tc>
          <w:tcPr>
            <w:tcW w:w="3180" w:type="dxa"/>
            <w:vAlign w:val="bottom"/>
            <w:tcBorders>
              <w:bottom w:val="single" w:sz="8" w:color="CF0A2C"/>
            </w:tcBorders>
          </w:tcPr>
          <w:p>
            <w:pPr>
              <w:spacing w:after="0"/>
              <w:rPr>
                <w:sz w:val="9"/>
                <w:szCs w:val="9"/>
                <w:color w:val="auto"/>
              </w:rPr>
            </w:pPr>
          </w:p>
        </w:tc>
        <w:tc>
          <w:tcPr>
            <w:tcW w:w="1480" w:type="dxa"/>
            <w:vAlign w:val="bottom"/>
            <w:tcBorders>
              <w:bottom w:val="single" w:sz="8" w:color="CF0A2C"/>
            </w:tcBorders>
          </w:tcPr>
          <w:p>
            <w:pPr>
              <w:spacing w:after="0"/>
              <w:rPr>
                <w:sz w:val="9"/>
                <w:szCs w:val="9"/>
                <w:color w:val="auto"/>
              </w:rPr>
            </w:pPr>
          </w:p>
        </w:tc>
        <w:tc>
          <w:tcPr>
            <w:tcW w:w="1700" w:type="dxa"/>
            <w:vAlign w:val="bottom"/>
            <w:tcBorders>
              <w:bottom w:val="single" w:sz="8" w:color="CF0A2C"/>
            </w:tcBorders>
          </w:tcPr>
          <w:p>
            <w:pPr>
              <w:spacing w:after="0"/>
              <w:rPr>
                <w:sz w:val="9"/>
                <w:szCs w:val="9"/>
                <w:color w:val="auto"/>
              </w:rPr>
            </w:pPr>
          </w:p>
        </w:tc>
        <w:tc>
          <w:tcPr>
            <w:tcW w:w="1100" w:type="dxa"/>
            <w:vAlign w:val="bottom"/>
            <w:tcBorders>
              <w:bottom w:val="single" w:sz="8" w:color="CF0A2C"/>
            </w:tcBorders>
          </w:tcPr>
          <w:p>
            <w:pPr>
              <w:spacing w:after="0"/>
              <w:rPr>
                <w:sz w:val="9"/>
                <w:szCs w:val="9"/>
                <w:color w:val="auto"/>
              </w:rPr>
            </w:pPr>
          </w:p>
        </w:tc>
        <w:tc>
          <w:tcPr>
            <w:tcW w:w="880" w:type="dxa"/>
            <w:vAlign w:val="bottom"/>
            <w:tcBorders>
              <w:bottom w:val="single" w:sz="8" w:color="CF0A2C"/>
            </w:tcBorders>
          </w:tcPr>
          <w:p>
            <w:pPr>
              <w:spacing w:after="0"/>
              <w:rPr>
                <w:sz w:val="9"/>
                <w:szCs w:val="9"/>
                <w:color w:val="auto"/>
              </w:rPr>
            </w:pPr>
          </w:p>
        </w:tc>
      </w:tr>
      <w:tr>
        <w:trPr>
          <w:trHeight w:val="261"/>
        </w:trPr>
        <w:tc>
          <w:tcPr>
            <w:tcW w:w="3200" w:type="dxa"/>
            <w:vAlign w:val="bottom"/>
            <w:gridSpan w:val="2"/>
          </w:tcPr>
          <w:p>
            <w:pPr>
              <w:spacing w:after="0"/>
              <w:rPr>
                <w:sz w:val="20"/>
                <w:szCs w:val="20"/>
                <w:color w:val="auto"/>
              </w:rPr>
            </w:pPr>
            <w:r>
              <w:rPr>
                <w:rFonts w:ascii="Arial" w:cs="Arial" w:eastAsia="Arial" w:hAnsi="Arial"/>
                <w:sz w:val="16"/>
                <w:szCs w:val="16"/>
                <w:color w:val="262626"/>
                <w:w w:val="99"/>
              </w:rPr>
              <w:t>3.    To hold an advisory vote to approve the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CF0A2C"/>
              </w:rPr>
              <w:t>FOR</w:t>
            </w:r>
          </w:p>
        </w:tc>
        <w:tc>
          <w:tcPr>
            <w:tcW w:w="1700" w:type="dxa"/>
            <w:vAlign w:val="bottom"/>
          </w:tcPr>
          <w:p>
            <w:pPr>
              <w:ind w:left="80"/>
              <w:spacing w:after="0"/>
              <w:rPr>
                <w:sz w:val="20"/>
                <w:szCs w:val="20"/>
                <w:color w:val="auto"/>
              </w:rPr>
            </w:pPr>
            <w:r>
              <w:rPr>
                <w:rFonts w:ascii="Arial" w:cs="Arial" w:eastAsia="Arial" w:hAnsi="Arial"/>
                <w:sz w:val="16"/>
                <w:szCs w:val="16"/>
                <w:color w:val="262626"/>
              </w:rPr>
              <w:t>Affirmative vote of a</w:t>
            </w:r>
          </w:p>
        </w:tc>
        <w:tc>
          <w:tcPr>
            <w:tcW w:w="1100" w:type="dxa"/>
            <w:vAlign w:val="bottom"/>
          </w:tcPr>
          <w:p>
            <w:pPr>
              <w:jc w:val="center"/>
              <w:spacing w:after="0"/>
              <w:rPr>
                <w:sz w:val="20"/>
                <w:szCs w:val="20"/>
                <w:color w:val="auto"/>
              </w:rPr>
            </w:pPr>
            <w:r>
              <w:rPr>
                <w:rFonts w:ascii="Arial" w:cs="Arial" w:eastAsia="Arial" w:hAnsi="Arial"/>
                <w:sz w:val="16"/>
                <w:szCs w:val="16"/>
                <w:color w:val="262626"/>
              </w:rPr>
              <w:t>Against</w:t>
            </w:r>
          </w:p>
        </w:tc>
        <w:tc>
          <w:tcPr>
            <w:tcW w:w="880" w:type="dxa"/>
            <w:vAlign w:val="bottom"/>
          </w:tcPr>
          <w:p>
            <w:pPr>
              <w:ind w:left="60"/>
              <w:spacing w:after="0"/>
              <w:rPr>
                <w:sz w:val="20"/>
                <w:szCs w:val="20"/>
                <w:color w:val="auto"/>
              </w:rPr>
            </w:pPr>
            <w:r>
              <w:rPr>
                <w:rFonts w:ascii="Arial" w:cs="Arial" w:eastAsia="Arial" w:hAnsi="Arial"/>
                <w:sz w:val="16"/>
                <w:szCs w:val="16"/>
                <w:color w:val="262626"/>
              </w:rPr>
              <w:t>None</w:t>
            </w:r>
          </w:p>
        </w:tc>
      </w:tr>
      <w:tr>
        <w:trPr>
          <w:trHeight w:val="214"/>
        </w:trPr>
        <w:tc>
          <w:tcPr>
            <w:tcW w:w="20" w:type="dxa"/>
            <w:vAlign w:val="bottom"/>
          </w:tcPr>
          <w:p>
            <w:pPr>
              <w:spacing w:after="0"/>
              <w:rPr>
                <w:sz w:val="18"/>
                <w:szCs w:val="18"/>
                <w:color w:val="auto"/>
              </w:rPr>
            </w:pPr>
          </w:p>
        </w:tc>
        <w:tc>
          <w:tcPr>
            <w:tcW w:w="3180" w:type="dxa"/>
            <w:vAlign w:val="bottom"/>
          </w:tcPr>
          <w:p>
            <w:pPr>
              <w:ind w:left="300"/>
              <w:spacing w:after="0"/>
              <w:rPr>
                <w:sz w:val="20"/>
                <w:szCs w:val="20"/>
                <w:color w:val="auto"/>
              </w:rPr>
            </w:pPr>
            <w:r>
              <w:rPr>
                <w:rFonts w:ascii="Arial" w:cs="Arial" w:eastAsia="Arial" w:hAnsi="Arial"/>
                <w:sz w:val="16"/>
                <w:szCs w:val="16"/>
                <w:color w:val="262626"/>
              </w:rPr>
              <w:t>named executive officer compensation</w:t>
            </w:r>
          </w:p>
        </w:tc>
        <w:tc>
          <w:tcPr>
            <w:tcW w:w="14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6"/>
                <w:szCs w:val="16"/>
                <w:color w:val="262626"/>
              </w:rPr>
              <w:t>majority of votes</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6"/>
                <w:szCs w:val="16"/>
                <w:color w:val="262626"/>
              </w:rPr>
              <w:t>represented at the</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6"/>
                <w:szCs w:val="16"/>
                <w:color w:val="262626"/>
              </w:rPr>
              <w:t>Annual Meeting and</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6"/>
                <w:szCs w:val="16"/>
                <w:color w:val="262626"/>
              </w:rPr>
              <w:t>entitled to vote</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29" w:lineRule="exact"/>
        <w:rPr>
          <w:sz w:val="20"/>
          <w:szCs w:val="20"/>
          <w:color w:val="auto"/>
        </w:rPr>
      </w:pPr>
    </w:p>
    <w:p>
      <w:pPr>
        <w:ind w:left="1620" w:hanging="344"/>
        <w:spacing w:after="0"/>
        <w:tabs>
          <w:tab w:leader="none" w:pos="162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Can I change a vote I have previously cast?</w:t>
      </w:r>
    </w:p>
    <w:p>
      <w:pPr>
        <w:spacing w:after="0" w:line="178" w:lineRule="exact"/>
        <w:rPr>
          <w:rFonts w:ascii="Arial" w:cs="Arial" w:eastAsia="Arial" w:hAnsi="Arial"/>
          <w:sz w:val="16"/>
          <w:szCs w:val="16"/>
          <w:b w:val="1"/>
          <w:bCs w:val="1"/>
          <w:color w:val="auto"/>
        </w:rPr>
      </w:pPr>
    </w:p>
    <w:p>
      <w:pPr>
        <w:ind w:left="1620"/>
        <w:spacing w:after="0"/>
        <w:rPr>
          <w:rFonts w:ascii="Arial" w:cs="Arial" w:eastAsia="Arial" w:hAnsi="Arial"/>
          <w:sz w:val="16"/>
          <w:szCs w:val="16"/>
          <w:b w:val="1"/>
          <w:bCs w:val="1"/>
          <w:color w:val="auto"/>
        </w:rPr>
      </w:pPr>
      <w:r>
        <w:rPr>
          <w:rFonts w:ascii="Arial" w:cs="Arial" w:eastAsia="Arial" w:hAnsi="Arial"/>
          <w:sz w:val="16"/>
          <w:szCs w:val="16"/>
          <w:color w:val="262626"/>
        </w:rPr>
        <w:t>If you are a stockholder of record, you may revoke your proxy and change your vote:</w:t>
      </w:r>
    </w:p>
    <w:p>
      <w:pPr>
        <w:spacing w:after="0" w:line="178" w:lineRule="exact"/>
        <w:rPr>
          <w:rFonts w:ascii="Arial" w:cs="Arial" w:eastAsia="Arial" w:hAnsi="Arial"/>
          <w:sz w:val="16"/>
          <w:szCs w:val="16"/>
          <w:b w:val="1"/>
          <w:bCs w:val="1"/>
          <w:color w:val="auto"/>
        </w:rPr>
      </w:pPr>
    </w:p>
    <w:p>
      <w:pPr>
        <w:ind w:left="2020" w:hanging="234"/>
        <w:spacing w:after="0"/>
        <w:tabs>
          <w:tab w:leader="none" w:pos="2020" w:val="left"/>
        </w:tabs>
        <w:numPr>
          <w:ilvl w:val="1"/>
          <w:numId w:val="56"/>
        </w:numPr>
        <w:rPr>
          <w:rFonts w:ascii="Arial" w:cs="Arial" w:eastAsia="Arial" w:hAnsi="Arial"/>
          <w:sz w:val="16"/>
          <w:szCs w:val="16"/>
          <w:color w:val="262626"/>
        </w:rPr>
      </w:pPr>
      <w:r>
        <w:rPr>
          <w:rFonts w:ascii="Arial" w:cs="Arial" w:eastAsia="Arial" w:hAnsi="Arial"/>
          <w:sz w:val="16"/>
          <w:szCs w:val="16"/>
          <w:color w:val="262626"/>
        </w:rPr>
        <w:t>by submitting a duly executed proxy card bearing a later date;</w:t>
      </w:r>
    </w:p>
    <w:p>
      <w:pPr>
        <w:spacing w:after="0" w:line="218" w:lineRule="exact"/>
        <w:rPr>
          <w:rFonts w:ascii="Arial" w:cs="Arial" w:eastAsia="Arial" w:hAnsi="Arial"/>
          <w:sz w:val="16"/>
          <w:szCs w:val="16"/>
          <w:color w:val="262626"/>
        </w:rPr>
      </w:pPr>
    </w:p>
    <w:p>
      <w:pPr>
        <w:ind w:left="2020" w:hanging="234"/>
        <w:spacing w:after="0"/>
        <w:tabs>
          <w:tab w:leader="none" w:pos="2020" w:val="left"/>
        </w:tabs>
        <w:numPr>
          <w:ilvl w:val="1"/>
          <w:numId w:val="56"/>
        </w:numPr>
        <w:rPr>
          <w:rFonts w:ascii="Arial" w:cs="Arial" w:eastAsia="Arial" w:hAnsi="Arial"/>
          <w:sz w:val="16"/>
          <w:szCs w:val="16"/>
          <w:color w:val="262626"/>
        </w:rPr>
      </w:pPr>
      <w:r>
        <w:rPr>
          <w:rFonts w:ascii="Arial" w:cs="Arial" w:eastAsia="Arial" w:hAnsi="Arial"/>
          <w:sz w:val="16"/>
          <w:szCs w:val="16"/>
          <w:color w:val="262626"/>
        </w:rPr>
        <w:t>by granting a subsequent proxy over the Internet or by telephone;</w:t>
      </w:r>
    </w:p>
    <w:p>
      <w:pPr>
        <w:spacing w:after="0" w:line="218" w:lineRule="exact"/>
        <w:rPr>
          <w:rFonts w:ascii="Arial" w:cs="Arial" w:eastAsia="Arial" w:hAnsi="Arial"/>
          <w:sz w:val="16"/>
          <w:szCs w:val="16"/>
          <w:color w:val="262626"/>
        </w:rPr>
      </w:pPr>
    </w:p>
    <w:p>
      <w:pPr>
        <w:ind w:left="2020" w:hanging="234"/>
        <w:spacing w:after="0"/>
        <w:tabs>
          <w:tab w:leader="none" w:pos="2020" w:val="left"/>
        </w:tabs>
        <w:numPr>
          <w:ilvl w:val="1"/>
          <w:numId w:val="56"/>
        </w:numPr>
        <w:rPr>
          <w:rFonts w:ascii="Arial" w:cs="Arial" w:eastAsia="Arial" w:hAnsi="Arial"/>
          <w:sz w:val="16"/>
          <w:szCs w:val="16"/>
          <w:color w:val="262626"/>
        </w:rPr>
      </w:pPr>
      <w:r>
        <w:rPr>
          <w:rFonts w:ascii="Arial" w:cs="Arial" w:eastAsia="Arial" w:hAnsi="Arial"/>
          <w:sz w:val="16"/>
          <w:szCs w:val="16"/>
          <w:color w:val="262626"/>
        </w:rPr>
        <w:t>by giving written notice of revocation to the Secretary of Broadcom prior to or at the Annual Meeting; or</w:t>
      </w:r>
    </w:p>
    <w:p>
      <w:pPr>
        <w:spacing w:after="0" w:line="218" w:lineRule="exact"/>
        <w:rPr>
          <w:rFonts w:ascii="Arial" w:cs="Arial" w:eastAsia="Arial" w:hAnsi="Arial"/>
          <w:sz w:val="16"/>
          <w:szCs w:val="16"/>
          <w:color w:val="262626"/>
        </w:rPr>
      </w:pPr>
    </w:p>
    <w:p>
      <w:pPr>
        <w:ind w:left="2020" w:hanging="234"/>
        <w:spacing w:after="0"/>
        <w:tabs>
          <w:tab w:leader="none" w:pos="2020" w:val="left"/>
        </w:tabs>
        <w:numPr>
          <w:ilvl w:val="1"/>
          <w:numId w:val="56"/>
        </w:numPr>
        <w:rPr>
          <w:rFonts w:ascii="Arial" w:cs="Arial" w:eastAsia="Arial" w:hAnsi="Arial"/>
          <w:sz w:val="16"/>
          <w:szCs w:val="16"/>
          <w:color w:val="262626"/>
        </w:rPr>
      </w:pPr>
      <w:r>
        <w:rPr>
          <w:rFonts w:ascii="Arial" w:cs="Arial" w:eastAsia="Arial" w:hAnsi="Arial"/>
          <w:sz w:val="16"/>
          <w:szCs w:val="16"/>
          <w:color w:val="262626"/>
        </w:rPr>
        <w:t>by voting in person at the Annual Meeting.</w:t>
      </w:r>
    </w:p>
    <w:p>
      <w:pPr>
        <w:spacing w:after="0" w:line="219" w:lineRule="exact"/>
        <w:rPr>
          <w:sz w:val="20"/>
          <w:szCs w:val="20"/>
          <w:color w:val="auto"/>
        </w:rPr>
      </w:pPr>
    </w:p>
    <w:p>
      <w:pPr>
        <w:jc w:val="both"/>
        <w:ind w:left="1620" w:right="179"/>
        <w:spacing w:after="0" w:line="353" w:lineRule="auto"/>
        <w:rPr>
          <w:sz w:val="20"/>
          <w:szCs w:val="20"/>
          <w:color w:val="auto"/>
        </w:rPr>
      </w:pPr>
      <w:r>
        <w:rPr>
          <w:rFonts w:ascii="Arial" w:cs="Arial" w:eastAsia="Arial" w:hAnsi="Arial"/>
          <w:sz w:val="16"/>
          <w:szCs w:val="16"/>
          <w:color w:val="262626"/>
        </w:rPr>
        <w:t>Your attendance at the Annual Meeting itself will not revoke your proxy unless you give written notice of revocation to the Secretary before your proxy is voted or you vote in person at the Annual Meeting.</w:t>
      </w:r>
    </w:p>
    <w:p>
      <w:pPr>
        <w:spacing w:after="0" w:line="103" w:lineRule="exact"/>
        <w:rPr>
          <w:sz w:val="20"/>
          <w:szCs w:val="20"/>
          <w:color w:val="auto"/>
        </w:rPr>
      </w:pPr>
    </w:p>
    <w:p>
      <w:pPr>
        <w:jc w:val="both"/>
        <w:ind w:left="1620" w:right="179"/>
        <w:spacing w:after="0" w:line="343" w:lineRule="auto"/>
        <w:rPr>
          <w:sz w:val="20"/>
          <w:szCs w:val="20"/>
          <w:color w:val="auto"/>
        </w:rPr>
      </w:pPr>
      <w:r>
        <w:rPr>
          <w:rFonts w:ascii="Arial" w:cs="Arial" w:eastAsia="Arial" w:hAnsi="Arial"/>
          <w:sz w:val="16"/>
          <w:szCs w:val="16"/>
          <w:color w:val="262626"/>
        </w:rPr>
        <w:t>If you are a beneficial owner, you may change or revoke your voting instructions by following the specific directions provided to you by your broker, bank or other nominee, or you may vote in person at the Annual Meeting (see Q.7 above).</w:t>
      </w:r>
    </w:p>
    <w:p>
      <w:pPr>
        <w:spacing w:after="0" w:line="110" w:lineRule="exact"/>
        <w:rPr>
          <w:sz w:val="20"/>
          <w:szCs w:val="20"/>
          <w:color w:val="auto"/>
        </w:rPr>
      </w:pPr>
    </w:p>
    <w:p>
      <w:pPr>
        <w:ind w:left="1620" w:hanging="344"/>
        <w:spacing w:after="0"/>
        <w:tabs>
          <w:tab w:leader="none" w:pos="162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Who will bear the cost of the proxy solicitation?</w:t>
      </w:r>
    </w:p>
    <w:p>
      <w:pPr>
        <w:spacing w:after="0" w:line="205" w:lineRule="exact"/>
        <w:rPr>
          <w:rFonts w:ascii="Arial" w:cs="Arial" w:eastAsia="Arial" w:hAnsi="Arial"/>
          <w:sz w:val="16"/>
          <w:szCs w:val="16"/>
          <w:b w:val="1"/>
          <w:bCs w:val="1"/>
          <w:color w:val="auto"/>
        </w:rPr>
      </w:pPr>
    </w:p>
    <w:p>
      <w:pPr>
        <w:jc w:val="both"/>
        <w:ind w:left="1620" w:right="159"/>
        <w:spacing w:after="0" w:line="336" w:lineRule="auto"/>
        <w:rPr>
          <w:rFonts w:ascii="Arial" w:cs="Arial" w:eastAsia="Arial" w:hAnsi="Arial"/>
          <w:sz w:val="16"/>
          <w:szCs w:val="16"/>
          <w:b w:val="1"/>
          <w:bCs w:val="1"/>
          <w:color w:val="auto"/>
        </w:rPr>
      </w:pPr>
      <w:r>
        <w:rPr>
          <w:rFonts w:ascii="Arial" w:cs="Arial" w:eastAsia="Arial" w:hAnsi="Arial"/>
          <w:sz w:val="16"/>
          <w:szCs w:val="16"/>
          <w:color w:val="262626"/>
        </w:rPr>
        <w:t>Broadcom will bear the cost of soliciting proxies. We have retained D.F. King &amp; Co., Inc., an independent proxy solicitation firm, to assist us in soliciting proxies for an estimated fee of $17,000, plus reimbursement of reasonable expenses. Certain of our officers, directors and employees, without additional compensation, may solicit proxies on Broadcom’s behalf by mail, telephone, e-mail, fax or in person. Broadcom will reimburse banks, brokerage firms and other custodians, nominees, trustees and fiduciaries for reasonable out-of-pocket expenses incurred by them in sending proxy materials to beneficial holders of Broadcom common stock.</w:t>
      </w:r>
    </w:p>
    <w:p>
      <w:pPr>
        <w:spacing w:after="0" w:line="75"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850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43"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Annual Meeting Information</w:t>
      </w:r>
    </w:p>
    <w:p>
      <w:pPr>
        <w:spacing w:after="0" w:line="202" w:lineRule="exact"/>
        <w:rPr>
          <w:sz w:val="20"/>
          <w:szCs w:val="20"/>
          <w:color w:val="auto"/>
        </w:rPr>
      </w:pPr>
    </w:p>
    <w:p>
      <w:pPr>
        <w:ind w:left="1620" w:hanging="344"/>
        <w:spacing w:after="0"/>
        <w:tabs>
          <w:tab w:leader="none" w:pos="162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What constitutes a quorum for the Annual Meeting?</w:t>
      </w:r>
    </w:p>
    <w:p>
      <w:pPr>
        <w:spacing w:after="0" w:line="218" w:lineRule="exact"/>
        <w:rPr>
          <w:rFonts w:ascii="Arial" w:cs="Arial" w:eastAsia="Arial" w:hAnsi="Arial"/>
          <w:sz w:val="16"/>
          <w:szCs w:val="16"/>
          <w:b w:val="1"/>
          <w:bCs w:val="1"/>
          <w:color w:val="auto"/>
        </w:rPr>
      </w:pPr>
    </w:p>
    <w:p>
      <w:pPr>
        <w:jc w:val="both"/>
        <w:ind w:left="1620" w:right="159"/>
        <w:spacing w:after="0" w:line="333" w:lineRule="auto"/>
        <w:rPr>
          <w:rFonts w:ascii="Arial" w:cs="Arial" w:eastAsia="Arial" w:hAnsi="Arial"/>
          <w:sz w:val="16"/>
          <w:szCs w:val="16"/>
          <w:b w:val="1"/>
          <w:bCs w:val="1"/>
          <w:color w:val="auto"/>
        </w:rPr>
      </w:pPr>
      <w:r>
        <w:rPr>
          <w:rFonts w:ascii="Arial" w:cs="Arial" w:eastAsia="Arial" w:hAnsi="Arial"/>
          <w:sz w:val="16"/>
          <w:szCs w:val="16"/>
          <w:color w:val="262626"/>
        </w:rPr>
        <w:t>Holders of at least a majority of all issued and outstanding shares of Broadcom common stock as of the Record Date entitled to vote at the Annual Meeting must be present at the Annual Meeting or represented by proxy to constitute a quorum. Abstentions and “broker non-votes” are counted in determining whether a quorum is present. Once a share is counted as present, it will be deemed present for quorum purposes for the entire Annual Meeting and for any adjournments thereof unless a new record date is set.</w:t>
      </w:r>
    </w:p>
    <w:p>
      <w:pPr>
        <w:spacing w:after="0" w:line="119" w:lineRule="exact"/>
        <w:rPr>
          <w:rFonts w:ascii="Arial" w:cs="Arial" w:eastAsia="Arial" w:hAnsi="Arial"/>
          <w:sz w:val="16"/>
          <w:szCs w:val="16"/>
          <w:b w:val="1"/>
          <w:bCs w:val="1"/>
          <w:color w:val="auto"/>
        </w:rPr>
      </w:pPr>
    </w:p>
    <w:p>
      <w:pPr>
        <w:ind w:left="1620" w:hanging="344"/>
        <w:spacing w:after="0"/>
        <w:tabs>
          <w:tab w:leader="none" w:pos="162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Who is the inspector of elections for the Annual Meeting?</w:t>
      </w:r>
    </w:p>
    <w:p>
      <w:pPr>
        <w:spacing w:after="0" w:line="218" w:lineRule="exact"/>
        <w:rPr>
          <w:rFonts w:ascii="Arial" w:cs="Arial" w:eastAsia="Arial" w:hAnsi="Arial"/>
          <w:sz w:val="16"/>
          <w:szCs w:val="16"/>
          <w:b w:val="1"/>
          <w:bCs w:val="1"/>
          <w:color w:val="auto"/>
        </w:rPr>
      </w:pPr>
    </w:p>
    <w:p>
      <w:pPr>
        <w:jc w:val="both"/>
        <w:ind w:left="1620" w:right="179"/>
        <w:spacing w:after="0" w:line="343" w:lineRule="auto"/>
        <w:rPr>
          <w:rFonts w:ascii="Arial" w:cs="Arial" w:eastAsia="Arial" w:hAnsi="Arial"/>
          <w:sz w:val="16"/>
          <w:szCs w:val="16"/>
          <w:b w:val="1"/>
          <w:bCs w:val="1"/>
          <w:color w:val="auto"/>
        </w:rPr>
      </w:pPr>
      <w:r>
        <w:rPr>
          <w:rFonts w:ascii="Arial" w:cs="Arial" w:eastAsia="Arial" w:hAnsi="Arial"/>
          <w:sz w:val="16"/>
          <w:szCs w:val="16"/>
          <w:color w:val="262626"/>
        </w:rPr>
        <w:t>We have appointed a representative of Broadridge as the inspector of elections of the Annual Meeting. The inspector of elections will tabulate all votes including affirmative votes, negative votes, abstentions and broker non-votes. The voting results will be published in a Current Report on Form 8-K.</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CF0A2C"/>
        </w:rPr>
        <w:t>Stockholder Proposals and Director Nominations</w:t>
      </w:r>
    </w:p>
    <w:p>
      <w:pPr>
        <w:spacing w:after="0" w:line="202" w:lineRule="exact"/>
        <w:rPr>
          <w:sz w:val="20"/>
          <w:szCs w:val="20"/>
          <w:color w:val="auto"/>
        </w:rPr>
      </w:pPr>
    </w:p>
    <w:p>
      <w:pPr>
        <w:ind w:left="1620" w:right="179" w:hanging="344"/>
        <w:spacing w:after="0" w:line="381" w:lineRule="auto"/>
        <w:tabs>
          <w:tab w:leader="none" w:pos="162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Can stockholders submit proposals for inclusion in Broadcom’s proxy materials for the next annual meeting?</w:t>
      </w:r>
    </w:p>
    <w:p>
      <w:pPr>
        <w:spacing w:after="0" w:line="60" w:lineRule="exact"/>
        <w:rPr>
          <w:rFonts w:ascii="Arial" w:cs="Arial" w:eastAsia="Arial" w:hAnsi="Arial"/>
          <w:sz w:val="16"/>
          <w:szCs w:val="16"/>
          <w:b w:val="1"/>
          <w:bCs w:val="1"/>
          <w:color w:val="auto"/>
        </w:rPr>
      </w:pPr>
    </w:p>
    <w:p>
      <w:pPr>
        <w:jc w:val="both"/>
        <w:ind w:left="1620" w:right="179"/>
        <w:spacing w:after="0" w:line="343" w:lineRule="auto"/>
        <w:rPr>
          <w:rFonts w:ascii="Arial" w:cs="Arial" w:eastAsia="Arial" w:hAnsi="Arial"/>
          <w:sz w:val="16"/>
          <w:szCs w:val="16"/>
          <w:b w:val="1"/>
          <w:bCs w:val="1"/>
          <w:color w:val="auto"/>
        </w:rPr>
      </w:pPr>
      <w:r>
        <w:rPr>
          <w:rFonts w:ascii="Arial" w:cs="Arial" w:eastAsia="Arial" w:hAnsi="Arial"/>
          <w:sz w:val="16"/>
          <w:szCs w:val="16"/>
          <w:color w:val="262626"/>
        </w:rPr>
        <w:t>Proposals (other than a proposal for director nomination) must comply with the procedures and requirements set forth in Rule 14a-8 under the Exchange Act and be received no later than November 2, 2026 to be considered for inclusion in the proxy materials for our 2027 annual meeting of stockholders (“2027 Annual Meeting”).</w:t>
      </w:r>
    </w:p>
    <w:p>
      <w:pPr>
        <w:spacing w:after="0" w:line="110" w:lineRule="exact"/>
        <w:rPr>
          <w:rFonts w:ascii="Arial" w:cs="Arial" w:eastAsia="Arial" w:hAnsi="Arial"/>
          <w:sz w:val="16"/>
          <w:szCs w:val="16"/>
          <w:b w:val="1"/>
          <w:bCs w:val="1"/>
          <w:color w:val="auto"/>
        </w:rPr>
      </w:pPr>
    </w:p>
    <w:p>
      <w:pPr>
        <w:ind w:left="1620" w:hanging="344"/>
        <w:spacing w:after="0"/>
        <w:tabs>
          <w:tab w:leader="none" w:pos="162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Can stockholders nominate directors for the next annual meeting using proxy access?</w:t>
      </w:r>
    </w:p>
    <w:p>
      <w:pPr>
        <w:spacing w:after="0" w:line="218" w:lineRule="exact"/>
        <w:rPr>
          <w:rFonts w:ascii="Arial" w:cs="Arial" w:eastAsia="Arial" w:hAnsi="Arial"/>
          <w:sz w:val="16"/>
          <w:szCs w:val="16"/>
          <w:b w:val="1"/>
          <w:bCs w:val="1"/>
          <w:color w:val="auto"/>
        </w:rPr>
      </w:pPr>
    </w:p>
    <w:p>
      <w:pPr>
        <w:jc w:val="both"/>
        <w:ind w:left="1620" w:right="179"/>
        <w:spacing w:after="0" w:line="333" w:lineRule="auto"/>
        <w:rPr>
          <w:rFonts w:ascii="Arial" w:cs="Arial" w:eastAsia="Arial" w:hAnsi="Arial"/>
          <w:sz w:val="16"/>
          <w:szCs w:val="16"/>
          <w:b w:val="1"/>
          <w:bCs w:val="1"/>
          <w:color w:val="auto"/>
        </w:rPr>
      </w:pPr>
      <w:r>
        <w:rPr>
          <w:rFonts w:ascii="Arial" w:cs="Arial" w:eastAsia="Arial" w:hAnsi="Arial"/>
          <w:sz w:val="16"/>
          <w:szCs w:val="16"/>
          <w:color w:val="262626"/>
        </w:rPr>
        <w:t>A stockholder, or a group of up to 20 stockholders, that has owned continuously for at least three years shares of Broadcom common stock representing an aggregate of at least 3% of our outstanding shares, may nominate and include in our proxy materials director nominees constituting up to 20% of our Board, provided that the stockholder(s) and nominee(s) satisfy the requirements in our Bylaws. Notice of proxy access for director nominees must be received no earlier than the close of business on October 3, 2026 and no later than the close of business on November 2, 2026.</w:t>
      </w:r>
    </w:p>
    <w:p>
      <w:pPr>
        <w:spacing w:after="0" w:line="119" w:lineRule="exact"/>
        <w:rPr>
          <w:rFonts w:ascii="Arial" w:cs="Arial" w:eastAsia="Arial" w:hAnsi="Arial"/>
          <w:sz w:val="16"/>
          <w:szCs w:val="16"/>
          <w:b w:val="1"/>
          <w:bCs w:val="1"/>
          <w:color w:val="auto"/>
        </w:rPr>
      </w:pPr>
    </w:p>
    <w:p>
      <w:pPr>
        <w:ind w:left="1620" w:right="179" w:hanging="344"/>
        <w:spacing w:after="0" w:line="364" w:lineRule="auto"/>
        <w:tabs>
          <w:tab w:leader="none" w:pos="162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deadline for stockholders that seek to submit proposals, including director nominations, for consideration at the next annual meeting but do not seek inclusion in Broadcom’s proxy materials?</w:t>
      </w:r>
    </w:p>
    <w:p>
      <w:pPr>
        <w:spacing w:after="0" w:line="72" w:lineRule="exact"/>
        <w:rPr>
          <w:rFonts w:ascii="Arial" w:cs="Arial" w:eastAsia="Arial" w:hAnsi="Arial"/>
          <w:sz w:val="16"/>
          <w:szCs w:val="16"/>
          <w:b w:val="1"/>
          <w:bCs w:val="1"/>
          <w:color w:val="auto"/>
        </w:rPr>
      </w:pPr>
    </w:p>
    <w:p>
      <w:pPr>
        <w:jc w:val="both"/>
        <w:ind w:left="1620" w:right="159"/>
        <w:spacing w:after="0" w:line="333" w:lineRule="auto"/>
        <w:rPr>
          <w:rFonts w:ascii="Arial" w:cs="Arial" w:eastAsia="Arial" w:hAnsi="Arial"/>
          <w:sz w:val="16"/>
          <w:szCs w:val="16"/>
          <w:b w:val="1"/>
          <w:bCs w:val="1"/>
          <w:color w:val="auto"/>
        </w:rPr>
      </w:pPr>
      <w:r>
        <w:rPr>
          <w:rFonts w:ascii="Arial" w:cs="Arial" w:eastAsia="Arial" w:hAnsi="Arial"/>
          <w:sz w:val="16"/>
          <w:szCs w:val="16"/>
          <w:color w:val="262626"/>
        </w:rPr>
        <w:t>Director nominations and other proposals for consideration at the 2027 Annual Meeting, but not for inclusion in the proxy materials, must be received no earlier than the close of business on December 21, 2026 and no later than the close of business on January 20, 2027. Notice of director nominations and other proposals must be submitted by a stockholder of record and must set forth the information required by our NCG Committee charter and Bylaws. In addition, to comply with the SEC’s universal proxy rules, stockholders who intend to solicit proxies in support of director nominees other than our nominees must provide notice that sets forth the information required by Rule 14a-19 under the Exchange Act no later than February 19, 2027. If you are a beneficial owner of shares held in street name, you can contact the organization that holds your shares for information about how to register your shares directly in your name as a stockholder of record.</w:t>
      </w:r>
    </w:p>
    <w:p>
      <w:pPr>
        <w:spacing w:after="0" w:line="104" w:lineRule="exact"/>
        <w:rPr>
          <w:rFonts w:ascii="Arial" w:cs="Arial" w:eastAsia="Arial" w:hAnsi="Arial"/>
          <w:sz w:val="16"/>
          <w:szCs w:val="16"/>
          <w:b w:val="1"/>
          <w:bCs w:val="1"/>
          <w:color w:val="auto"/>
        </w:rPr>
      </w:pPr>
    </w:p>
    <w:p>
      <w:pPr>
        <w:ind w:left="1620" w:right="179" w:hanging="344"/>
        <w:spacing w:after="0" w:line="381" w:lineRule="auto"/>
        <w:tabs>
          <w:tab w:leader="none" w:pos="162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required delivery method for stockholder proposals and director nominations for the next annual meeting?</w:t>
      </w:r>
    </w:p>
    <w:p>
      <w:pPr>
        <w:spacing w:after="0" w:line="60" w:lineRule="exact"/>
        <w:rPr>
          <w:rFonts w:ascii="Arial" w:cs="Arial" w:eastAsia="Arial" w:hAnsi="Arial"/>
          <w:sz w:val="16"/>
          <w:szCs w:val="16"/>
          <w:b w:val="1"/>
          <w:bCs w:val="1"/>
          <w:color w:val="auto"/>
        </w:rPr>
      </w:pPr>
    </w:p>
    <w:p>
      <w:pPr>
        <w:jc w:val="both"/>
        <w:ind w:left="1620" w:right="159"/>
        <w:spacing w:after="0" w:line="343" w:lineRule="auto"/>
        <w:rPr>
          <w:rFonts w:ascii="Arial" w:cs="Arial" w:eastAsia="Arial" w:hAnsi="Arial"/>
          <w:sz w:val="16"/>
          <w:szCs w:val="16"/>
          <w:b w:val="1"/>
          <w:bCs w:val="1"/>
          <w:color w:val="auto"/>
        </w:rPr>
      </w:pPr>
      <w:r>
        <w:rPr>
          <w:rFonts w:ascii="Arial" w:cs="Arial" w:eastAsia="Arial" w:hAnsi="Arial"/>
          <w:sz w:val="16"/>
          <w:szCs w:val="16"/>
          <w:color w:val="262626"/>
        </w:rPr>
        <w:t>Notices of stockholder proposals and the intent to nominate directors at the 2027 Annual Meeting, and all supporting materials required by the NCG Committee, our Bylaws or rules under the Exchange Act, must be submitted by one of the following means:</w:t>
      </w:r>
    </w:p>
    <w:p>
      <w:pPr>
        <w:spacing w:after="0" w:line="110" w:lineRule="exact"/>
        <w:rPr>
          <w:rFonts w:ascii="Arial" w:cs="Arial" w:eastAsia="Arial" w:hAnsi="Arial"/>
          <w:sz w:val="16"/>
          <w:szCs w:val="16"/>
          <w:b w:val="1"/>
          <w:bCs w:val="1"/>
          <w:color w:val="auto"/>
        </w:rPr>
      </w:pPr>
    </w:p>
    <w:p>
      <w:pPr>
        <w:ind w:left="2020" w:hanging="234"/>
        <w:spacing w:after="0"/>
        <w:tabs>
          <w:tab w:leader="none" w:pos="2020" w:val="left"/>
        </w:tabs>
        <w:numPr>
          <w:ilvl w:val="1"/>
          <w:numId w:val="59"/>
        </w:numPr>
        <w:rPr>
          <w:rFonts w:ascii="Arial" w:cs="Arial" w:eastAsia="Arial" w:hAnsi="Arial"/>
          <w:sz w:val="16"/>
          <w:szCs w:val="16"/>
          <w:color w:val="262626"/>
        </w:rPr>
      </w:pPr>
      <w:r>
        <w:rPr>
          <w:rFonts w:ascii="Arial" w:cs="Arial" w:eastAsia="Arial" w:hAnsi="Arial"/>
          <w:sz w:val="16"/>
          <w:szCs w:val="16"/>
          <w:color w:val="262626"/>
        </w:rPr>
        <w:t>By Mail: Broadcom Inc., 3421 Hillview Avenue, Palo Alto, California 94304, Attention: Secretary</w:t>
      </w:r>
    </w:p>
    <w:p>
      <w:pPr>
        <w:spacing w:after="0" w:line="218" w:lineRule="exact"/>
        <w:rPr>
          <w:rFonts w:ascii="Arial" w:cs="Arial" w:eastAsia="Arial" w:hAnsi="Arial"/>
          <w:sz w:val="16"/>
          <w:szCs w:val="16"/>
          <w:color w:val="262626"/>
        </w:rPr>
      </w:pPr>
    </w:p>
    <w:p>
      <w:pPr>
        <w:ind w:left="2020" w:hanging="234"/>
        <w:spacing w:after="0"/>
        <w:tabs>
          <w:tab w:leader="none" w:pos="2020" w:val="left"/>
        </w:tabs>
        <w:numPr>
          <w:ilvl w:val="1"/>
          <w:numId w:val="59"/>
        </w:numPr>
        <w:rPr>
          <w:rFonts w:ascii="Arial" w:cs="Arial" w:eastAsia="Arial" w:hAnsi="Arial"/>
          <w:sz w:val="16"/>
          <w:szCs w:val="16"/>
          <w:color w:val="262626"/>
        </w:rPr>
      </w:pPr>
      <w:r>
        <w:rPr>
          <w:rFonts w:ascii="Arial" w:cs="Arial" w:eastAsia="Arial" w:hAnsi="Arial"/>
          <w:sz w:val="16"/>
          <w:szCs w:val="16"/>
          <w:color w:val="262626"/>
        </w:rPr>
        <w:t>By Email: compliance.officer@broadcom.com</w:t>
      </w:r>
    </w:p>
    <w:p>
      <w:pPr>
        <w:sectPr>
          <w:pgSz w:w="11900" w:h="16838" w:orient="portrait"/>
          <w:cols w:equalWidth="0" w:num="1">
            <w:col w:w="10139"/>
          </w:cols>
          <w:pgMar w:left="320" w:top="480" w:right="1440" w:bottom="1440" w:gutter="0" w:footer="0" w:header="0"/>
        </w:sectPr>
      </w:pPr>
    </w:p>
    <w:p>
      <w:pPr>
        <w:spacing w:after="0" w:line="189" w:lineRule="exact"/>
        <w:rPr>
          <w:sz w:val="20"/>
          <w:szCs w:val="20"/>
          <w:color w:val="auto"/>
        </w:rPr>
      </w:pPr>
    </w:p>
    <w:p>
      <w:pPr>
        <w:ind w:left="9800"/>
        <w:spacing w:after="0"/>
        <w:rPr>
          <w:sz w:val="20"/>
          <w:szCs w:val="20"/>
          <w:color w:val="auto"/>
        </w:rPr>
      </w:pPr>
      <w:r>
        <w:rPr>
          <w:rFonts w:ascii="Arial" w:cs="Arial" w:eastAsia="Arial" w:hAnsi="Arial"/>
          <w:sz w:val="15"/>
          <w:szCs w:val="15"/>
          <w:color w:val="262626"/>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768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3410" cy="7683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52" w:lineRule="exact"/>
        <w:rPr>
          <w:sz w:val="20"/>
          <w:szCs w:val="20"/>
          <w:color w:val="auto"/>
        </w:rPr>
      </w:pPr>
    </w:p>
    <w:p>
      <w:pPr>
        <w:jc w:val="both"/>
        <w:ind w:left="1620" w:right="179"/>
        <w:spacing w:after="0" w:line="339" w:lineRule="auto"/>
        <w:rPr>
          <w:sz w:val="20"/>
          <w:szCs w:val="20"/>
          <w:color w:val="auto"/>
        </w:rPr>
      </w:pPr>
      <w:r>
        <w:rPr>
          <w:rFonts w:ascii="Arial" w:cs="Arial" w:eastAsia="Arial" w:hAnsi="Arial"/>
          <w:sz w:val="16"/>
          <w:szCs w:val="16"/>
          <w:color w:val="262626"/>
        </w:rPr>
        <w:t>Broadcom reserves the right to reject, rule out of order, or take other appropriate action with respect to any proposal that does not comply with these and other applicable requirements. Qualified director candidates suggested by holders of Broadcom common stock will be evaluated in the same manner as any other candidate for election to our Board (other than those standing for re-election).</w:t>
      </w:r>
    </w:p>
    <w:p>
      <w:pPr>
        <w:spacing w:after="0" w:line="348" w:lineRule="exact"/>
        <w:rPr>
          <w:sz w:val="20"/>
          <w:szCs w:val="20"/>
          <w:color w:val="auto"/>
        </w:rPr>
      </w:pPr>
    </w:p>
    <w:p>
      <w:pPr>
        <w:ind w:left="4560"/>
        <w:spacing w:after="0"/>
        <w:rPr>
          <w:sz w:val="20"/>
          <w:szCs w:val="20"/>
          <w:color w:val="auto"/>
        </w:rPr>
      </w:pPr>
      <w:r>
        <w:rPr>
          <w:rFonts w:ascii="Arial" w:cs="Arial" w:eastAsia="Arial" w:hAnsi="Arial"/>
          <w:sz w:val="25"/>
          <w:szCs w:val="25"/>
          <w:color w:val="CF0A2C"/>
        </w:rPr>
        <w:t>OTHER MATTERS</w:t>
      </w:r>
    </w:p>
    <w:p>
      <w:pPr>
        <w:spacing w:after="0" w:line="258" w:lineRule="exact"/>
        <w:rPr>
          <w:sz w:val="20"/>
          <w:szCs w:val="20"/>
          <w:color w:val="auto"/>
        </w:rPr>
      </w:pPr>
    </w:p>
    <w:p>
      <w:pPr>
        <w:jc w:val="both"/>
        <w:ind w:left="1280" w:right="159"/>
        <w:spacing w:after="0" w:line="343" w:lineRule="auto"/>
        <w:rPr>
          <w:sz w:val="20"/>
          <w:szCs w:val="20"/>
          <w:color w:val="auto"/>
        </w:rPr>
      </w:pPr>
      <w:r>
        <w:rPr>
          <w:rFonts w:ascii="Arial" w:cs="Arial" w:eastAsia="Arial" w:hAnsi="Arial"/>
          <w:sz w:val="16"/>
          <w:szCs w:val="16"/>
          <w:color w:val="262626"/>
        </w:rPr>
        <w:t>Our management does not know of any matters to be presented at the Annual Meeting other than those set forth in this Proxy Statement. If any other matters are properly presented for a vote, the enclosed proxy confers discretionary authority to the Proxy Holders.</w:t>
      </w:r>
    </w:p>
    <w:p>
      <w:pPr>
        <w:spacing w:after="0" w:line="80" w:lineRule="exact"/>
        <w:rPr>
          <w:sz w:val="20"/>
          <w:szCs w:val="20"/>
          <w:color w:val="auto"/>
        </w:rPr>
      </w:pPr>
    </w:p>
    <w:p>
      <w:pPr>
        <w:ind w:left="1280"/>
        <w:spacing w:after="0"/>
        <w:rPr>
          <w:sz w:val="20"/>
          <w:szCs w:val="20"/>
          <w:color w:val="auto"/>
        </w:rPr>
      </w:pPr>
      <w:r>
        <w:rPr>
          <w:rFonts w:ascii="Arial" w:cs="Arial" w:eastAsia="Arial" w:hAnsi="Arial"/>
          <w:sz w:val="15"/>
          <w:szCs w:val="15"/>
          <w:color w:val="262626"/>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-97790</wp:posOffset>
            </wp:positionV>
            <wp:extent cx="605155" cy="850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5155"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325" w:lineRule="exact"/>
        <w:rPr>
          <w:sz w:val="20"/>
          <w:szCs w:val="20"/>
          <w:color w:val="auto"/>
        </w:rPr>
      </w:pPr>
    </w:p>
    <w:tbl>
      <w:tblPr>
        <w:tblLayout w:type="fixed"/>
        <w:tblInd w:w="128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262626"/>
              </w:rPr>
              <w:t>Appendix A</w:t>
            </w:r>
          </w:p>
        </w:tc>
      </w:tr>
      <w:tr>
        <w:trPr>
          <w:trHeight w:val="330"/>
        </w:trPr>
        <w:tc>
          <w:tcPr>
            <w:tcW w:w="7660" w:type="dxa"/>
            <w:vAlign w:val="bottom"/>
            <w:gridSpan w:val="8"/>
          </w:tcPr>
          <w:p>
            <w:pPr>
              <w:ind w:left="2500"/>
              <w:spacing w:after="0"/>
              <w:rPr>
                <w:sz w:val="20"/>
                <w:szCs w:val="20"/>
                <w:color w:val="auto"/>
              </w:rPr>
            </w:pPr>
            <w:r>
              <w:rPr>
                <w:rFonts w:ascii="Arial" w:cs="Arial" w:eastAsia="Arial" w:hAnsi="Arial"/>
                <w:sz w:val="16"/>
                <w:szCs w:val="16"/>
                <w:b w:val="1"/>
                <w:bCs w:val="1"/>
                <w:color w:val="262626"/>
              </w:rPr>
              <w:t>Reconciliation of Non-GAAP Financial Measures</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8"/>
        </w:trPr>
        <w:tc>
          <w:tcPr>
            <w:tcW w:w="4580" w:type="dxa"/>
            <w:vAlign w:val="bottom"/>
            <w:tcBorders>
              <w:bottom w:val="single" w:sz="8" w:color="CF0A2C"/>
            </w:tcBorders>
          </w:tcPr>
          <w:p>
            <w:pPr>
              <w:spacing w:after="0"/>
              <w:rPr>
                <w:sz w:val="11"/>
                <w:szCs w:val="11"/>
                <w:color w:val="auto"/>
              </w:rPr>
            </w:pPr>
          </w:p>
        </w:tc>
        <w:tc>
          <w:tcPr>
            <w:tcW w:w="760" w:type="dxa"/>
            <w:vAlign w:val="bottom"/>
            <w:tcBorders>
              <w:bottom w:val="single" w:sz="8" w:color="CF0A2C"/>
            </w:tcBorders>
          </w:tcPr>
          <w:p>
            <w:pPr>
              <w:spacing w:after="0"/>
              <w:rPr>
                <w:sz w:val="11"/>
                <w:szCs w:val="11"/>
                <w:color w:val="auto"/>
              </w:rPr>
            </w:pPr>
          </w:p>
        </w:tc>
        <w:tc>
          <w:tcPr>
            <w:tcW w:w="20" w:type="dxa"/>
            <w:vAlign w:val="bottom"/>
            <w:tcBorders>
              <w:bottom w:val="single" w:sz="8" w:color="CF0A2C"/>
            </w:tcBorders>
          </w:tcPr>
          <w:p>
            <w:pPr>
              <w:spacing w:after="0"/>
              <w:rPr>
                <w:sz w:val="11"/>
                <w:szCs w:val="11"/>
                <w:color w:val="auto"/>
              </w:rPr>
            </w:pPr>
          </w:p>
        </w:tc>
        <w:tc>
          <w:tcPr>
            <w:tcW w:w="580" w:type="dxa"/>
            <w:vAlign w:val="bottom"/>
            <w:tcBorders>
              <w:bottom w:val="single" w:sz="8" w:color="CF0A2C"/>
            </w:tcBorders>
          </w:tcPr>
          <w:p>
            <w:pPr>
              <w:spacing w:after="0"/>
              <w:rPr>
                <w:sz w:val="11"/>
                <w:szCs w:val="11"/>
                <w:color w:val="auto"/>
              </w:rPr>
            </w:pPr>
          </w:p>
        </w:tc>
        <w:tc>
          <w:tcPr>
            <w:tcW w:w="120" w:type="dxa"/>
            <w:vAlign w:val="bottom"/>
            <w:tcBorders>
              <w:bottom w:val="single" w:sz="8" w:color="CF0A2C"/>
            </w:tcBorders>
          </w:tcPr>
          <w:p>
            <w:pPr>
              <w:spacing w:after="0"/>
              <w:rPr>
                <w:sz w:val="11"/>
                <w:szCs w:val="11"/>
                <w:color w:val="auto"/>
              </w:rPr>
            </w:pPr>
          </w:p>
        </w:tc>
        <w:tc>
          <w:tcPr>
            <w:tcW w:w="1600" w:type="dxa"/>
            <w:vAlign w:val="bottom"/>
            <w:tcBorders>
              <w:bottom w:val="single" w:sz="8" w:color="CF0A2C"/>
            </w:tcBorders>
            <w:gridSpan w:val="3"/>
          </w:tcPr>
          <w:p>
            <w:pPr>
              <w:spacing w:after="0"/>
              <w:rPr>
                <w:sz w:val="11"/>
                <w:szCs w:val="11"/>
                <w:color w:val="auto"/>
              </w:rPr>
            </w:pPr>
          </w:p>
        </w:tc>
        <w:tc>
          <w:tcPr>
            <w:tcW w:w="400" w:type="dxa"/>
            <w:vAlign w:val="bottom"/>
            <w:tcBorders>
              <w:bottom w:val="single" w:sz="8" w:color="CF0A2C"/>
            </w:tcBorders>
          </w:tcPr>
          <w:p>
            <w:pPr>
              <w:spacing w:after="0"/>
              <w:rPr>
                <w:sz w:val="11"/>
                <w:szCs w:val="11"/>
                <w:color w:val="auto"/>
              </w:rPr>
            </w:pPr>
          </w:p>
        </w:tc>
        <w:tc>
          <w:tcPr>
            <w:tcW w:w="580" w:type="dxa"/>
            <w:vAlign w:val="bottom"/>
            <w:tcBorders>
              <w:bottom w:val="single" w:sz="8" w:color="CF0A2C"/>
            </w:tcBorders>
          </w:tcPr>
          <w:p>
            <w:pPr>
              <w:spacing w:after="0"/>
              <w:rPr>
                <w:sz w:val="11"/>
                <w:szCs w:val="11"/>
                <w:color w:val="auto"/>
              </w:rPr>
            </w:pPr>
          </w:p>
        </w:tc>
        <w:tc>
          <w:tcPr>
            <w:tcW w:w="60" w:type="dxa"/>
            <w:vAlign w:val="bottom"/>
            <w:tcBorders>
              <w:bottom w:val="single" w:sz="8" w:color="CF0A2C"/>
            </w:tcBorders>
          </w:tcPr>
          <w:p>
            <w:pPr>
              <w:spacing w:after="0"/>
              <w:rPr>
                <w:sz w:val="11"/>
                <w:szCs w:val="11"/>
                <w:color w:val="auto"/>
              </w:rPr>
            </w:pPr>
          </w:p>
        </w:tc>
      </w:tr>
      <w:tr>
        <w:trPr>
          <w:trHeight w:val="339"/>
        </w:trPr>
        <w:tc>
          <w:tcPr>
            <w:tcW w:w="4580" w:type="dxa"/>
            <w:vAlign w:val="bottom"/>
          </w:tcPr>
          <w:p>
            <w:pPr>
              <w:spacing w:after="0"/>
              <w:rPr>
                <w:sz w:val="24"/>
                <w:szCs w:val="24"/>
                <w:color w:val="auto"/>
              </w:rPr>
            </w:pPr>
          </w:p>
        </w:tc>
        <w:tc>
          <w:tcPr>
            <w:tcW w:w="760" w:type="dxa"/>
            <w:vAlign w:val="bottom"/>
            <w:tcBorders>
              <w:bottom w:val="single" w:sz="8" w:color="262626"/>
            </w:tcBorders>
          </w:tcPr>
          <w:p>
            <w:pPr>
              <w:spacing w:after="0"/>
              <w:rPr>
                <w:sz w:val="24"/>
                <w:szCs w:val="24"/>
                <w:color w:val="auto"/>
              </w:rPr>
            </w:pPr>
          </w:p>
        </w:tc>
        <w:tc>
          <w:tcPr>
            <w:tcW w:w="20" w:type="dxa"/>
            <w:vAlign w:val="bottom"/>
            <w:tcBorders>
              <w:bottom w:val="single" w:sz="8" w:color="262626"/>
            </w:tcBorders>
          </w:tcPr>
          <w:p>
            <w:pPr>
              <w:spacing w:after="0"/>
              <w:rPr>
                <w:sz w:val="24"/>
                <w:szCs w:val="24"/>
                <w:color w:val="auto"/>
              </w:rPr>
            </w:pPr>
          </w:p>
        </w:tc>
        <w:tc>
          <w:tcPr>
            <w:tcW w:w="580" w:type="dxa"/>
            <w:vAlign w:val="bottom"/>
            <w:tcBorders>
              <w:bottom w:val="single" w:sz="8" w:color="262626"/>
            </w:tcBorders>
          </w:tcPr>
          <w:p>
            <w:pPr>
              <w:spacing w:after="0"/>
              <w:rPr>
                <w:sz w:val="24"/>
                <w:szCs w:val="24"/>
                <w:color w:val="auto"/>
              </w:rPr>
            </w:pPr>
          </w:p>
        </w:tc>
        <w:tc>
          <w:tcPr>
            <w:tcW w:w="120" w:type="dxa"/>
            <w:vAlign w:val="bottom"/>
            <w:tcBorders>
              <w:bottom w:val="single" w:sz="8" w:color="262626"/>
            </w:tcBorders>
          </w:tcPr>
          <w:p>
            <w:pPr>
              <w:spacing w:after="0"/>
              <w:rPr>
                <w:sz w:val="24"/>
                <w:szCs w:val="24"/>
                <w:color w:val="auto"/>
              </w:rPr>
            </w:pPr>
          </w:p>
        </w:tc>
        <w:tc>
          <w:tcPr>
            <w:tcW w:w="1600" w:type="dxa"/>
            <w:vAlign w:val="bottom"/>
            <w:tcBorders>
              <w:bottom w:val="single" w:sz="8" w:color="262626"/>
            </w:tcBorders>
            <w:gridSpan w:val="3"/>
          </w:tcPr>
          <w:p>
            <w:pPr>
              <w:jc w:val="right"/>
              <w:ind w:right="120"/>
              <w:spacing w:after="0"/>
              <w:rPr>
                <w:sz w:val="20"/>
                <w:szCs w:val="20"/>
                <w:color w:val="auto"/>
              </w:rPr>
            </w:pPr>
            <w:r>
              <w:rPr>
                <w:rFonts w:ascii="Arial" w:cs="Arial" w:eastAsia="Arial" w:hAnsi="Arial"/>
                <w:sz w:val="16"/>
                <w:szCs w:val="16"/>
                <w:b w:val="1"/>
                <w:bCs w:val="1"/>
                <w:color w:val="262626"/>
              </w:rPr>
              <w:t>Fiscal Year Ended</w:t>
            </w:r>
          </w:p>
        </w:tc>
        <w:tc>
          <w:tcPr>
            <w:tcW w:w="400" w:type="dxa"/>
            <w:vAlign w:val="bottom"/>
            <w:tcBorders>
              <w:bottom w:val="single" w:sz="8" w:color="262626"/>
            </w:tcBorders>
          </w:tcPr>
          <w:p>
            <w:pPr>
              <w:spacing w:after="0"/>
              <w:rPr>
                <w:sz w:val="24"/>
                <w:szCs w:val="24"/>
                <w:color w:val="auto"/>
              </w:rPr>
            </w:pPr>
          </w:p>
        </w:tc>
        <w:tc>
          <w:tcPr>
            <w:tcW w:w="580" w:type="dxa"/>
            <w:vAlign w:val="bottom"/>
            <w:tcBorders>
              <w:bottom w:val="single" w:sz="8" w:color="262626"/>
            </w:tcBorders>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r>
      <w:tr>
        <w:trPr>
          <w:trHeight w:val="265"/>
        </w:trPr>
        <w:tc>
          <w:tcPr>
            <w:tcW w:w="4580" w:type="dxa"/>
            <w:vAlign w:val="bottom"/>
          </w:tcPr>
          <w:p>
            <w:pPr>
              <w:spacing w:after="0"/>
              <w:rPr>
                <w:sz w:val="23"/>
                <w:szCs w:val="23"/>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6"/>
                <w:szCs w:val="16"/>
                <w:b w:val="1"/>
                <w:bCs w:val="1"/>
                <w:color w:val="262626"/>
              </w:rPr>
              <w:t>November 2,</w:t>
            </w:r>
          </w:p>
        </w:tc>
        <w:tc>
          <w:tcPr>
            <w:tcW w:w="16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262626"/>
              </w:rPr>
              <w:t>November 3,</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262626"/>
              </w:rPr>
              <w:t>October 29,</w:t>
            </w:r>
          </w:p>
        </w:tc>
      </w:tr>
      <w:tr>
        <w:trPr>
          <w:trHeight w:val="222"/>
        </w:trPr>
        <w:tc>
          <w:tcPr>
            <w:tcW w:w="4580" w:type="dxa"/>
            <w:vAlign w:val="bottom"/>
          </w:tcPr>
          <w:p>
            <w:pPr>
              <w:spacing w:after="0"/>
              <w:rPr>
                <w:sz w:val="19"/>
                <w:szCs w:val="19"/>
                <w:color w:val="auto"/>
              </w:rPr>
            </w:pPr>
          </w:p>
        </w:tc>
        <w:tc>
          <w:tcPr>
            <w:tcW w:w="13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262626"/>
              </w:rPr>
              <w:t>2025</w:t>
            </w:r>
          </w:p>
        </w:tc>
        <w:tc>
          <w:tcPr>
            <w:tcW w:w="120" w:type="dxa"/>
            <w:vAlign w:val="bottom"/>
          </w:tcPr>
          <w:p>
            <w:pPr>
              <w:spacing w:after="0"/>
              <w:rPr>
                <w:sz w:val="19"/>
                <w:szCs w:val="19"/>
                <w:color w:val="auto"/>
              </w:rPr>
            </w:pPr>
          </w:p>
        </w:tc>
        <w:tc>
          <w:tcPr>
            <w:tcW w:w="12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262626"/>
              </w:rPr>
              <w:t>2024</w:t>
            </w:r>
          </w:p>
        </w:tc>
        <w:tc>
          <w:tcPr>
            <w:tcW w:w="320" w:type="dxa"/>
            <w:vAlign w:val="bottom"/>
          </w:tcPr>
          <w:p>
            <w:pPr>
              <w:spacing w:after="0"/>
              <w:rPr>
                <w:sz w:val="19"/>
                <w:szCs w:val="19"/>
                <w:color w:val="auto"/>
              </w:rPr>
            </w:pPr>
          </w:p>
        </w:tc>
        <w:tc>
          <w:tcPr>
            <w:tcW w:w="98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262626"/>
              </w:rPr>
              <w:t>2023</w:t>
            </w:r>
          </w:p>
        </w:tc>
        <w:tc>
          <w:tcPr>
            <w:tcW w:w="60" w:type="dxa"/>
            <w:vAlign w:val="bottom"/>
          </w:tcPr>
          <w:p>
            <w:pPr>
              <w:spacing w:after="0"/>
              <w:rPr>
                <w:sz w:val="19"/>
                <w:szCs w:val="19"/>
                <w:color w:val="auto"/>
              </w:rPr>
            </w:pPr>
          </w:p>
        </w:tc>
      </w:tr>
      <w:tr>
        <w:trPr>
          <w:trHeight w:val="88"/>
        </w:trPr>
        <w:tc>
          <w:tcPr>
            <w:tcW w:w="4580" w:type="dxa"/>
            <w:vAlign w:val="bottom"/>
            <w:tcBorders>
              <w:bottom w:val="single" w:sz="8" w:color="CF0A2C"/>
            </w:tcBorders>
          </w:tcPr>
          <w:p>
            <w:pPr>
              <w:spacing w:after="0"/>
              <w:rPr>
                <w:sz w:val="7"/>
                <w:szCs w:val="7"/>
                <w:color w:val="auto"/>
              </w:rPr>
            </w:pPr>
          </w:p>
        </w:tc>
        <w:tc>
          <w:tcPr>
            <w:tcW w:w="760" w:type="dxa"/>
            <w:vAlign w:val="bottom"/>
            <w:tcBorders>
              <w:bottom w:val="single" w:sz="8" w:color="CF0A2C"/>
            </w:tcBorders>
          </w:tcPr>
          <w:p>
            <w:pPr>
              <w:spacing w:after="0"/>
              <w:rPr>
                <w:sz w:val="7"/>
                <w:szCs w:val="7"/>
                <w:color w:val="auto"/>
              </w:rPr>
            </w:pPr>
          </w:p>
        </w:tc>
        <w:tc>
          <w:tcPr>
            <w:tcW w:w="20" w:type="dxa"/>
            <w:vAlign w:val="bottom"/>
            <w:tcBorders>
              <w:bottom w:val="single" w:sz="8" w:color="CF0A2C"/>
            </w:tcBorders>
          </w:tcPr>
          <w:p>
            <w:pPr>
              <w:spacing w:after="0"/>
              <w:rPr>
                <w:sz w:val="7"/>
                <w:szCs w:val="7"/>
                <w:color w:val="auto"/>
              </w:rPr>
            </w:pPr>
          </w:p>
        </w:tc>
        <w:tc>
          <w:tcPr>
            <w:tcW w:w="580" w:type="dxa"/>
            <w:vAlign w:val="bottom"/>
            <w:tcBorders>
              <w:bottom w:val="single" w:sz="8" w:color="CF0A2C"/>
            </w:tcBorders>
          </w:tcPr>
          <w:p>
            <w:pPr>
              <w:spacing w:after="0"/>
              <w:rPr>
                <w:sz w:val="7"/>
                <w:szCs w:val="7"/>
                <w:color w:val="auto"/>
              </w:rPr>
            </w:pPr>
          </w:p>
        </w:tc>
        <w:tc>
          <w:tcPr>
            <w:tcW w:w="120" w:type="dxa"/>
            <w:vAlign w:val="bottom"/>
            <w:tcBorders>
              <w:bottom w:val="single" w:sz="8" w:color="CF0A2C"/>
            </w:tcBorders>
          </w:tcPr>
          <w:p>
            <w:pPr>
              <w:spacing w:after="0"/>
              <w:rPr>
                <w:sz w:val="7"/>
                <w:szCs w:val="7"/>
                <w:color w:val="auto"/>
              </w:rPr>
            </w:pPr>
          </w:p>
        </w:tc>
        <w:tc>
          <w:tcPr>
            <w:tcW w:w="1600" w:type="dxa"/>
            <w:vAlign w:val="bottom"/>
            <w:tcBorders>
              <w:bottom w:val="single" w:sz="8" w:color="CF0A2C"/>
            </w:tcBorders>
            <w:gridSpan w:val="3"/>
          </w:tcPr>
          <w:p>
            <w:pPr>
              <w:spacing w:after="0"/>
              <w:rPr>
                <w:sz w:val="7"/>
                <w:szCs w:val="7"/>
                <w:color w:val="auto"/>
              </w:rPr>
            </w:pPr>
          </w:p>
        </w:tc>
        <w:tc>
          <w:tcPr>
            <w:tcW w:w="400" w:type="dxa"/>
            <w:vAlign w:val="bottom"/>
            <w:tcBorders>
              <w:bottom w:val="single" w:sz="8" w:color="CF0A2C"/>
            </w:tcBorders>
          </w:tcPr>
          <w:p>
            <w:pPr>
              <w:spacing w:after="0"/>
              <w:rPr>
                <w:sz w:val="7"/>
                <w:szCs w:val="7"/>
                <w:color w:val="auto"/>
              </w:rPr>
            </w:pPr>
          </w:p>
        </w:tc>
        <w:tc>
          <w:tcPr>
            <w:tcW w:w="580" w:type="dxa"/>
            <w:vAlign w:val="bottom"/>
            <w:tcBorders>
              <w:bottom w:val="single" w:sz="8" w:color="CF0A2C"/>
            </w:tcBorders>
          </w:tcPr>
          <w:p>
            <w:pPr>
              <w:spacing w:after="0"/>
              <w:rPr>
                <w:sz w:val="7"/>
                <w:szCs w:val="7"/>
                <w:color w:val="auto"/>
              </w:rPr>
            </w:pPr>
          </w:p>
        </w:tc>
        <w:tc>
          <w:tcPr>
            <w:tcW w:w="60" w:type="dxa"/>
            <w:vAlign w:val="bottom"/>
            <w:tcBorders>
              <w:bottom w:val="single" w:sz="8" w:color="CF0A2C"/>
            </w:tcBorders>
          </w:tcPr>
          <w:p>
            <w:pPr>
              <w:spacing w:after="0"/>
              <w:rPr>
                <w:sz w:val="7"/>
                <w:szCs w:val="7"/>
                <w:color w:val="auto"/>
              </w:rPr>
            </w:pPr>
          </w:p>
        </w:tc>
      </w:tr>
      <w:tr>
        <w:trPr>
          <w:trHeight w:val="207"/>
        </w:trPr>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400"/>
              <w:spacing w:after="0"/>
              <w:rPr>
                <w:sz w:val="20"/>
                <w:szCs w:val="20"/>
                <w:color w:val="auto"/>
              </w:rPr>
            </w:pPr>
            <w:r>
              <w:rPr>
                <w:rFonts w:ascii="Arial" w:cs="Arial" w:eastAsia="Arial" w:hAnsi="Arial"/>
                <w:sz w:val="16"/>
                <w:szCs w:val="16"/>
                <w:color w:val="262626"/>
              </w:rPr>
              <w:t>(In millions)</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580" w:type="dxa"/>
            <w:vAlign w:val="bottom"/>
          </w:tcPr>
          <w:p>
            <w:pPr>
              <w:spacing w:after="0"/>
              <w:rPr>
                <w:sz w:val="20"/>
                <w:szCs w:val="20"/>
                <w:color w:val="auto"/>
              </w:rPr>
            </w:pPr>
            <w:r>
              <w:rPr>
                <w:rFonts w:ascii="Arial" w:cs="Arial" w:eastAsia="Arial" w:hAnsi="Arial"/>
                <w:sz w:val="16"/>
                <w:szCs w:val="16"/>
                <w:color w:val="262626"/>
              </w:rPr>
              <w:t>Operating income on GAAP basis</w:t>
            </w:r>
          </w:p>
        </w:tc>
        <w:tc>
          <w:tcPr>
            <w:tcW w:w="1360" w:type="dxa"/>
            <w:vAlign w:val="bottom"/>
            <w:gridSpan w:val="3"/>
          </w:tcPr>
          <w:p>
            <w:pPr>
              <w:jc w:val="right"/>
              <w:spacing w:after="0"/>
              <w:rPr>
                <w:sz w:val="20"/>
                <w:szCs w:val="20"/>
                <w:color w:val="auto"/>
              </w:rPr>
            </w:pPr>
            <w:r>
              <w:rPr>
                <w:rFonts w:ascii="Arial" w:cs="Arial" w:eastAsia="Arial" w:hAnsi="Arial"/>
                <w:sz w:val="16"/>
                <w:szCs w:val="16"/>
                <w:color w:val="262626"/>
              </w:rPr>
              <w:t>$25,484</w:t>
            </w:r>
          </w:p>
        </w:tc>
        <w:tc>
          <w:tcPr>
            <w:tcW w:w="1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262626"/>
              </w:rPr>
              <w:t>$13,463</w:t>
            </w:r>
          </w:p>
        </w:tc>
        <w:tc>
          <w:tcPr>
            <w:tcW w:w="3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262626"/>
              </w:rPr>
              <w:t>$16,207</w:t>
            </w:r>
          </w:p>
        </w:tc>
        <w:tc>
          <w:tcPr>
            <w:tcW w:w="60" w:type="dxa"/>
            <w:vAlign w:val="bottom"/>
          </w:tcPr>
          <w:p>
            <w:pPr>
              <w:spacing w:after="0"/>
              <w:rPr>
                <w:sz w:val="20"/>
                <w:szCs w:val="20"/>
                <w:color w:val="auto"/>
              </w:rPr>
            </w:pPr>
          </w:p>
        </w:tc>
      </w:tr>
      <w:tr>
        <w:trPr>
          <w:trHeight w:val="322"/>
        </w:trPr>
        <w:tc>
          <w:tcPr>
            <w:tcW w:w="4580" w:type="dxa"/>
            <w:vAlign w:val="bottom"/>
          </w:tcPr>
          <w:p>
            <w:pPr>
              <w:ind w:left="240"/>
              <w:spacing w:after="0"/>
              <w:rPr>
                <w:sz w:val="20"/>
                <w:szCs w:val="20"/>
                <w:color w:val="auto"/>
              </w:rPr>
            </w:pPr>
            <w:r>
              <w:rPr>
                <w:rFonts w:ascii="Arial" w:cs="Arial" w:eastAsia="Arial" w:hAnsi="Arial"/>
                <w:sz w:val="16"/>
                <w:szCs w:val="16"/>
                <w:color w:val="262626"/>
              </w:rPr>
              <w:t>Amortization of acquisition-related intangible assets</w:t>
            </w:r>
          </w:p>
        </w:tc>
        <w:tc>
          <w:tcPr>
            <w:tcW w:w="1360" w:type="dxa"/>
            <w:vAlign w:val="bottom"/>
            <w:gridSpan w:val="3"/>
          </w:tcPr>
          <w:p>
            <w:pPr>
              <w:jc w:val="right"/>
              <w:spacing w:after="0"/>
              <w:rPr>
                <w:sz w:val="20"/>
                <w:szCs w:val="20"/>
                <w:color w:val="auto"/>
              </w:rPr>
            </w:pPr>
            <w:r>
              <w:rPr>
                <w:rFonts w:ascii="Arial" w:cs="Arial" w:eastAsia="Arial" w:hAnsi="Arial"/>
                <w:sz w:val="16"/>
                <w:szCs w:val="16"/>
                <w:color w:val="262626"/>
              </w:rPr>
              <w:t>8,062</w:t>
            </w: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262626"/>
              </w:rPr>
              <w:t>9,267</w:t>
            </w:r>
          </w:p>
        </w:tc>
        <w:tc>
          <w:tcPr>
            <w:tcW w:w="3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262626"/>
              </w:rPr>
              <w:t>3,247</w:t>
            </w:r>
          </w:p>
        </w:tc>
        <w:tc>
          <w:tcPr>
            <w:tcW w:w="60" w:type="dxa"/>
            <w:vAlign w:val="bottom"/>
          </w:tcPr>
          <w:p>
            <w:pPr>
              <w:spacing w:after="0"/>
              <w:rPr>
                <w:sz w:val="24"/>
                <w:szCs w:val="24"/>
                <w:color w:val="auto"/>
              </w:rPr>
            </w:pPr>
          </w:p>
        </w:tc>
      </w:tr>
      <w:tr>
        <w:trPr>
          <w:trHeight w:val="322"/>
        </w:trPr>
        <w:tc>
          <w:tcPr>
            <w:tcW w:w="4580" w:type="dxa"/>
            <w:vAlign w:val="bottom"/>
          </w:tcPr>
          <w:p>
            <w:pPr>
              <w:ind w:left="240"/>
              <w:spacing w:after="0"/>
              <w:rPr>
                <w:sz w:val="20"/>
                <w:szCs w:val="20"/>
                <w:color w:val="auto"/>
              </w:rPr>
            </w:pPr>
            <w:r>
              <w:rPr>
                <w:rFonts w:ascii="Arial" w:cs="Arial" w:eastAsia="Arial" w:hAnsi="Arial"/>
                <w:sz w:val="16"/>
                <w:szCs w:val="16"/>
                <w:color w:val="262626"/>
              </w:rPr>
              <w:t>Stock-based compensation expense</w:t>
            </w:r>
          </w:p>
        </w:tc>
        <w:tc>
          <w:tcPr>
            <w:tcW w:w="1360" w:type="dxa"/>
            <w:vAlign w:val="bottom"/>
            <w:gridSpan w:val="3"/>
          </w:tcPr>
          <w:p>
            <w:pPr>
              <w:jc w:val="right"/>
              <w:spacing w:after="0"/>
              <w:rPr>
                <w:sz w:val="20"/>
                <w:szCs w:val="20"/>
                <w:color w:val="auto"/>
              </w:rPr>
            </w:pPr>
            <w:r>
              <w:rPr>
                <w:rFonts w:ascii="Arial" w:cs="Arial" w:eastAsia="Arial" w:hAnsi="Arial"/>
                <w:sz w:val="16"/>
                <w:szCs w:val="16"/>
                <w:color w:val="262626"/>
              </w:rPr>
              <w:t>7,568</w:t>
            </w: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262626"/>
              </w:rPr>
              <w:t>5,670</w:t>
            </w:r>
          </w:p>
        </w:tc>
        <w:tc>
          <w:tcPr>
            <w:tcW w:w="3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262626"/>
              </w:rPr>
              <w:t>2,171</w:t>
            </w:r>
          </w:p>
        </w:tc>
        <w:tc>
          <w:tcPr>
            <w:tcW w:w="60" w:type="dxa"/>
            <w:vAlign w:val="bottom"/>
          </w:tcPr>
          <w:p>
            <w:pPr>
              <w:spacing w:after="0"/>
              <w:rPr>
                <w:sz w:val="24"/>
                <w:szCs w:val="24"/>
                <w:color w:val="auto"/>
              </w:rPr>
            </w:pPr>
          </w:p>
        </w:tc>
      </w:tr>
      <w:tr>
        <w:trPr>
          <w:trHeight w:val="322"/>
        </w:trPr>
        <w:tc>
          <w:tcPr>
            <w:tcW w:w="4580" w:type="dxa"/>
            <w:vAlign w:val="bottom"/>
          </w:tcPr>
          <w:p>
            <w:pPr>
              <w:ind w:left="240"/>
              <w:spacing w:after="0"/>
              <w:rPr>
                <w:sz w:val="20"/>
                <w:szCs w:val="20"/>
                <w:color w:val="auto"/>
              </w:rPr>
            </w:pPr>
            <w:r>
              <w:rPr>
                <w:rFonts w:ascii="Arial" w:cs="Arial" w:eastAsia="Arial" w:hAnsi="Arial"/>
                <w:sz w:val="16"/>
                <w:szCs w:val="16"/>
                <w:color w:val="262626"/>
              </w:rPr>
              <w:t>Restructuring and other charges</w:t>
            </w:r>
          </w:p>
        </w:tc>
        <w:tc>
          <w:tcPr>
            <w:tcW w:w="1360" w:type="dxa"/>
            <w:vAlign w:val="bottom"/>
            <w:gridSpan w:val="3"/>
          </w:tcPr>
          <w:p>
            <w:pPr>
              <w:jc w:val="right"/>
              <w:spacing w:after="0"/>
              <w:rPr>
                <w:sz w:val="20"/>
                <w:szCs w:val="20"/>
                <w:color w:val="auto"/>
              </w:rPr>
            </w:pPr>
            <w:r>
              <w:rPr>
                <w:rFonts w:ascii="Arial" w:cs="Arial" w:eastAsia="Arial" w:hAnsi="Arial"/>
                <w:sz w:val="16"/>
                <w:szCs w:val="16"/>
                <w:color w:val="262626"/>
              </w:rPr>
              <w:t>667</w:t>
            </w: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262626"/>
              </w:rPr>
              <w:t>1,787</w:t>
            </w:r>
          </w:p>
        </w:tc>
        <w:tc>
          <w:tcPr>
            <w:tcW w:w="3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262626"/>
              </w:rPr>
              <w:t>248</w:t>
            </w:r>
          </w:p>
        </w:tc>
        <w:tc>
          <w:tcPr>
            <w:tcW w:w="60" w:type="dxa"/>
            <w:vAlign w:val="bottom"/>
          </w:tcPr>
          <w:p>
            <w:pPr>
              <w:spacing w:after="0"/>
              <w:rPr>
                <w:sz w:val="24"/>
                <w:szCs w:val="24"/>
                <w:color w:val="auto"/>
              </w:rPr>
            </w:pPr>
          </w:p>
        </w:tc>
      </w:tr>
      <w:tr>
        <w:trPr>
          <w:trHeight w:val="310"/>
        </w:trPr>
        <w:tc>
          <w:tcPr>
            <w:tcW w:w="4580" w:type="dxa"/>
            <w:vAlign w:val="bottom"/>
          </w:tcPr>
          <w:p>
            <w:pPr>
              <w:ind w:left="240"/>
              <w:spacing w:after="0"/>
              <w:rPr>
                <w:sz w:val="20"/>
                <w:szCs w:val="20"/>
                <w:color w:val="auto"/>
              </w:rPr>
            </w:pPr>
            <w:r>
              <w:rPr>
                <w:rFonts w:ascii="Arial" w:cs="Arial" w:eastAsia="Arial" w:hAnsi="Arial"/>
                <w:sz w:val="16"/>
                <w:szCs w:val="16"/>
                <w:color w:val="262626"/>
              </w:rPr>
              <w:t>Acquisition-related costs</w:t>
            </w:r>
          </w:p>
        </w:tc>
        <w:tc>
          <w:tcPr>
            <w:tcW w:w="780" w:type="dxa"/>
            <w:vAlign w:val="bottom"/>
            <w:gridSpan w:val="2"/>
          </w:tcPr>
          <w:p>
            <w:pPr>
              <w:spacing w:after="0"/>
              <w:rPr>
                <w:sz w:val="24"/>
                <w:szCs w:val="24"/>
                <w:color w:val="auto"/>
              </w:rPr>
            </w:pPr>
          </w:p>
        </w:tc>
        <w:tc>
          <w:tcPr>
            <w:tcW w:w="580" w:type="dxa"/>
            <w:vAlign w:val="bottom"/>
            <w:tcBorders>
              <w:bottom w:val="single" w:sz="8" w:color="262626"/>
            </w:tcBorders>
          </w:tcPr>
          <w:p>
            <w:pPr>
              <w:jc w:val="right"/>
              <w:spacing w:after="0"/>
              <w:rPr>
                <w:sz w:val="20"/>
                <w:szCs w:val="20"/>
                <w:color w:val="auto"/>
              </w:rPr>
            </w:pPr>
            <w:r>
              <w:rPr>
                <w:rFonts w:ascii="Arial" w:cs="Arial" w:eastAsia="Arial" w:hAnsi="Arial"/>
                <w:sz w:val="16"/>
                <w:szCs w:val="16"/>
                <w:color w:val="262626"/>
              </w:rPr>
              <w:t>216</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Borders>
              <w:bottom w:val="single" w:sz="8" w:color="262626"/>
            </w:tcBorders>
          </w:tcPr>
          <w:p>
            <w:pPr>
              <w:jc w:val="right"/>
              <w:spacing w:after="0"/>
              <w:rPr>
                <w:sz w:val="20"/>
                <w:szCs w:val="20"/>
                <w:color w:val="auto"/>
              </w:rPr>
            </w:pPr>
            <w:r>
              <w:rPr>
                <w:rFonts w:ascii="Arial" w:cs="Arial" w:eastAsia="Arial" w:hAnsi="Arial"/>
                <w:sz w:val="16"/>
                <w:szCs w:val="16"/>
                <w:color w:val="262626"/>
              </w:rPr>
              <w:t>549</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bottom w:val="single" w:sz="8" w:color="262626"/>
            </w:tcBorders>
          </w:tcPr>
          <w:p>
            <w:pPr>
              <w:jc w:val="right"/>
              <w:spacing w:after="0"/>
              <w:rPr>
                <w:sz w:val="20"/>
                <w:szCs w:val="20"/>
                <w:color w:val="auto"/>
              </w:rPr>
            </w:pPr>
            <w:r>
              <w:rPr>
                <w:rFonts w:ascii="Arial" w:cs="Arial" w:eastAsia="Arial" w:hAnsi="Arial"/>
                <w:sz w:val="16"/>
                <w:szCs w:val="16"/>
                <w:color w:val="262626"/>
              </w:rPr>
              <w:t>252</w:t>
            </w:r>
          </w:p>
        </w:tc>
        <w:tc>
          <w:tcPr>
            <w:tcW w:w="60" w:type="dxa"/>
            <w:vAlign w:val="bottom"/>
          </w:tcPr>
          <w:p>
            <w:pPr>
              <w:spacing w:after="0"/>
              <w:rPr>
                <w:sz w:val="24"/>
                <w:szCs w:val="24"/>
                <w:color w:val="auto"/>
              </w:rPr>
            </w:pPr>
          </w:p>
        </w:tc>
      </w:tr>
      <w:tr>
        <w:trPr>
          <w:trHeight w:val="329"/>
        </w:trPr>
        <w:tc>
          <w:tcPr>
            <w:tcW w:w="4580" w:type="dxa"/>
            <w:vAlign w:val="bottom"/>
          </w:tcPr>
          <w:p>
            <w:pPr>
              <w:spacing w:after="0"/>
              <w:rPr>
                <w:sz w:val="20"/>
                <w:szCs w:val="20"/>
                <w:color w:val="auto"/>
              </w:rPr>
            </w:pPr>
            <w:r>
              <w:rPr>
                <w:rFonts w:ascii="Arial" w:cs="Arial" w:eastAsia="Arial" w:hAnsi="Arial"/>
                <w:sz w:val="16"/>
                <w:szCs w:val="16"/>
                <w:color w:val="262626"/>
              </w:rPr>
              <w:t>Operating income on non-GAAP basis</w:t>
            </w:r>
          </w:p>
        </w:tc>
        <w:tc>
          <w:tcPr>
            <w:tcW w:w="1360" w:type="dxa"/>
            <w:vAlign w:val="bottom"/>
            <w:gridSpan w:val="3"/>
          </w:tcPr>
          <w:p>
            <w:pPr>
              <w:jc w:val="right"/>
              <w:spacing w:after="0"/>
              <w:rPr>
                <w:sz w:val="20"/>
                <w:szCs w:val="20"/>
                <w:color w:val="auto"/>
              </w:rPr>
            </w:pPr>
            <w:r>
              <w:rPr>
                <w:rFonts w:ascii="Arial" w:cs="Arial" w:eastAsia="Arial" w:hAnsi="Arial"/>
                <w:sz w:val="16"/>
                <w:szCs w:val="16"/>
                <w:u w:val="single" w:color="auto"/>
                <w:color w:val="262626"/>
              </w:rPr>
              <w:t>$</w:t>
            </w:r>
            <w:r>
              <w:rPr>
                <w:rFonts w:ascii="Arial" w:cs="Arial" w:eastAsia="Arial" w:hAnsi="Arial"/>
                <w:sz w:val="16"/>
                <w:szCs w:val="16"/>
                <w:color w:val="262626"/>
              </w:rPr>
              <w:t>41,997</w:t>
            </w: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u w:val="single" w:color="auto"/>
                <w:color w:val="262626"/>
              </w:rPr>
              <w:t>$</w:t>
            </w:r>
            <w:r>
              <w:rPr>
                <w:rFonts w:ascii="Arial" w:cs="Arial" w:eastAsia="Arial" w:hAnsi="Arial"/>
                <w:sz w:val="16"/>
                <w:szCs w:val="16"/>
                <w:color w:val="262626"/>
              </w:rPr>
              <w:t>30,736</w:t>
            </w:r>
          </w:p>
        </w:tc>
        <w:tc>
          <w:tcPr>
            <w:tcW w:w="3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u w:val="single" w:color="auto"/>
                <w:color w:val="262626"/>
              </w:rPr>
              <w:t>$</w:t>
            </w:r>
            <w:r>
              <w:rPr>
                <w:rFonts w:ascii="Arial" w:cs="Arial" w:eastAsia="Arial" w:hAnsi="Arial"/>
                <w:sz w:val="16"/>
                <w:szCs w:val="16"/>
                <w:color w:val="262626"/>
              </w:rPr>
              <w:t>22,125</w:t>
            </w:r>
          </w:p>
        </w:tc>
        <w:tc>
          <w:tcPr>
            <w:tcW w:w="60" w:type="dxa"/>
            <w:vAlign w:val="bottom"/>
          </w:tcPr>
          <w:p>
            <w:pPr>
              <w:spacing w:after="0"/>
              <w:rPr>
                <w:sz w:val="24"/>
                <w:szCs w:val="24"/>
                <w:color w:val="auto"/>
              </w:rPr>
            </w:pPr>
          </w:p>
        </w:tc>
      </w:tr>
      <w:tr>
        <w:trPr>
          <w:trHeight w:val="20"/>
        </w:trPr>
        <w:tc>
          <w:tcPr>
            <w:tcW w:w="4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262626"/>
            </w:tcBorders>
          </w:tcPr>
          <w:p>
            <w:pPr>
              <w:spacing w:after="0" w:line="20" w:lineRule="exact"/>
              <w:rPr>
                <w:sz w:val="1"/>
                <w:szCs w:val="1"/>
                <w:color w:val="auto"/>
              </w:rPr>
            </w:pPr>
          </w:p>
        </w:tc>
        <w:tc>
          <w:tcPr>
            <w:tcW w:w="580" w:type="dxa"/>
            <w:vAlign w:val="bottom"/>
            <w:tcBorders>
              <w:top w:val="single" w:sz="8" w:color="262626"/>
              <w:bottom w:val="single" w:sz="8" w:color="26262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262626"/>
              <w:bottom w:val="single" w:sz="8" w:color="262626"/>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262626"/>
              <w:bottom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8"/>
        </w:trPr>
        <w:tc>
          <w:tcPr>
            <w:tcW w:w="4580" w:type="dxa"/>
            <w:vAlign w:val="bottom"/>
          </w:tcPr>
          <w:p>
            <w:pPr>
              <w:spacing w:after="0"/>
              <w:rPr>
                <w:sz w:val="20"/>
                <w:szCs w:val="20"/>
                <w:color w:val="auto"/>
              </w:rPr>
            </w:pPr>
            <w:r>
              <w:rPr>
                <w:rFonts w:ascii="Arial" w:cs="Arial" w:eastAsia="Arial" w:hAnsi="Arial"/>
                <w:sz w:val="16"/>
                <w:szCs w:val="16"/>
                <w:color w:val="262626"/>
              </w:rPr>
              <w:t>Operating income on non-GAAP basis</w:t>
            </w:r>
          </w:p>
        </w:tc>
        <w:tc>
          <w:tcPr>
            <w:tcW w:w="1360" w:type="dxa"/>
            <w:vAlign w:val="bottom"/>
            <w:gridSpan w:val="3"/>
          </w:tcPr>
          <w:p>
            <w:pPr>
              <w:jc w:val="right"/>
              <w:spacing w:after="0"/>
              <w:rPr>
                <w:sz w:val="20"/>
                <w:szCs w:val="20"/>
                <w:color w:val="auto"/>
              </w:rPr>
            </w:pPr>
            <w:r>
              <w:rPr>
                <w:rFonts w:ascii="Arial" w:cs="Arial" w:eastAsia="Arial" w:hAnsi="Arial"/>
                <w:sz w:val="16"/>
                <w:szCs w:val="16"/>
                <w:color w:val="262626"/>
              </w:rPr>
              <w:t>$41,997</w:t>
            </w: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262626"/>
              </w:rPr>
              <w:t>$30,736</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6"/>
        </w:trPr>
        <w:tc>
          <w:tcPr>
            <w:tcW w:w="4580" w:type="dxa"/>
            <w:vAlign w:val="bottom"/>
          </w:tcPr>
          <w:p>
            <w:pPr>
              <w:ind w:left="240"/>
              <w:spacing w:after="0"/>
              <w:rPr>
                <w:sz w:val="20"/>
                <w:szCs w:val="20"/>
                <w:color w:val="auto"/>
              </w:rPr>
            </w:pPr>
            <w:r>
              <w:rPr>
                <w:rFonts w:ascii="Arial" w:cs="Arial" w:eastAsia="Arial" w:hAnsi="Arial"/>
                <w:sz w:val="16"/>
                <w:szCs w:val="16"/>
                <w:color w:val="262626"/>
              </w:rPr>
              <w:t>Provisions or accruals for anticipated payouts under APB</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2"/>
        </w:trPr>
        <w:tc>
          <w:tcPr>
            <w:tcW w:w="4580" w:type="dxa"/>
            <w:vAlign w:val="bottom"/>
          </w:tcPr>
          <w:p>
            <w:pPr>
              <w:ind w:left="240"/>
              <w:spacing w:after="0"/>
              <w:rPr>
                <w:sz w:val="20"/>
                <w:szCs w:val="20"/>
                <w:color w:val="auto"/>
              </w:rPr>
            </w:pPr>
            <w:r>
              <w:rPr>
                <w:rFonts w:ascii="Arial" w:cs="Arial" w:eastAsia="Arial" w:hAnsi="Arial"/>
                <w:sz w:val="16"/>
                <w:szCs w:val="16"/>
                <w:color w:val="262626"/>
              </w:rPr>
              <w:t>Plan</w:t>
            </w:r>
          </w:p>
        </w:tc>
        <w:tc>
          <w:tcPr>
            <w:tcW w:w="780" w:type="dxa"/>
            <w:vAlign w:val="bottom"/>
            <w:gridSpan w:val="2"/>
          </w:tcPr>
          <w:p>
            <w:pPr>
              <w:spacing w:after="0"/>
              <w:rPr>
                <w:sz w:val="17"/>
                <w:szCs w:val="17"/>
                <w:color w:val="auto"/>
              </w:rPr>
            </w:pPr>
          </w:p>
        </w:tc>
        <w:tc>
          <w:tcPr>
            <w:tcW w:w="580" w:type="dxa"/>
            <w:vAlign w:val="bottom"/>
            <w:tcBorders>
              <w:bottom w:val="single" w:sz="8" w:color="262626"/>
            </w:tcBorders>
          </w:tcPr>
          <w:p>
            <w:pPr>
              <w:jc w:val="right"/>
              <w:spacing w:after="0"/>
              <w:rPr>
                <w:sz w:val="20"/>
                <w:szCs w:val="20"/>
                <w:color w:val="auto"/>
              </w:rPr>
            </w:pPr>
            <w:r>
              <w:rPr>
                <w:rFonts w:ascii="Arial" w:cs="Arial" w:eastAsia="Arial" w:hAnsi="Arial"/>
                <w:sz w:val="16"/>
                <w:szCs w:val="16"/>
                <w:color w:val="262626"/>
              </w:rPr>
              <w:t>1,379</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Borders>
              <w:bottom w:val="single" w:sz="8" w:color="262626"/>
            </w:tcBorders>
          </w:tcPr>
          <w:p>
            <w:pPr>
              <w:jc w:val="right"/>
              <w:spacing w:after="0"/>
              <w:rPr>
                <w:sz w:val="20"/>
                <w:szCs w:val="20"/>
                <w:color w:val="auto"/>
              </w:rPr>
            </w:pPr>
            <w:r>
              <w:rPr>
                <w:rFonts w:ascii="Arial" w:cs="Arial" w:eastAsia="Arial" w:hAnsi="Arial"/>
                <w:sz w:val="16"/>
                <w:szCs w:val="16"/>
                <w:color w:val="262626"/>
              </w:rPr>
              <w:t>1,236</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29"/>
        </w:trPr>
        <w:tc>
          <w:tcPr>
            <w:tcW w:w="4580" w:type="dxa"/>
            <w:vAlign w:val="bottom"/>
          </w:tcPr>
          <w:p>
            <w:pPr>
              <w:spacing w:after="0"/>
              <w:rPr>
                <w:sz w:val="20"/>
                <w:szCs w:val="20"/>
                <w:color w:val="auto"/>
              </w:rPr>
            </w:pPr>
            <w:r>
              <w:rPr>
                <w:rFonts w:ascii="Arial" w:cs="Arial" w:eastAsia="Arial" w:hAnsi="Arial"/>
                <w:sz w:val="16"/>
                <w:szCs w:val="16"/>
                <w:color w:val="262626"/>
              </w:rPr>
              <w:t>Adjusted operating income on non-GAAP basis</w:t>
            </w:r>
          </w:p>
        </w:tc>
        <w:tc>
          <w:tcPr>
            <w:tcW w:w="1360" w:type="dxa"/>
            <w:vAlign w:val="bottom"/>
            <w:gridSpan w:val="3"/>
          </w:tcPr>
          <w:p>
            <w:pPr>
              <w:jc w:val="right"/>
              <w:spacing w:after="0"/>
              <w:rPr>
                <w:sz w:val="20"/>
                <w:szCs w:val="20"/>
                <w:color w:val="auto"/>
              </w:rPr>
            </w:pPr>
            <w:r>
              <w:rPr>
                <w:rFonts w:ascii="Arial" w:cs="Arial" w:eastAsia="Arial" w:hAnsi="Arial"/>
                <w:sz w:val="16"/>
                <w:szCs w:val="16"/>
                <w:u w:val="single" w:color="auto"/>
                <w:color w:val="262626"/>
              </w:rPr>
              <w:t>$</w:t>
            </w:r>
            <w:r>
              <w:rPr>
                <w:rFonts w:ascii="Arial" w:cs="Arial" w:eastAsia="Arial" w:hAnsi="Arial"/>
                <w:sz w:val="16"/>
                <w:szCs w:val="16"/>
                <w:color w:val="262626"/>
              </w:rPr>
              <w:t>43,376</w:t>
            </w: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u w:val="single" w:color="auto"/>
                <w:color w:val="262626"/>
              </w:rPr>
              <w:t>$</w:t>
            </w:r>
            <w:r>
              <w:rPr>
                <w:rFonts w:ascii="Arial" w:cs="Arial" w:eastAsia="Arial" w:hAnsi="Arial"/>
                <w:sz w:val="16"/>
                <w:szCs w:val="16"/>
                <w:color w:val="262626"/>
              </w:rPr>
              <w:t>31,972</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262626"/>
            </w:tcBorders>
          </w:tcPr>
          <w:p>
            <w:pPr>
              <w:spacing w:after="0" w:line="20" w:lineRule="exact"/>
              <w:rPr>
                <w:sz w:val="1"/>
                <w:szCs w:val="1"/>
                <w:color w:val="auto"/>
              </w:rPr>
            </w:pPr>
          </w:p>
        </w:tc>
        <w:tc>
          <w:tcPr>
            <w:tcW w:w="580" w:type="dxa"/>
            <w:vAlign w:val="bottom"/>
            <w:tcBorders>
              <w:top w:val="single" w:sz="8" w:color="262626"/>
              <w:bottom w:val="single" w:sz="8" w:color="26262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262626"/>
              <w:bottom w:val="single" w:sz="8" w:color="262626"/>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8"/>
        </w:trPr>
        <w:tc>
          <w:tcPr>
            <w:tcW w:w="4580" w:type="dxa"/>
            <w:vAlign w:val="bottom"/>
          </w:tcPr>
          <w:p>
            <w:pPr>
              <w:spacing w:after="0"/>
              <w:rPr>
                <w:sz w:val="20"/>
                <w:szCs w:val="20"/>
                <w:color w:val="auto"/>
              </w:rPr>
            </w:pPr>
            <w:r>
              <w:rPr>
                <w:rFonts w:ascii="Arial" w:cs="Arial" w:eastAsia="Arial" w:hAnsi="Arial"/>
                <w:sz w:val="16"/>
                <w:szCs w:val="16"/>
                <w:color w:val="262626"/>
              </w:rPr>
              <w:t>Net cash provided by operating activities</w:t>
            </w:r>
          </w:p>
        </w:tc>
        <w:tc>
          <w:tcPr>
            <w:tcW w:w="1360" w:type="dxa"/>
            <w:vAlign w:val="bottom"/>
            <w:gridSpan w:val="3"/>
          </w:tcPr>
          <w:p>
            <w:pPr>
              <w:jc w:val="right"/>
              <w:spacing w:after="0"/>
              <w:rPr>
                <w:sz w:val="20"/>
                <w:szCs w:val="20"/>
                <w:color w:val="auto"/>
              </w:rPr>
            </w:pPr>
            <w:r>
              <w:rPr>
                <w:rFonts w:ascii="Arial" w:cs="Arial" w:eastAsia="Arial" w:hAnsi="Arial"/>
                <w:sz w:val="16"/>
                <w:szCs w:val="16"/>
                <w:color w:val="262626"/>
              </w:rPr>
              <w:t>$27,537</w:t>
            </w: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262626"/>
              </w:rPr>
              <w:t>$19,962</w:t>
            </w:r>
          </w:p>
        </w:tc>
        <w:tc>
          <w:tcPr>
            <w:tcW w:w="3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262626"/>
              </w:rPr>
              <w:t>$18,085</w:t>
            </w:r>
          </w:p>
        </w:tc>
        <w:tc>
          <w:tcPr>
            <w:tcW w:w="60" w:type="dxa"/>
            <w:vAlign w:val="bottom"/>
          </w:tcPr>
          <w:p>
            <w:pPr>
              <w:spacing w:after="0"/>
              <w:rPr>
                <w:sz w:val="24"/>
                <w:szCs w:val="24"/>
                <w:color w:val="auto"/>
              </w:rPr>
            </w:pPr>
          </w:p>
        </w:tc>
      </w:tr>
      <w:tr>
        <w:trPr>
          <w:trHeight w:val="310"/>
        </w:trPr>
        <w:tc>
          <w:tcPr>
            <w:tcW w:w="4580" w:type="dxa"/>
            <w:vAlign w:val="bottom"/>
          </w:tcPr>
          <w:p>
            <w:pPr>
              <w:ind w:left="240"/>
              <w:spacing w:after="0"/>
              <w:rPr>
                <w:sz w:val="20"/>
                <w:szCs w:val="20"/>
                <w:color w:val="auto"/>
              </w:rPr>
            </w:pPr>
            <w:r>
              <w:rPr>
                <w:rFonts w:ascii="Arial" w:cs="Arial" w:eastAsia="Arial" w:hAnsi="Arial"/>
                <w:sz w:val="16"/>
                <w:szCs w:val="16"/>
                <w:color w:val="262626"/>
              </w:rPr>
              <w:t>Purchases of property, plant and equipment</w:t>
            </w:r>
          </w:p>
        </w:tc>
        <w:tc>
          <w:tcPr>
            <w:tcW w:w="780" w:type="dxa"/>
            <w:vAlign w:val="bottom"/>
            <w:gridSpan w:val="2"/>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262626"/>
              </w:rPr>
              <w:t>(623)</w:t>
            </w:r>
          </w:p>
        </w:tc>
        <w:tc>
          <w:tcPr>
            <w:tcW w:w="1600" w:type="dxa"/>
            <w:vAlign w:val="bottom"/>
            <w:gridSpan w:val="3"/>
          </w:tcPr>
          <w:p>
            <w:pPr>
              <w:jc w:val="right"/>
              <w:ind w:right="280"/>
              <w:spacing w:after="0"/>
              <w:rPr>
                <w:sz w:val="20"/>
                <w:szCs w:val="20"/>
                <w:color w:val="auto"/>
              </w:rPr>
            </w:pPr>
            <w:r>
              <w:rPr>
                <w:rFonts w:ascii="Arial" w:cs="Arial" w:eastAsia="Arial" w:hAnsi="Arial"/>
                <w:sz w:val="16"/>
                <w:szCs w:val="16"/>
                <w:color w:val="262626"/>
              </w:rPr>
              <w:t>(548)</w:t>
            </w:r>
          </w:p>
        </w:tc>
        <w:tc>
          <w:tcPr>
            <w:tcW w:w="1040" w:type="dxa"/>
            <w:vAlign w:val="bottom"/>
            <w:gridSpan w:val="3"/>
          </w:tcPr>
          <w:p>
            <w:pPr>
              <w:jc w:val="right"/>
              <w:spacing w:after="0"/>
              <w:rPr>
                <w:sz w:val="20"/>
                <w:szCs w:val="20"/>
                <w:color w:val="auto"/>
              </w:rPr>
            </w:pPr>
            <w:r>
              <w:rPr>
                <w:rFonts w:ascii="Arial" w:cs="Arial" w:eastAsia="Arial" w:hAnsi="Arial"/>
                <w:sz w:val="16"/>
                <w:szCs w:val="16"/>
                <w:color w:val="262626"/>
              </w:rPr>
              <w:t>(452)</w:t>
            </w:r>
          </w:p>
        </w:tc>
      </w:tr>
      <w:tr>
        <w:trPr>
          <w:trHeight w:val="20"/>
        </w:trPr>
        <w:tc>
          <w:tcPr>
            <w:tcW w:w="45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shd w:val="clear" w:color="auto" w:fill="26262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26262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26262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9"/>
        </w:trPr>
        <w:tc>
          <w:tcPr>
            <w:tcW w:w="4580" w:type="dxa"/>
            <w:vAlign w:val="bottom"/>
          </w:tcPr>
          <w:p>
            <w:pPr>
              <w:spacing w:after="0"/>
              <w:rPr>
                <w:sz w:val="20"/>
                <w:szCs w:val="20"/>
                <w:color w:val="auto"/>
              </w:rPr>
            </w:pPr>
            <w:r>
              <w:rPr>
                <w:rFonts w:ascii="Arial" w:cs="Arial" w:eastAsia="Arial" w:hAnsi="Arial"/>
                <w:sz w:val="16"/>
                <w:szCs w:val="16"/>
                <w:color w:val="262626"/>
              </w:rPr>
              <w:t>Free cash flow</w:t>
            </w:r>
          </w:p>
        </w:tc>
        <w:tc>
          <w:tcPr>
            <w:tcW w:w="1360" w:type="dxa"/>
            <w:vAlign w:val="bottom"/>
            <w:gridSpan w:val="3"/>
          </w:tcPr>
          <w:p>
            <w:pPr>
              <w:jc w:val="right"/>
              <w:spacing w:after="0"/>
              <w:rPr>
                <w:sz w:val="20"/>
                <w:szCs w:val="20"/>
                <w:color w:val="auto"/>
              </w:rPr>
            </w:pPr>
            <w:r>
              <w:rPr>
                <w:rFonts w:ascii="Arial" w:cs="Arial" w:eastAsia="Arial" w:hAnsi="Arial"/>
                <w:sz w:val="16"/>
                <w:szCs w:val="16"/>
                <w:u w:val="single" w:color="auto"/>
                <w:color w:val="262626"/>
              </w:rPr>
              <w:t>$</w:t>
            </w:r>
            <w:r>
              <w:rPr>
                <w:rFonts w:ascii="Arial" w:cs="Arial" w:eastAsia="Arial" w:hAnsi="Arial"/>
                <w:sz w:val="16"/>
                <w:szCs w:val="16"/>
                <w:color w:val="262626"/>
              </w:rPr>
              <w:t>26,914</w:t>
            </w: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u w:val="single" w:color="auto"/>
                <w:color w:val="262626"/>
              </w:rPr>
              <w:t>$</w:t>
            </w:r>
            <w:r>
              <w:rPr>
                <w:rFonts w:ascii="Arial" w:cs="Arial" w:eastAsia="Arial" w:hAnsi="Arial"/>
                <w:sz w:val="16"/>
                <w:szCs w:val="16"/>
                <w:color w:val="262626"/>
              </w:rPr>
              <w:t>19,414</w:t>
            </w:r>
          </w:p>
        </w:tc>
        <w:tc>
          <w:tcPr>
            <w:tcW w:w="3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u w:val="single" w:color="auto"/>
                <w:color w:val="262626"/>
              </w:rPr>
              <w:t>$</w:t>
            </w:r>
            <w:r>
              <w:rPr>
                <w:rFonts w:ascii="Arial" w:cs="Arial" w:eastAsia="Arial" w:hAnsi="Arial"/>
                <w:sz w:val="16"/>
                <w:szCs w:val="16"/>
                <w:color w:val="262626"/>
              </w:rPr>
              <w:t>17,633</w:t>
            </w:r>
          </w:p>
        </w:tc>
        <w:tc>
          <w:tcPr>
            <w:tcW w:w="60" w:type="dxa"/>
            <w:vAlign w:val="bottom"/>
          </w:tcPr>
          <w:p>
            <w:pPr>
              <w:spacing w:after="0"/>
              <w:rPr>
                <w:sz w:val="24"/>
                <w:szCs w:val="24"/>
                <w:color w:val="auto"/>
              </w:rPr>
            </w:pPr>
          </w:p>
        </w:tc>
      </w:tr>
      <w:tr>
        <w:trPr>
          <w:trHeight w:val="20"/>
        </w:trPr>
        <w:tc>
          <w:tcPr>
            <w:tcW w:w="4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262626"/>
            </w:tcBorders>
          </w:tcPr>
          <w:p>
            <w:pPr>
              <w:spacing w:after="0" w:line="20" w:lineRule="exact"/>
              <w:rPr>
                <w:sz w:val="1"/>
                <w:szCs w:val="1"/>
                <w:color w:val="auto"/>
              </w:rPr>
            </w:pPr>
          </w:p>
        </w:tc>
        <w:tc>
          <w:tcPr>
            <w:tcW w:w="580" w:type="dxa"/>
            <w:vAlign w:val="bottom"/>
            <w:tcBorders>
              <w:top w:val="single" w:sz="8" w:color="262626"/>
              <w:bottom w:val="single" w:sz="8" w:color="26262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262626"/>
              <w:bottom w:val="single" w:sz="8" w:color="262626"/>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262626"/>
              <w:bottom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1"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262626"/>
        </w:rPr>
        <w:t>Use of Non-GAAP Financial Measures</w:t>
      </w:r>
    </w:p>
    <w:p>
      <w:pPr>
        <w:spacing w:after="0" w:line="286" w:lineRule="exact"/>
        <w:rPr>
          <w:sz w:val="20"/>
          <w:szCs w:val="20"/>
          <w:color w:val="auto"/>
        </w:rPr>
      </w:pPr>
    </w:p>
    <w:p>
      <w:pPr>
        <w:jc w:val="both"/>
        <w:ind w:left="1280" w:right="159"/>
        <w:spacing w:after="0" w:line="333" w:lineRule="auto"/>
        <w:rPr>
          <w:sz w:val="20"/>
          <w:szCs w:val="20"/>
          <w:color w:val="auto"/>
        </w:rPr>
      </w:pPr>
      <w:r>
        <w:rPr>
          <w:rFonts w:ascii="Arial" w:cs="Arial" w:eastAsia="Arial" w:hAnsi="Arial"/>
          <w:sz w:val="16"/>
          <w:szCs w:val="16"/>
          <w:color w:val="262626"/>
        </w:rPr>
        <w:t>The non-GAAP measures should not be considered as a substitute for, or superior to, measures of financial performance prepared in accordance with GAAP. The non-GAAP results exclude amortization of acquisition-related intangible assets, stock-based compensation expense, restructuring and other charges, acquisition-related costs, including integration costs, non-GAAP tax reconciling adjustments and other adjustments. We believe this non-GAAP financial information provides additional insight into our ongoing performance. Therefore, we provide this information to investors for a more consistent basis of comparison and to help them evaluate the results of our ongoing operations and enable more meaningful period-to-period comparisons.</w:t>
      </w:r>
    </w:p>
    <w:p>
      <w:pPr>
        <w:spacing w:after="0" w:line="172" w:lineRule="exact"/>
        <w:rPr>
          <w:sz w:val="20"/>
          <w:szCs w:val="20"/>
          <w:color w:val="auto"/>
        </w:rPr>
      </w:pPr>
    </w:p>
    <w:p>
      <w:pPr>
        <w:jc w:val="both"/>
        <w:ind w:left="1280" w:right="159"/>
        <w:spacing w:after="0" w:line="331" w:lineRule="auto"/>
        <w:rPr>
          <w:sz w:val="20"/>
          <w:szCs w:val="20"/>
          <w:color w:val="auto"/>
        </w:rPr>
      </w:pPr>
      <w:r>
        <w:rPr>
          <w:rFonts w:ascii="Arial" w:cs="Arial" w:eastAsia="Arial" w:hAnsi="Arial"/>
          <w:sz w:val="16"/>
          <w:szCs w:val="16"/>
          <w:color w:val="262626"/>
        </w:rPr>
        <w:t>Management does not believe that these items are reflective of our underlying performance. Internally, these non-GAAP measures are significant measures used by management for purposes of evaluating our core operating performance, establishing internal budgets, calculating return on investment for development programs and growth initiatives, comparing performance with internal forecasts and targeted business models, strategic planning, evaluating and valuing potential acquisition candidates and how their operations compare to our operations, and benchmarking performance externally against our competitors. The exclusion of these and other similar items from our non-GAAP financial results should not be interpreted as implying that these items are non-recurring, infrequent or unusual. The foregoing reconciliation includes a reconciliation of free cash flow to the most comparable GAAP cash flow measure, “Net cash provided by operating activities.” Free cash flow measures have limitations as they omit certain components of the overall cash flow statement and do not represent the residual cash flow available for discretionary expenditures. Investors should not consider presentation of free cash flow measures as implying that stockholders have any right to such cash. Our free cash flow may not be calculated in a manner comparable to similarly named measures used by other companies.</w:t>
      </w:r>
    </w:p>
    <w:p>
      <w:pPr>
        <w:spacing w:after="0" w:line="79" w:lineRule="exact"/>
        <w:rPr>
          <w:sz w:val="20"/>
          <w:szCs w:val="20"/>
          <w:color w:val="auto"/>
        </w:rPr>
      </w:pPr>
    </w:p>
    <w:p>
      <w:pPr>
        <w:ind w:left="9740"/>
        <w:spacing w:after="0"/>
        <w:rPr>
          <w:sz w:val="20"/>
          <w:szCs w:val="20"/>
          <w:color w:val="auto"/>
        </w:rPr>
      </w:pPr>
      <w:r>
        <w:rPr>
          <w:rFonts w:ascii="Arial" w:cs="Arial" w:eastAsia="Arial" w:hAnsi="Arial"/>
          <w:sz w:val="15"/>
          <w:szCs w:val="15"/>
          <w:color w:val="262626"/>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-97790</wp:posOffset>
            </wp:positionV>
            <wp:extent cx="613410" cy="850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3410" cy="8509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222250</wp:posOffset>
            </wp:positionV>
            <wp:extent cx="6386830" cy="83261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386830" cy="8326120"/>
                    </a:xfrm>
                    <a:prstGeom prst="rect">
                      <a:avLst/>
                    </a:prstGeom>
                    <a:noFill/>
                  </pic:spPr>
                </pic:pic>
              </a:graphicData>
            </a:graphic>
          </wp:anchor>
        </w:drawing>
      </w:r>
    </w:p>
    <w:p>
      <w:pPr>
        <w:sectPr>
          <w:pgSz w:w="11900" w:h="16838" w:orient="portrait"/>
          <w:cols w:equalWidth="0" w:num="1">
            <w:col w:w="10139"/>
          </w:cols>
          <w:pgMar w:left="320" w:top="479"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552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5500"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222250</wp:posOffset>
            </wp:positionV>
            <wp:extent cx="6386830" cy="83261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386830" cy="8326120"/>
                    </a:xfrm>
                    <a:prstGeom prst="rect">
                      <a:avLst/>
                    </a:prstGeom>
                    <a:noFill/>
                  </pic:spPr>
                </pic:pic>
              </a:graphicData>
            </a:graphic>
          </wp:anchor>
        </w:drawing>
      </w:r>
    </w:p>
    <w:sectPr>
      <w:pgSz w:w="11900" w:h="16838" w:orient="portrait"/>
      <w:cols w:equalWidth="0" w:num="1">
        <w:col w:w="10139"/>
      </w:cols>
      <w:pgMar w:left="320" w:top="4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2"/>
    </w:lvl>
  </w:abstractNum>
  <w:abstractNum w:abstractNumId="1">
    <w:nsid w:val="1E7FF521"/>
    <w:multiLevelType w:val="hybridMultilevel"/>
    <w:lvl w:ilvl="0">
      <w:lvlJc w:val="left"/>
      <w:lvlText w:val=" "/>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lvl w:ilvl="1">
      <w:lvlJc w:val="left"/>
      <w:lvlText w:val="•"/>
      <w:numFmt w:val="bullet"/>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7"/>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2"/>
    </w:lvl>
  </w:abstractNum>
  <w:abstractNum w:abstractNumId="33">
    <w:nsid w:val="542289EC"/>
    <w:multiLevelType w:val="hybridMultilevel"/>
    <w:lvl w:ilvl="0">
      <w:lvlJc w:val="left"/>
      <w:lvlText w:val="(%1)"/>
      <w:numFmt w:val="decimal"/>
      <w:start w:val="12"/>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upperLetter"/>
      <w:start w:val="1"/>
    </w:lvl>
  </w:abstractNum>
  <w:abstractNum w:abstractNumId="37">
    <w:nsid w:val="32FFF902"/>
    <w:multiLevelType w:val="hybridMultilevel"/>
    <w:lvl w:ilvl="0">
      <w:lvlJc w:val="left"/>
      <w:lvlText w:val="(%1)"/>
      <w:numFmt w:val="upperLetter"/>
      <w:start w:val="5"/>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3"/>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start w:val="5"/>
    </w:lvl>
    <w:lvl w:ilvl="1">
      <w:lvlJc w:val="left"/>
      <w:lvlText w:val="•"/>
      <w:numFmt w:val="bullet"/>
      <w:start w:val="1"/>
    </w:lvl>
  </w:abstractNum>
  <w:abstractNum w:abstractNumId="53">
    <w:nsid w:val="39386575"/>
    <w:multiLevelType w:val="hybridMultilevel"/>
    <w:lvl w:ilvl="0">
      <w:lvlJc w:val="left"/>
      <w:lvlText w:val="%1."/>
      <w:numFmt w:val="decimal"/>
      <w:start w:val="8"/>
    </w:lvl>
  </w:abstractNum>
  <w:abstractNum w:abstractNumId="54">
    <w:nsid w:val="1CF10FD8"/>
    <w:multiLevelType w:val="hybridMultilevel"/>
    <w:lvl w:ilvl="0">
      <w:lvlJc w:val="left"/>
      <w:lvlText w:val="%1."/>
      <w:numFmt w:val="decimal"/>
      <w:start w:val="9"/>
    </w:lvl>
  </w:abstractNum>
  <w:abstractNum w:abstractNumId="55">
    <w:nsid w:val="180115BE"/>
    <w:multiLevelType w:val="hybridMultilevel"/>
    <w:lvl w:ilvl="0">
      <w:lvlJc w:val="left"/>
      <w:lvlText w:val="%1."/>
      <w:numFmt w:val="decimal"/>
      <w:start w:val="10"/>
    </w:lvl>
    <w:lvl w:ilvl="1">
      <w:lvlJc w:val="left"/>
      <w:lvlText w:val="•"/>
      <w:numFmt w:val="bullet"/>
      <w:start w:val="1"/>
    </w:lvl>
  </w:abstractNum>
  <w:abstractNum w:abstractNumId="56">
    <w:nsid w:val="235BA861"/>
    <w:multiLevelType w:val="hybridMultilevel"/>
    <w:lvl w:ilvl="0">
      <w:lvlJc w:val="left"/>
      <w:lvlText w:val="%1."/>
      <w:numFmt w:val="decimal"/>
      <w:start w:val="11"/>
    </w:lvl>
  </w:abstractNum>
  <w:abstractNum w:abstractNumId="57">
    <w:nsid w:val="47398C89"/>
    <w:multiLevelType w:val="hybridMultilevel"/>
    <w:lvl w:ilvl="0">
      <w:lvlJc w:val="left"/>
      <w:lvlText w:val="%1."/>
      <w:numFmt w:val="decimal"/>
      <w:start w:val="12"/>
    </w:lvl>
  </w:abstractNum>
  <w:abstractNum w:abstractNumId="58">
    <w:nsid w:val="354FE9F9"/>
    <w:multiLevelType w:val="hybridMultilevel"/>
    <w:lvl w:ilvl="0">
      <w:lvlJc w:val="left"/>
      <w:lvlText w:val="%1."/>
      <w:numFmt w:val="decimal"/>
      <w:start w:val="1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2026-03-02T16:32:26Z</dcterms:created>
  <dcterms:modified xsi:type="dcterms:W3CDTF">2026-03-02T16:32:26Z</dcterms:modified>
</cp:coreProperties>
</file>