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333-221654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333-215291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POST-EFFECTIVE AMENDMENT NO. 1 TO FORM S-8 REGISTRATION STATEMENT NO. 333-221654</w:t>
      </w:r>
    </w:p>
    <w:p>
      <w:pPr>
        <w:spacing w:after="0" w:line="2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POST-EFFECTIVE AMENDMENT NO. 1 TO FORM S-8 REGISTRATION STATEMENT NO. 333-215291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POST-EFFECTIVE AMENDMENT NO. 1 TO FORM S-8 REGISTRATION STATEMENT NO. 333-209331</w:t>
      </w:r>
    </w:p>
    <w:p>
      <w:pPr>
        <w:jc w:val="center"/>
        <w:spacing w:after="0" w:line="236"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BROADCOM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598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35-2617337</w:t>
            </w:r>
          </w:p>
        </w:tc>
      </w:tr>
      <w:tr>
        <w:trPr>
          <w:trHeight w:val="149"/>
        </w:trPr>
        <w:tc>
          <w:tcPr>
            <w:tcW w:w="5980" w:type="dxa"/>
            <w:vAlign w:val="bottom"/>
            <w:gridSpan w:val="3"/>
          </w:tcPr>
          <w:p>
            <w:pPr>
              <w:jc w:val="center"/>
              <w:ind w:right="40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gridSpan w:val="3"/>
          </w:tcPr>
          <w:p>
            <w:pPr>
              <w:jc w:val="center"/>
              <w:ind w:right="4040"/>
              <w:spacing w:after="0"/>
              <w:rPr>
                <w:sz w:val="20"/>
                <w:szCs w:val="20"/>
                <w:color w:val="auto"/>
              </w:rPr>
            </w:pPr>
            <w:r>
              <w:rPr>
                <w:rFonts w:ascii="Arial" w:cs="Arial" w:eastAsia="Arial" w:hAnsi="Arial"/>
                <w:sz w:val="14"/>
                <w:szCs w:val="14"/>
                <w:b w:val="1"/>
                <w:bCs w:val="1"/>
                <w:color w:val="auto"/>
                <w:w w:val="95"/>
              </w:rPr>
              <w:t>Incorporation or Organization)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600" w:type="dxa"/>
            <w:vAlign w:val="bottom"/>
          </w:tcPr>
          <w:p>
            <w:pPr>
              <w:spacing w:after="0"/>
              <w:rPr>
                <w:sz w:val="24"/>
                <w:szCs w:val="24"/>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3"/>
              </w:rPr>
              <w:t>1320 Ridder Park Drive</w:t>
            </w:r>
          </w:p>
        </w:tc>
        <w:tc>
          <w:tcPr>
            <w:tcW w:w="1460" w:type="dxa"/>
            <w:vAlign w:val="bottom"/>
          </w:tcPr>
          <w:p>
            <w:pPr>
              <w:spacing w:after="0"/>
              <w:rPr>
                <w:sz w:val="24"/>
                <w:szCs w:val="24"/>
                <w:color w:val="auto"/>
              </w:rPr>
            </w:pPr>
          </w:p>
        </w:tc>
      </w:tr>
      <w:tr>
        <w:trPr>
          <w:trHeight w:val="212"/>
        </w:trPr>
        <w:tc>
          <w:tcPr>
            <w:tcW w:w="2600" w:type="dxa"/>
            <w:vAlign w:val="bottom"/>
          </w:tcPr>
          <w:p>
            <w:pPr>
              <w:spacing w:after="0"/>
              <w:rPr>
                <w:sz w:val="18"/>
                <w:szCs w:val="18"/>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9"/>
              </w:rPr>
              <w:t>San Jose, California 95131</w:t>
            </w:r>
          </w:p>
        </w:tc>
        <w:tc>
          <w:tcPr>
            <w:tcW w:w="1460" w:type="dxa"/>
            <w:vAlign w:val="bottom"/>
          </w:tcPr>
          <w:p>
            <w:pPr>
              <w:spacing w:after="0"/>
              <w:rPr>
                <w:sz w:val="18"/>
                <w:szCs w:val="18"/>
                <w:color w:val="auto"/>
              </w:rPr>
            </w:pPr>
          </w:p>
        </w:tc>
      </w:tr>
      <w:tr>
        <w:trPr>
          <w:trHeight w:val="186"/>
        </w:trPr>
        <w:tc>
          <w:tcPr>
            <w:tcW w:w="5980" w:type="dxa"/>
            <w:vAlign w:val="bottom"/>
            <w:gridSpan w:val="3"/>
          </w:tcPr>
          <w:p>
            <w:pPr>
              <w:jc w:val="center"/>
              <w:ind w:left="1541"/>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460" w:type="dxa"/>
            <w:vAlign w:val="bottom"/>
          </w:tcPr>
          <w:p>
            <w:pPr>
              <w:spacing w:after="0"/>
              <w:rPr>
                <w:sz w:val="16"/>
                <w:szCs w:val="16"/>
                <w:color w:val="auto"/>
              </w:rPr>
            </w:pPr>
          </w:p>
        </w:tc>
      </w:tr>
      <w:tr>
        <w:trPr>
          <w:trHeight w:val="336"/>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6"/>
        </w:trPr>
        <w:tc>
          <w:tcPr>
            <w:tcW w:w="5980" w:type="dxa"/>
            <w:vAlign w:val="bottom"/>
            <w:gridSpan w:val="3"/>
          </w:tcPr>
          <w:p>
            <w:pPr>
              <w:jc w:val="center"/>
              <w:ind w:left="1541"/>
              <w:spacing w:after="0"/>
              <w:rPr>
                <w:sz w:val="20"/>
                <w:szCs w:val="20"/>
                <w:color w:val="auto"/>
              </w:rPr>
            </w:pPr>
            <w:r>
              <w:rPr>
                <w:rFonts w:ascii="Arial" w:cs="Arial" w:eastAsia="Arial" w:hAnsi="Arial"/>
                <w:sz w:val="18"/>
                <w:szCs w:val="18"/>
                <w:b w:val="1"/>
                <w:bCs w:val="1"/>
                <w:color w:val="auto"/>
                <w:w w:val="89"/>
              </w:rPr>
              <w:t>Brocade Communications Systems, Inc. 2009 Stock Plan</w:t>
            </w:r>
          </w:p>
        </w:tc>
        <w:tc>
          <w:tcPr>
            <w:tcW w:w="14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Brocade Communications Systems, Inc. Amended and Restated Inducement Award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Avago Technologies Limited 2009 Equity Incentive Award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Broadcom Corporation 2012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LSI Corporation 2003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Broadcom Limited Employee Share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Emulex Corporation 2005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 to Purchase Syntax Stock Agreement with Joseph M. Marvin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 for Executive Employees of Avago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Technologies Limited and Subsidiaries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 for Senior Management Employees of Avago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Technologies Limited and Subsidiaries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Brazeal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Rebecca Boyden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Broadcom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1320 Ridder Park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433-8000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Anthony J. Richmond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328-4600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(650) 463-2600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29"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40" w:space="380"/>
            <w:col w:w="160" w:space="100"/>
            <w:col w:w="5960" w:space="720"/>
            <w:col w:w="1980" w:space="420"/>
            <w:col w:w="160"/>
          </w:cols>
          <w:pgMar w:left="240" w:top="229" w:right="239" w:bottom="0" w:gutter="0" w:footer="0" w:header="0"/>
          <w:type w:val="continuous"/>
        </w:sectPr>
      </w:pPr>
    </w:p>
    <w:bookmarkStart w:id="1" w:name="page2"/>
    <w:bookmarkEnd w:id="1"/>
    <w:p>
      <w:pPr>
        <w:ind w:left="886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the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 to be</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Shares of common stock, par value $0.001 per share, of Broadcom</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xml:space="preserve">Inc., a Delaware corporation </w:t>
            </w:r>
            <w:r>
              <w:rPr>
                <w:rFonts w:ascii="Arial" w:cs="Arial" w:eastAsia="Arial" w:hAnsi="Arial"/>
                <w:sz w:val="15"/>
                <w:szCs w:val="15"/>
                <w:color w:val="auto"/>
              </w:rPr>
              <w:t>(1)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rPr>
              <w:t>N/A</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60" w:hanging="452"/>
        <w:spacing w:after="0" w:line="27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securities are to be registered, and registration fees were paid upon filing of the original Registration Statements on Form S-8 (File Nos. 333-221654, 333-215291 and 333-209331). Therefore no further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Post-Effective Amendment is being filed pursuant to Rule 414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by Broadcom Inc., a Delaware corporation (“</w:t>
      </w:r>
      <w:r>
        <w:rPr>
          <w:rFonts w:ascii="Arial" w:cs="Arial" w:eastAsia="Arial" w:hAnsi="Arial"/>
          <w:sz w:val="18"/>
          <w:szCs w:val="18"/>
          <w:u w:val="single" w:color="auto"/>
          <w:color w:val="auto"/>
        </w:rPr>
        <w:t>Broadcom-Delaware</w:t>
      </w:r>
      <w:r>
        <w:rPr>
          <w:rFonts w:ascii="Arial" w:cs="Arial" w:eastAsia="Arial" w:hAnsi="Arial"/>
          <w:sz w:val="18"/>
          <w:szCs w:val="18"/>
          <w:color w:val="auto"/>
        </w:rPr>
        <w:t>” or the “</w:t>
      </w:r>
      <w:r>
        <w:rPr>
          <w:rFonts w:ascii="Arial" w:cs="Arial" w:eastAsia="Arial" w:hAnsi="Arial"/>
          <w:sz w:val="18"/>
          <w:szCs w:val="18"/>
          <w:u w:val="single" w:color="auto"/>
          <w:color w:val="auto"/>
        </w:rPr>
        <w:t>Registrant</w:t>
      </w:r>
      <w:r>
        <w:rPr>
          <w:rFonts w:ascii="Arial" w:cs="Arial" w:eastAsia="Arial" w:hAnsi="Arial"/>
          <w:sz w:val="18"/>
          <w:szCs w:val="18"/>
          <w:color w:val="auto"/>
        </w:rPr>
        <w:t>”), as successor issuer to Broadcom Limited, a public company limited by shares incorporated under the laws of the Republic of Singapore (“</w:t>
      </w:r>
      <w:r>
        <w:rPr>
          <w:rFonts w:ascii="Arial" w:cs="Arial" w:eastAsia="Arial" w:hAnsi="Arial"/>
          <w:sz w:val="18"/>
          <w:szCs w:val="18"/>
          <w:u w:val="single" w:color="auto"/>
          <w:color w:val="auto"/>
        </w:rPr>
        <w:t>Broadcom-Singapore</w:t>
      </w:r>
      <w:r>
        <w:rPr>
          <w:rFonts w:ascii="Arial" w:cs="Arial" w:eastAsia="Arial" w:hAnsi="Arial"/>
          <w:sz w:val="18"/>
          <w:szCs w:val="18"/>
          <w:color w:val="auto"/>
        </w:rPr>
        <w:t>”). On April 4, 2018, Broadcom-Delaware and Broadcom-Singapore completed the statutory scheme of arrangement (the “</w:t>
      </w:r>
      <w:r>
        <w:rPr>
          <w:rFonts w:ascii="Arial" w:cs="Arial" w:eastAsia="Arial" w:hAnsi="Arial"/>
          <w:sz w:val="18"/>
          <w:szCs w:val="18"/>
          <w:u w:val="single" w:color="auto"/>
          <w:color w:val="auto"/>
        </w:rPr>
        <w:t>Scheme of Arrangement</w:t>
      </w:r>
      <w:r>
        <w:rPr>
          <w:rFonts w:ascii="Arial" w:cs="Arial" w:eastAsia="Arial" w:hAnsi="Arial"/>
          <w:sz w:val="18"/>
          <w:szCs w:val="18"/>
          <w:color w:val="auto"/>
        </w:rPr>
        <w:t>”) in Singapore which was approved by Broadcom-Singapore’s shareholders at a meeting for which proxies were solicited pursuant to Section 14(a)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pursuant to which all issued ordinary shares in the capital of Broadcom-Singapore as of immediately prior to the effective time of the Scheme of Arrangement were exchanged on a one-for-one basis for newly issued shares of common stock of Broadcom-Delaware (the “</w:t>
      </w:r>
      <w:r>
        <w:rPr>
          <w:rFonts w:ascii="Arial" w:cs="Arial" w:eastAsia="Arial" w:hAnsi="Arial"/>
          <w:sz w:val="18"/>
          <w:szCs w:val="18"/>
          <w:u w:val="single" w:color="auto"/>
          <w:color w:val="auto"/>
        </w:rPr>
        <w:t>Redomiciliation</w:t>
      </w:r>
      <w:r>
        <w:rPr>
          <w:rFonts w:ascii="Arial" w:cs="Arial" w:eastAsia="Arial" w:hAnsi="Arial"/>
          <w:sz w:val="18"/>
          <w:szCs w:val="18"/>
          <w:color w:val="auto"/>
        </w:rPr>
        <w:t>”). As a result of the Redomiciliation, Broadcom-Singapore is now a wholly-owned subsidiary of Broadcom-Delaware, and Broadcom-Delaware is the successor issuer to Broadcom-Singapore.</w:t>
      </w:r>
    </w:p>
    <w:p>
      <w:pPr>
        <w:spacing w:after="0" w:line="19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Redomiciliation, Broadcom-Delaware assumed Broadcom-Singapore’s existing obligations in connection with awards granted under Broadcom-Singapore’s incentive plans and other similar employee awards and amended such plans and awards as necessary to provide for the issuance of shares of Broadcom-Delaware common stock rather than the ordinary shares of Broadcom-Singapore upon the exercise of awards. This Post-Effective Amendment pertains to the adoption by the Company of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w:t>
      </w:r>
    </w:p>
    <w:p>
      <w:pPr>
        <w:spacing w:after="0" w:line="2" w:lineRule="exact"/>
        <w:rPr>
          <w:sz w:val="20"/>
          <w:szCs w:val="20"/>
          <w:color w:val="auto"/>
        </w:rPr>
      </w:pPr>
    </w:p>
    <w:p>
      <w:pPr>
        <w:ind w:right="480" w:firstLine="8"/>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No. 333-221654; (ii) Registration No. 333-215291; and (iii) Registration No. 333-209331. The Company hereby expressly adopts each Registration Statement as its own registration statement for all purposes of the Securities Act and the Exchange Act. This Post-Effective Amendment constitutes Post-Effective Amendment No. 1 to each of the Registration Statements.</w:t>
      </w:r>
    </w:p>
    <w:p>
      <w:pPr>
        <w:sectPr>
          <w:pgSz w:w="11900" w:h="16838" w:orient="portrait"/>
          <w:cols w:equalWidth="0" w:num="1">
            <w:col w:w="11360"/>
          </w:cols>
          <w:pgMar w:left="240" w:top="270" w:right="2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Incorporation of Documents by Reference</w:t>
      </w:r>
      <w:r>
        <w:rPr>
          <w:rFonts w:ascii="Arial" w:cs="Arial" w:eastAsia="Arial" w:hAnsi="Arial"/>
          <w:sz w:val="16"/>
          <w:szCs w:val="16"/>
          <w:b w:val="1"/>
          <w:bCs w:val="1"/>
          <w:color w:val="auto"/>
        </w:rPr>
        <w: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Broadcom-Delaware hereby incorporates by reference the following documents previously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(only to the extent “filed” and not “furnished” in accordance with SEC rules):</w:t>
      </w:r>
    </w:p>
    <w:p>
      <w:pPr>
        <w:spacing w:after="0" w:line="7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 Report of Broadcom-Singapore on Form 10-K for the fiscal year ended October 29, 2017, filed with the SEC on December 21, 2017;</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of Broadcom-Singapore on Form 10-Q for the quarterly period ended February 4, 2018;</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Broadcom-Singapore’s Current Reports on Form 8-K filed with the SEC on November 2, 2017, November 6, 2017, November 17, 2017, December 6, 2017, February 5, 2018, February 9, 2018, February 12, 2018, February 15, 2018, March 6, 2018, March 14, 2018, March 15, 2018, March 23, 2018, March 26, 2018 and April 4, 2018;</w:t>
      </w:r>
    </w:p>
    <w:p>
      <w:pPr>
        <w:sectPr>
          <w:pgSz w:w="11900" w:h="16838" w:orient="portrait"/>
          <w:cols w:equalWidth="0" w:num="1">
            <w:col w:w="11360"/>
          </w:cols>
          <w:pgMar w:left="240" w:top="270" w:right="299" w:bottom="1440" w:gutter="0" w:footer="0" w:header="0"/>
        </w:sectPr>
      </w:pPr>
    </w:p>
    <w:bookmarkStart w:id="4" w:name="page5"/>
    <w:bookmarkEnd w:id="4"/>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Broadcom-Delaware’s Current Reports on Form 8-K filed with the SEC on March 23, 2018, March 26, 2018 and April 4, 2018;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Broadcom-Delaware’s common stock which is contained in Broadcom-Delaware’s Current Report on Form 8-K filed on April 4, 2018 pursuant to Rule 12g-3(a) promulgated under the Exchange Act, including any amendment or report filed for the purpose of updating such description.</w:t>
      </w:r>
    </w:p>
    <w:p>
      <w:pPr>
        <w:spacing w:after="0" w:line="18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All reports that Broadcom-Delaware subsequently files pursuant to Sections 13(a) and 13(c), 14 and 15(d) of the Exchange Act, after the date of this Post-Effective Amendment and prior to the filing of a post-effective amendment to this Post-Effective Amendment which indicates that all securities offered hereunder have been sold or which deregisters all such securities then remaining unsold, shall be deemed to be incorporated by reference in this Post-Effective Amendment and to be a part hereof from the date of filing of such reports and documents. Unless expressly incorporated in this Post-Effective Amendment, a report furnished on Form 8-K shall not be incorporated by reference into this Post-Effective Amendment.</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statement contained herein or in a document incorporated by reference herein shall be deemed to be modified or superseded for purposes of this Post-Effective Amendment to the extent that a statement contained herein or in any other subsequently filed document which also is or is deemed to be incorporated by reference herein modifies or supersedes such earlier statement. Any statement so modified or superseded shall not be deemed, except as so modified or superseded, to constitute a part of this Post-Effective Amendment.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Description of Securities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Interests of Named Experts and Counsel</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Section 145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7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Broadcom-Delaware certificate of incorporation provides that its directors and officers will be indemnified by Broadcom-Delaware to the fullest extent authorized by Delaware law as it now exists or may in the future be amended, against all expenses, liabilities and loss incurred in connection with their service as a director or officer on behalf of the corporation.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permitted by Section 102(b)(7) of the DGCL, the Broadcom-Delaware certificate of incorporation provides that a director of Broadcom-Delaware shall not be personally liable to Broadcom-Delaware or its stockholders for monetary damages for breach of fiduciary duty as a director, except for such liability as is expressly not subject to limitation under the DGCL, as the same exists or may hereafter be amended to further limit or eliminate such liability.</w:t>
      </w:r>
    </w:p>
    <w:p>
      <w:pPr>
        <w:sectPr>
          <w:pgSz w:w="11900" w:h="16838" w:orient="portrait"/>
          <w:cols w:equalWidth="0" w:num="1">
            <w:col w:w="11420"/>
          </w:cols>
          <w:pgMar w:left="240" w:top="274" w:right="239" w:bottom="1440" w:gutter="0" w:footer="0" w:header="0"/>
        </w:sectPr>
      </w:pPr>
    </w:p>
    <w:bookmarkStart w:id="5" w:name="page6"/>
    <w:bookmarkEnd w:id="5"/>
    <w:p>
      <w:pPr>
        <w:ind w:right="6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Broadcom-Delaware has also entered into certain indemnification agreements with its directors and officers. The indemnification agreements provide Broadcom-Delaware’s directors and officers with further indemnification, to the maximum extent permitted by the DGCL.</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permitted by Section 145(g) of the DGCL, Broadcom-Delaware also maintains a directors’ and officers’ insurance policy which insures the directors and officers of Broadcom-Delaware against liability asserted against such persons in such capacity whether or not such directors or officers have the right to indemnification pursuant to the Broadcom-Delaware certificate of incorporation, bylaws or otherwise.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Exemption from Registration Claimed</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Exhibits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herein.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Undertakings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117"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20" w:right="80" w:firstLine="1"/>
        <w:spacing w:after="0" w:line="255" w:lineRule="auto"/>
        <w:tabs>
          <w:tab w:leader="none" w:pos="11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320" w:firstLine="1"/>
        <w:spacing w:after="0" w:line="277" w:lineRule="auto"/>
        <w:tabs>
          <w:tab w:leader="none" w:pos="123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the Registration Statement;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(a)(i) and (a)(ii) do not apply if this Registration Statement is on Form S-8 and the information required to be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a post-effective amendment by those paragraphs is contained in reports filed with or furnished to the SEC by the Registrant pursuant to Section 13 or 15(d) of the Exchange Act that are incorporated by reference in this Registration Statement.</w:t>
      </w:r>
    </w:p>
    <w:p>
      <w:pPr>
        <w:spacing w:after="0" w:line="181" w:lineRule="exact"/>
        <w:rPr>
          <w:sz w:val="20"/>
          <w:szCs w:val="20"/>
          <w:color w:val="auto"/>
        </w:rPr>
      </w:pPr>
    </w:p>
    <w:p>
      <w:pPr>
        <w:ind w:left="460" w:right="80" w:firstLine="4"/>
        <w:spacing w:after="0" w:line="264" w:lineRule="auto"/>
        <w:tabs>
          <w:tab w:leader="none" w:pos="71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460" w:right="160" w:firstLine="4"/>
        <w:spacing w:after="0" w:line="277"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w:t>
      </w:r>
    </w:p>
    <w:p>
      <w:pPr>
        <w:ind w:right="80"/>
        <w:spacing w:after="0" w:line="290" w:lineRule="auto"/>
        <w:rPr>
          <w:sz w:val="20"/>
          <w:szCs w:val="20"/>
          <w:color w:val="auto"/>
        </w:rPr>
      </w:pPr>
      <w:r>
        <w:rPr>
          <w:rFonts w:ascii="Arial" w:cs="Arial" w:eastAsia="Arial" w:hAnsi="Arial"/>
          <w:sz w:val="17"/>
          <w:szCs w:val="17"/>
          <w:color w:val="auto"/>
        </w:rPr>
        <w:t>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40" w:type="dxa"/>
            <w:vAlign w:val="bottom"/>
            <w:gridSpan w:val="29"/>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620" w:type="dxa"/>
            <w:vAlign w:val="bottom"/>
          </w:tcPr>
          <w:p>
            <w:pPr>
              <w:jc w:val="right"/>
              <w:ind w:right="211"/>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2"/>
                <w:szCs w:val="22"/>
                <w:color w:val="auto"/>
              </w:rPr>
            </w:pPr>
          </w:p>
        </w:tc>
        <w:tc>
          <w:tcPr>
            <w:tcW w:w="10120" w:type="dxa"/>
            <w:vAlign w:val="bottom"/>
            <w:gridSpan w:val="38"/>
          </w:tcPr>
          <w:p>
            <w:pPr>
              <w:spacing w:after="0"/>
              <w:rPr>
                <w:rFonts w:ascii="Arial" w:cs="Arial" w:eastAsia="Arial" w:hAnsi="Arial"/>
                <w:sz w:val="18"/>
                <w:szCs w:val="18"/>
                <w:color w:val="auto"/>
                <w:w w:val="92"/>
              </w:rPr>
            </w:pPr>
            <w:hyperlink r:id="rId23">
              <w:r>
                <w:rPr>
                  <w:rFonts w:ascii="Arial" w:cs="Arial" w:eastAsia="Arial" w:hAnsi="Arial"/>
                  <w:sz w:val="18"/>
                  <w:szCs w:val="18"/>
                  <w:color w:val="auto"/>
                  <w:w w:val="92"/>
                </w:rPr>
                <w:t xml:space="preserve">Amended and Restated Certificate of Incorporation of Broadcom Inc. </w:t>
              </w:r>
              <w:r>
                <w:rPr>
                  <w:rFonts w:ascii="Arial" w:cs="Arial" w:eastAsia="Arial" w:hAnsi="Arial"/>
                  <w:sz w:val="18"/>
                  <w:szCs w:val="18"/>
                  <w:color w:val="0000EE"/>
                  <w:w w:val="92"/>
                </w:rPr>
                <w:t>(incorporated by reference to Exhibit 3.1 of Broadcom Inc.’s Form 8-</w:t>
              </w:r>
            </w:hyperlink>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K12B filed with the SEC on April 4, 2018).</w:t>
              </w:r>
            </w:hyperlink>
          </w:p>
        </w:tc>
        <w:tc>
          <w:tcPr>
            <w:tcW w:w="5000" w:type="dxa"/>
            <w:vAlign w:val="bottom"/>
            <w:tcBorders>
              <w:top w:val="single" w:sz="8" w:color="0000EE"/>
            </w:tcBorders>
            <w:gridSpan w:val="22"/>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2"/>
              </w:rPr>
            </w:pPr>
            <w:hyperlink r:id="rId24">
              <w:r>
                <w:rPr>
                  <w:rFonts w:ascii="Arial" w:cs="Arial" w:eastAsia="Arial" w:hAnsi="Arial"/>
                  <w:sz w:val="18"/>
                  <w:szCs w:val="18"/>
                  <w:color w:val="auto"/>
                  <w:w w:val="92"/>
                </w:rPr>
                <w:t xml:space="preserve">Amended and Restated Bylaws of Broadcom Inc. </w:t>
              </w:r>
              <w:r>
                <w:rPr>
                  <w:rFonts w:ascii="Arial" w:cs="Arial" w:eastAsia="Arial" w:hAnsi="Arial"/>
                  <w:sz w:val="18"/>
                  <w:szCs w:val="18"/>
                  <w:color w:val="0000EE"/>
                  <w:w w:val="92"/>
                </w:rPr>
                <w:t>(incorporated by reference to Exhibit 3.2 of Broadcom Inc.’s Form 8-K12B filed with the</w:t>
              </w:r>
            </w:hyperlink>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0" w:type="dxa"/>
            <w:vAlign w:val="bottom"/>
            <w:gridSpan w:val="8"/>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SEC on April 4, 2018).</w:t>
              </w:r>
            </w:hyperlink>
          </w:p>
        </w:tc>
        <w:tc>
          <w:tcPr>
            <w:tcW w:w="6440" w:type="dxa"/>
            <w:vAlign w:val="bottom"/>
            <w:tcBorders>
              <w:top w:val="single" w:sz="8" w:color="0000EE"/>
            </w:tcBorders>
            <w:gridSpan w:val="29"/>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73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2"/>
              </w:rPr>
              <w:t>Opinion of Latham &amp; Watkins LLP as to the legality of the securities being registered (filed herewith).</w:t>
            </w:r>
          </w:p>
        </w:tc>
        <w:tc>
          <w:tcPr>
            <w:tcW w:w="2740" w:type="dxa"/>
            <w:vAlign w:val="bottom"/>
            <w:gridSpan w:val="15"/>
          </w:tcPr>
          <w:p>
            <w:pPr>
              <w:spacing w:after="0"/>
              <w:rPr>
                <w:sz w:val="24"/>
                <w:szCs w:val="24"/>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10.1</w:t>
            </w:r>
          </w:p>
        </w:tc>
        <w:tc>
          <w:tcPr>
            <w:tcW w:w="680" w:type="dxa"/>
            <w:vAlign w:val="bottom"/>
          </w:tcPr>
          <w:p>
            <w:pPr>
              <w:spacing w:after="0"/>
              <w:rPr>
                <w:sz w:val="24"/>
                <w:szCs w:val="24"/>
                <w:color w:val="auto"/>
              </w:rPr>
            </w:pPr>
          </w:p>
        </w:tc>
        <w:tc>
          <w:tcPr>
            <w:tcW w:w="9740" w:type="dxa"/>
            <w:vAlign w:val="bottom"/>
            <w:tcBorders>
              <w:bottom w:val="single" w:sz="8" w:color="0000EE"/>
            </w:tcBorders>
            <w:gridSpan w:val="33"/>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Avago Technologies Limited 2009 Equity Incentive Award Plan (incorporated by reference to Exhibit 10.18 of the Avago Technologies</w:t>
              </w:r>
            </w:hyperlink>
          </w:p>
        </w:tc>
        <w:tc>
          <w:tcPr>
            <w:tcW w:w="380" w:type="dxa"/>
            <w:vAlign w:val="bottom"/>
            <w:gridSpan w:val="5"/>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Limited’s Registration Statement on Form S-1 (SEC File No. 333-153127) filed with the SEC on July 27, 2009).</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10.2</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1"/>
              </w:rPr>
            </w:pPr>
            <w:hyperlink r:id="rId26">
              <w:r>
                <w:rPr>
                  <w:rFonts w:ascii="Arial" w:cs="Arial" w:eastAsia="Arial" w:hAnsi="Arial"/>
                  <w:sz w:val="18"/>
                  <w:szCs w:val="18"/>
                  <w:color w:val="auto"/>
                  <w:w w:val="91"/>
                </w:rPr>
                <w:t xml:space="preserve">Broadcom Corporation 2012 Stock Incentive Plan </w:t>
              </w:r>
              <w:r>
                <w:rPr>
                  <w:rFonts w:ascii="Arial" w:cs="Arial" w:eastAsia="Arial" w:hAnsi="Arial"/>
                  <w:sz w:val="18"/>
                  <w:szCs w:val="18"/>
                  <w:color w:val="0000EE"/>
                  <w:w w:val="91"/>
                </w:rPr>
                <w:t>(incorporated by reference to Exhibit 10.20 of Broadcom Corporation’s Annual Report on</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9"/>
              </w:rPr>
            </w:pPr>
            <w:hyperlink r:id="rId26">
              <w:r>
                <w:rPr>
                  <w:rFonts w:ascii="Arial" w:cs="Arial" w:eastAsia="Arial" w:hAnsi="Arial"/>
                  <w:sz w:val="18"/>
                  <w:szCs w:val="18"/>
                  <w:color w:val="0000EE"/>
                  <w:w w:val="99"/>
                </w:rPr>
                <w:t>Form 10-K (SEC File No. 000-23993) filed with the SEC on January 29, 2015</w:t>
              </w:r>
              <w:r>
                <w:rPr>
                  <w:rFonts w:ascii="Arial" w:cs="Arial" w:eastAsia="Arial" w:hAnsi="Arial"/>
                  <w:sz w:val="18"/>
                  <w:szCs w:val="18"/>
                  <w:color w:val="000000"/>
                  <w:w w:val="99"/>
                </w:rPr>
                <w:t>, as amended by the Amendment to the Broadcom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4"/>
              </w:rPr>
            </w:pPr>
            <w:hyperlink r:id="rId27">
              <w:r>
                <w:rPr>
                  <w:rFonts w:ascii="Arial" w:cs="Arial" w:eastAsia="Arial" w:hAnsi="Arial"/>
                  <w:sz w:val="18"/>
                  <w:szCs w:val="18"/>
                  <w:color w:val="auto"/>
                  <w:w w:val="94"/>
                </w:rPr>
                <w:t xml:space="preserve">Corporation 2012 Stock Incentive Plan </w:t>
              </w:r>
              <w:r>
                <w:rPr>
                  <w:rFonts w:ascii="Arial" w:cs="Arial" w:eastAsia="Arial" w:hAnsi="Arial"/>
                  <w:sz w:val="18"/>
                  <w:szCs w:val="18"/>
                  <w:color w:val="0000EE"/>
                  <w:w w:val="94"/>
                </w:rPr>
                <w:t>(incorporated by reference to Exhibit 10.49 of Broadcom Limited’s Annual Report on Form 10-K</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(SEC File No. 001-37690) filed with the SEC December 23, 2016).</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10.3</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6"/>
              </w:rPr>
            </w:pPr>
            <w:hyperlink r:id="rId28">
              <w:r>
                <w:rPr>
                  <w:rFonts w:ascii="Arial" w:cs="Arial" w:eastAsia="Arial" w:hAnsi="Arial"/>
                  <w:sz w:val="18"/>
                  <w:szCs w:val="18"/>
                  <w:color w:val="auto"/>
                  <w:w w:val="96"/>
                </w:rPr>
                <w:t xml:space="preserve">LSI Corporation 2003 Equity Incentive Plan, as amended </w:t>
              </w:r>
              <w:r>
                <w:rPr>
                  <w:rFonts w:ascii="Arial" w:cs="Arial" w:eastAsia="Arial" w:hAnsi="Arial"/>
                  <w:sz w:val="18"/>
                  <w:szCs w:val="18"/>
                  <w:color w:val="0000EE"/>
                  <w:w w:val="96"/>
                </w:rPr>
                <w:t>(incorporated by reference to Exhibit 4.1 of Avago Technologies Limited’s</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 xml:space="preserve">Registration Statement on Form S-8 (SEC File No. 333-195741) filed with the SEC on May 6, 2014) </w:t>
              </w:r>
              <w:r>
                <w:rPr>
                  <w:rFonts w:ascii="Arial" w:cs="Arial" w:eastAsia="Arial" w:hAnsi="Arial"/>
                  <w:sz w:val="18"/>
                  <w:szCs w:val="18"/>
                  <w:color w:val="000000"/>
                  <w:w w:val="91"/>
                </w:rPr>
                <w:t xml:space="preserve">as amended by the Amendment </w:t>
              </w:r>
            </w:hyperlink>
            <w:r>
              <w:rPr>
                <w:rFonts w:ascii="Arial" w:cs="Arial" w:eastAsia="Arial" w:hAnsi="Arial"/>
                <w:sz w:val="18"/>
                <w:szCs w:val="18"/>
                <w:color w:val="0000EE"/>
                <w:w w:val="91"/>
              </w:rPr>
              <w:t xml:space="preserve">to </w:t>
            </w:r>
            <w:r>
              <w:rPr>
                <w:rFonts w:ascii="Arial" w:cs="Arial" w:eastAsia="Arial" w:hAnsi="Arial"/>
                <w:sz w:val="18"/>
                <w:szCs w:val="18"/>
                <w:color w:val="000000"/>
                <w:w w:val="91"/>
              </w:rPr>
              <w:t>the</w:t>
            </w:r>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4"/>
              </w:rPr>
            </w:pPr>
            <w:hyperlink r:id="rId29">
              <w:r>
                <w:rPr>
                  <w:rFonts w:ascii="Arial" w:cs="Arial" w:eastAsia="Arial" w:hAnsi="Arial"/>
                  <w:sz w:val="18"/>
                  <w:szCs w:val="18"/>
                  <w:color w:val="auto"/>
                  <w:w w:val="94"/>
                </w:rPr>
                <w:t xml:space="preserve">LSI Corporation 2003 Equity Incentive Plan </w:t>
              </w:r>
              <w:r>
                <w:rPr>
                  <w:rFonts w:ascii="Arial" w:cs="Arial" w:eastAsia="Arial" w:hAnsi="Arial"/>
                  <w:sz w:val="18"/>
                  <w:szCs w:val="18"/>
                  <w:color w:val="0000EE"/>
                  <w:w w:val="94"/>
                </w:rPr>
                <w:t>(incorporated by reference to Exhibit 10.45 of Broadcom Limited’s Annual Report on Form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10-K (SEC File No. 001-37690) filed with the SEC on December 23, 2016)</w:t>
              </w:r>
              <w:r>
                <w:rPr>
                  <w:rFonts w:ascii="Arial" w:cs="Arial" w:eastAsia="Arial" w:hAnsi="Arial"/>
                  <w:sz w:val="18"/>
                  <w:szCs w:val="18"/>
                  <w:color w:val="000000"/>
                </w:rPr>
                <w:t>.</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10.4</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4"/>
              </w:rPr>
            </w:pPr>
            <w:hyperlink r:id="rId30">
              <w:r>
                <w:rPr>
                  <w:rFonts w:ascii="Arial" w:cs="Arial" w:eastAsia="Arial" w:hAnsi="Arial"/>
                  <w:sz w:val="18"/>
                  <w:szCs w:val="18"/>
                  <w:color w:val="auto"/>
                  <w:w w:val="94"/>
                </w:rPr>
                <w:t>Emulex Corporation 2005 Equity Incentive Plan (</w:t>
              </w:r>
              <w:r>
                <w:rPr>
                  <w:rFonts w:ascii="Arial" w:cs="Arial" w:eastAsia="Arial" w:hAnsi="Arial"/>
                  <w:sz w:val="18"/>
                  <w:szCs w:val="18"/>
                  <w:color w:val="0000EE"/>
                  <w:w w:val="94"/>
                </w:rPr>
                <w:t>incorporated by reference to Exhibit 4.1 of Avago Technologies Limited’s Registration</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Statement on Form S-8 (SEC File No. 333-203858) filed with the SEC on May 5, 2015</w:t>
              </w:r>
              <w:r>
                <w:rPr>
                  <w:rFonts w:ascii="Arial" w:cs="Arial" w:eastAsia="Arial" w:hAnsi="Arial"/>
                  <w:sz w:val="18"/>
                  <w:szCs w:val="18"/>
                  <w:color w:val="000000"/>
                  <w:w w:val="92"/>
                </w:rPr>
                <w:t>), as amended by the Amendment to the Amended</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3"/>
              </w:rPr>
            </w:pPr>
            <w:hyperlink r:id="rId31">
              <w:r>
                <w:rPr>
                  <w:rFonts w:ascii="Arial" w:cs="Arial" w:eastAsia="Arial" w:hAnsi="Arial"/>
                  <w:sz w:val="18"/>
                  <w:szCs w:val="18"/>
                  <w:color w:val="auto"/>
                  <w:w w:val="93"/>
                </w:rPr>
                <w:t xml:space="preserve">and Restated Emulex Corporation 2005 Equity Incentive Plan </w:t>
              </w:r>
              <w:r>
                <w:rPr>
                  <w:rFonts w:ascii="Arial" w:cs="Arial" w:eastAsia="Arial" w:hAnsi="Arial"/>
                  <w:sz w:val="18"/>
                  <w:szCs w:val="18"/>
                  <w:color w:val="0000EE"/>
                  <w:w w:val="93"/>
                </w:rPr>
                <w:t>(incorporated by reference to Exhibit 10.47 of Broadcom Limited’s Annual</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Report on Form 10-K (SEC File No. 001-37690) filed with the SEC on December 23, 2016)</w:t>
              </w:r>
              <w:r>
                <w:rPr>
                  <w:rFonts w:ascii="Arial" w:cs="Arial" w:eastAsia="Arial" w:hAnsi="Arial"/>
                  <w:sz w:val="18"/>
                  <w:szCs w:val="18"/>
                  <w:color w:val="000000"/>
                </w:rPr>
                <w:t>.</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10.5</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0"/>
              </w:rPr>
            </w:pPr>
            <w:hyperlink r:id="rId32">
              <w:r>
                <w:rPr>
                  <w:rFonts w:ascii="Arial" w:cs="Arial" w:eastAsia="Arial" w:hAnsi="Arial"/>
                  <w:sz w:val="18"/>
                  <w:szCs w:val="18"/>
                  <w:color w:val="auto"/>
                  <w:w w:val="90"/>
                </w:rPr>
                <w:t xml:space="preserve">Brocade Communication Systems, Inc. 2009 Stock Plan, as amended and restated April 11, 2017 </w:t>
              </w:r>
              <w:r>
                <w:rPr>
                  <w:rFonts w:ascii="Arial" w:cs="Arial" w:eastAsia="Arial" w:hAnsi="Arial"/>
                  <w:sz w:val="18"/>
                  <w:szCs w:val="18"/>
                  <w:color w:val="0000EE"/>
                  <w:w w:val="90"/>
                </w:rPr>
                <w:t>(incorporated by reference to Exhibit 10.2</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of Brocade Communication Systems, Inc.’s Current Report on Form 8-K (SEC File No. 000-25601) filed with the SEC April 12, 2017</w:t>
              </w:r>
              <w:r>
                <w:rPr>
                  <w:rFonts w:ascii="Arial" w:cs="Arial" w:eastAsia="Arial" w:hAnsi="Arial"/>
                  <w:sz w:val="18"/>
                  <w:szCs w:val="18"/>
                  <w:color w:val="000000"/>
                  <w:w w:val="93"/>
                </w:rPr>
                <w:t>, as</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3"/>
              </w:rPr>
            </w:pPr>
            <w:hyperlink r:id="rId33">
              <w:r>
                <w:rPr>
                  <w:rFonts w:ascii="Arial" w:cs="Arial" w:eastAsia="Arial" w:hAnsi="Arial"/>
                  <w:sz w:val="18"/>
                  <w:szCs w:val="18"/>
                  <w:color w:val="auto"/>
                  <w:w w:val="93"/>
                </w:rPr>
                <w:t xml:space="preserve">amended by the Amendment to the Brocade Communication Systems, Inc. 2009 Stock Plan </w:t>
              </w:r>
              <w:r>
                <w:rPr>
                  <w:rFonts w:ascii="Arial" w:cs="Arial" w:eastAsia="Arial" w:hAnsi="Arial"/>
                  <w:sz w:val="18"/>
                  <w:szCs w:val="18"/>
                  <w:color w:val="0000EE"/>
                  <w:w w:val="93"/>
                </w:rPr>
                <w:t>(incorporated by reference to Exhibit 4.2 of</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9"/>
              </w:rPr>
            </w:pPr>
            <w:hyperlink r:id="rId33">
              <w:r>
                <w:rPr>
                  <w:rFonts w:ascii="Arial" w:cs="Arial" w:eastAsia="Arial" w:hAnsi="Arial"/>
                  <w:sz w:val="18"/>
                  <w:szCs w:val="18"/>
                  <w:color w:val="0000EE"/>
                  <w:w w:val="99"/>
                </w:rPr>
                <w:t>Broadcom Limited’s Registration Statement on Form S-8 (SEC File No. 333-221654) filed with the SEC on November 11, 2017).</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10.6</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3"/>
              </w:rPr>
            </w:pPr>
            <w:hyperlink r:id="rId34">
              <w:r>
                <w:rPr>
                  <w:rFonts w:ascii="Arial" w:cs="Arial" w:eastAsia="Arial" w:hAnsi="Arial"/>
                  <w:sz w:val="18"/>
                  <w:szCs w:val="18"/>
                  <w:color w:val="auto"/>
                  <w:w w:val="93"/>
                </w:rPr>
                <w:t xml:space="preserve">Brocade Communications Systems, Inc. Amended and Restated Inducement Award Plan, effective as of May 24, 2016 </w:t>
              </w:r>
              <w:r>
                <w:rPr>
                  <w:rFonts w:ascii="Arial" w:cs="Arial" w:eastAsia="Arial" w:hAnsi="Arial"/>
                  <w:sz w:val="18"/>
                  <w:szCs w:val="18"/>
                  <w:color w:val="0000EE"/>
                  <w:w w:val="93"/>
                </w:rPr>
                <w:t>(incorporated by</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reference to Exhibit 10.1 of Brocade Communication Systems, Inc.’s Post-Effective Amendment No. 1 to Form S-4 on Form S-8</w:t>
              </w:r>
            </w:hyperlink>
          </w:p>
        </w:tc>
        <w:tc>
          <w:tcPr>
            <w:tcW w:w="780" w:type="dxa"/>
            <w:vAlign w:val="bottom"/>
            <w:gridSpan w:val="9"/>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Registration Statement (SEC File No. 333-211823) filed with the SEC on June 3, 2016</w:t>
              </w:r>
              <w:r>
                <w:rPr>
                  <w:rFonts w:ascii="Arial" w:cs="Arial" w:eastAsia="Arial" w:hAnsi="Arial"/>
                  <w:sz w:val="18"/>
                  <w:szCs w:val="18"/>
                  <w:color w:val="000000"/>
                  <w:w w:val="94"/>
                </w:rPr>
                <w:t>, as amended by the Amendment to the Brocade</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5"/>
              </w:rPr>
            </w:pPr>
            <w:hyperlink r:id="rId35">
              <w:r>
                <w:rPr>
                  <w:rFonts w:ascii="Arial" w:cs="Arial" w:eastAsia="Arial" w:hAnsi="Arial"/>
                  <w:sz w:val="18"/>
                  <w:szCs w:val="18"/>
                  <w:color w:val="auto"/>
                  <w:w w:val="95"/>
                </w:rPr>
                <w:t xml:space="preserve">Communication Systems, Inc. Amended and Restated Inducement Award Plan </w:t>
              </w:r>
              <w:r>
                <w:rPr>
                  <w:rFonts w:ascii="Arial" w:cs="Arial" w:eastAsia="Arial" w:hAnsi="Arial"/>
                  <w:sz w:val="18"/>
                  <w:szCs w:val="18"/>
                  <w:color w:val="0000EE"/>
                  <w:w w:val="95"/>
                </w:rPr>
                <w:t>(incorporated by reference to Exhibit 4.4 of Broadcom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5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Limited’s Registration Statement on Form S-8 (SEC File No. 333-221654) filed with the SEC on November 11, 2017).</w:t>
              </w:r>
            </w:hyperlink>
          </w:p>
        </w:tc>
        <w:tc>
          <w:tcPr>
            <w:tcW w:w="1560" w:type="dxa"/>
            <w:vAlign w:val="bottom"/>
            <w:gridSpan w:val="11"/>
          </w:tcPr>
          <w:p>
            <w:pPr>
              <w:spacing w:after="0"/>
              <w:rPr>
                <w:sz w:val="17"/>
                <w:szCs w:val="17"/>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10.7</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6"/>
              </w:rPr>
            </w:pPr>
            <w:hyperlink r:id="rId36">
              <w:r>
                <w:rPr>
                  <w:rFonts w:ascii="Arial" w:cs="Arial" w:eastAsia="Arial" w:hAnsi="Arial"/>
                  <w:sz w:val="18"/>
                  <w:szCs w:val="18"/>
                  <w:color w:val="auto"/>
                  <w:w w:val="96"/>
                </w:rPr>
                <w:t xml:space="preserve">Amended and Restated Broadcom Limited Employee Share Purchase Plan </w:t>
              </w:r>
              <w:r>
                <w:rPr>
                  <w:rFonts w:ascii="Arial" w:cs="Arial" w:eastAsia="Arial" w:hAnsi="Arial"/>
                  <w:sz w:val="18"/>
                  <w:szCs w:val="18"/>
                  <w:color w:val="0000EE"/>
                  <w:w w:val="96"/>
                </w:rPr>
                <w:t>(incorporated by reference to Exhibit 10.2 of Broadcom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Limited’s Current Report on Form 8-K (SEC File No. 001-37690) filed with the SEC on February 2, 2016).</w:t>
              </w:r>
            </w:hyperlink>
          </w:p>
        </w:tc>
        <w:tc>
          <w:tcPr>
            <w:tcW w:w="2380" w:type="dxa"/>
            <w:vAlign w:val="bottom"/>
            <w:gridSpan w:val="13"/>
          </w:tcPr>
          <w:p>
            <w:pPr>
              <w:spacing w:after="0"/>
              <w:rPr>
                <w:sz w:val="17"/>
                <w:szCs w:val="17"/>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10.8</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5"/>
              </w:rPr>
            </w:pPr>
            <w:hyperlink r:id="rId37">
              <w:r>
                <w:rPr>
                  <w:rFonts w:ascii="Arial" w:cs="Arial" w:eastAsia="Arial" w:hAnsi="Arial"/>
                  <w:sz w:val="18"/>
                  <w:szCs w:val="18"/>
                  <w:color w:val="auto"/>
                  <w:w w:val="95"/>
                </w:rPr>
                <w:t xml:space="preserve">Option to Purchase Syntax Stock Agreement with Joseph M. Marvin </w:t>
              </w:r>
              <w:r>
                <w:rPr>
                  <w:rFonts w:ascii="Arial" w:cs="Arial" w:eastAsia="Arial" w:hAnsi="Arial"/>
                  <w:sz w:val="18"/>
                  <w:szCs w:val="18"/>
                  <w:color w:val="0000EE"/>
                  <w:w w:val="95"/>
                </w:rPr>
                <w:t>(incorporated by reference to Exhibit 4.3 of Avago Technologies</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0" w:type="dxa"/>
            <w:vAlign w:val="bottom"/>
            <w:gridSpan w:val="10"/>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Limited’s Registration Statement on Form S-8 (SEC File No. 333-196438) filed with the SEC on June 2, 2014).</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160" w:type="dxa"/>
            <w:vAlign w:val="bottom"/>
            <w:gridSpan w:val="1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10.9</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2"/>
              </w:rPr>
            </w:pPr>
            <w:hyperlink r:id="rId38">
              <w:r>
                <w:rPr>
                  <w:rFonts w:ascii="Arial" w:cs="Arial" w:eastAsia="Arial" w:hAnsi="Arial"/>
                  <w:sz w:val="18"/>
                  <w:szCs w:val="18"/>
                  <w:color w:val="auto"/>
                  <w:w w:val="92"/>
                </w:rPr>
                <w:t xml:space="preserve">Amended and Restated Equity Incentive Plan for Executive Employees of Avago Technologies Limited and Subsidiaries </w:t>
              </w:r>
              <w:r>
                <w:rPr>
                  <w:rFonts w:ascii="Arial" w:cs="Arial" w:eastAsia="Arial" w:hAnsi="Arial"/>
                  <w:sz w:val="18"/>
                  <w:szCs w:val="18"/>
                  <w:color w:val="0000EE"/>
                  <w:w w:val="92"/>
                </w:rPr>
                <w:t>(incorporated by</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2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reference to Exhibit 4.18 of Avago Technologies Finance Pte. Ltd.’s Annual Report on Form 20-F/A (File No. 333-137664) filed with the</w:t>
              </w:r>
            </w:hyperlink>
          </w:p>
        </w:tc>
        <w:tc>
          <w:tcPr>
            <w:tcW w:w="200" w:type="dxa"/>
            <w:vAlign w:val="bottom"/>
            <w:gridSpan w:val="2"/>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SEC on February 27, 2008).</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r>
      <w:tr>
        <w:trPr>
          <w:trHeight w:val="330"/>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24"/>
                <w:szCs w:val="24"/>
                <w:color w:val="auto"/>
              </w:rPr>
            </w:pPr>
          </w:p>
        </w:tc>
        <w:tc>
          <w:tcPr>
            <w:tcW w:w="10120" w:type="dxa"/>
            <w:vAlign w:val="bottom"/>
            <w:gridSpan w:val="38"/>
          </w:tcPr>
          <w:p>
            <w:pPr>
              <w:spacing w:after="0"/>
              <w:rPr>
                <w:sz w:val="20"/>
                <w:szCs w:val="20"/>
                <w:color w:val="auto"/>
              </w:rPr>
            </w:pPr>
            <w:r>
              <w:rPr>
                <w:rFonts w:ascii="Arial" w:cs="Arial" w:eastAsia="Arial" w:hAnsi="Arial"/>
                <w:sz w:val="18"/>
                <w:szCs w:val="18"/>
                <w:color w:val="auto"/>
                <w:w w:val="97"/>
              </w:rPr>
              <w:t>Amended and Restated Equity Incentive Plan for Senior Management Employees of Avago Technologies Limited and Subsidiaries</w:t>
            </w:r>
          </w:p>
        </w:tc>
      </w:tr>
      <w:tr>
        <w:trPr>
          <w:trHeight w:val="190"/>
        </w:trPr>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120" w:type="dxa"/>
            <w:vAlign w:val="bottom"/>
            <w:gridSpan w:val="38"/>
          </w:tcPr>
          <w:p>
            <w:pPr>
              <w:spacing w:after="0" w:line="190" w:lineRule="exact"/>
              <w:rPr>
                <w:rFonts w:ascii="Arial" w:cs="Arial" w:eastAsia="Arial" w:hAnsi="Arial"/>
                <w:sz w:val="18"/>
                <w:szCs w:val="18"/>
                <w:color w:val="0000EE"/>
                <w:w w:val="97"/>
              </w:rPr>
            </w:pPr>
            <w:hyperlink r:id="rId39">
              <w:r>
                <w:rPr>
                  <w:rFonts w:ascii="Arial" w:cs="Arial" w:eastAsia="Arial" w:hAnsi="Arial"/>
                  <w:sz w:val="18"/>
                  <w:szCs w:val="18"/>
                  <w:color w:val="0000EE"/>
                  <w:w w:val="97"/>
                </w:rPr>
                <w:t>(incorporated by reference to Exhibit 4.19 of Avago Technologies Finance Pte. Ltd.’s Annual Report on Form 20-F/A (File No. 333-</w:t>
              </w:r>
            </w:hyperlink>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137664) filed with the SEC on February 27, 2008).</w:t>
              </w:r>
            </w:hyperlink>
          </w:p>
        </w:tc>
        <w:tc>
          <w:tcPr>
            <w:tcW w:w="5860" w:type="dxa"/>
            <w:vAlign w:val="bottom"/>
            <w:tcBorders>
              <w:top w:val="single" w:sz="8" w:color="0000EE"/>
            </w:tcBorders>
            <w:gridSpan w:val="22"/>
          </w:tcPr>
          <w:p>
            <w:pPr>
              <w:spacing w:after="0"/>
              <w:rPr>
                <w:sz w:val="17"/>
                <w:szCs w:val="17"/>
                <w:color w:val="auto"/>
              </w:rPr>
            </w:pPr>
          </w:p>
        </w:tc>
        <w:tc>
          <w:tcPr>
            <w:tcW w:w="580" w:type="dxa"/>
            <w:vAlign w:val="bottom"/>
            <w:gridSpan w:val="7"/>
          </w:tcPr>
          <w:p>
            <w:pPr>
              <w:spacing w:after="0"/>
              <w:rPr>
                <w:sz w:val="17"/>
                <w:szCs w:val="17"/>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23.1</w:t>
            </w:r>
          </w:p>
        </w:tc>
        <w:tc>
          <w:tcPr>
            <w:tcW w:w="680" w:type="dxa"/>
            <w:vAlign w:val="bottom"/>
          </w:tcPr>
          <w:p>
            <w:pPr>
              <w:spacing w:after="0"/>
              <w:rPr>
                <w:sz w:val="24"/>
                <w:szCs w:val="24"/>
                <w:color w:val="auto"/>
              </w:rPr>
            </w:pPr>
          </w:p>
        </w:tc>
        <w:tc>
          <w:tcPr>
            <w:tcW w:w="44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Consent of Latham &amp; Watkins LLP (included in Exhibit 5.1).</w:t>
            </w:r>
          </w:p>
        </w:tc>
        <w:tc>
          <w:tcPr>
            <w:tcW w:w="5700" w:type="dxa"/>
            <w:vAlign w:val="bottom"/>
            <w:gridSpan w:val="27"/>
          </w:tcPr>
          <w:p>
            <w:pPr>
              <w:spacing w:after="0"/>
              <w:rPr>
                <w:sz w:val="24"/>
                <w:szCs w:val="24"/>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23.2</w:t>
            </w:r>
          </w:p>
        </w:tc>
        <w:tc>
          <w:tcPr>
            <w:tcW w:w="680" w:type="dxa"/>
            <w:vAlign w:val="bottom"/>
          </w:tcPr>
          <w:p>
            <w:pPr>
              <w:spacing w:after="0"/>
              <w:rPr>
                <w:sz w:val="24"/>
                <w:szCs w:val="24"/>
                <w:color w:val="auto"/>
              </w:rPr>
            </w:pPr>
          </w:p>
        </w:tc>
        <w:tc>
          <w:tcPr>
            <w:tcW w:w="75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 (filed herewith).</w:t>
            </w:r>
          </w:p>
        </w:tc>
        <w:tc>
          <w:tcPr>
            <w:tcW w:w="2540" w:type="dxa"/>
            <w:vAlign w:val="bottom"/>
            <w:gridSpan w:val="14"/>
          </w:tcPr>
          <w:p>
            <w:pPr>
              <w:spacing w:after="0"/>
              <w:rPr>
                <w:sz w:val="24"/>
                <w:szCs w:val="24"/>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24.1</w:t>
            </w:r>
          </w:p>
        </w:tc>
        <w:tc>
          <w:tcPr>
            <w:tcW w:w="68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 of Attorney (included on signature page).</w:t>
              </w:r>
            </w:hyperlink>
          </w:p>
        </w:tc>
        <w:tc>
          <w:tcPr>
            <w:tcW w:w="6640" w:type="dxa"/>
            <w:vAlign w:val="bottom"/>
            <w:gridSpan w:val="32"/>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San Jose, State of California, on this 4th day of April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BROADCOM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H. Krause, Jr.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does hereby constitute and appoint Hock E. Tan, Thomas H. Krause, Jr. and Mark Brazeal, and each of them, with full power of substitution and full power to act without the others, his or her true and lawful attorney-in-fact and agent to act for him or her in his or her name, place and stead, in any and all capacities, to sign any and all amendments (including post-effective amendments) to the Registration Statements amended by this Post-Effective Amendment, and to file this Post-Effective Amendment, with all exhibits thereto, and other documents in connection therewith, with the SEC,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6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Hock E. Tan</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182"/>
        </w:trPr>
        <w:tc>
          <w:tcPr>
            <w:tcW w:w="4000" w:type="dxa"/>
            <w:vAlign w:val="bottom"/>
          </w:tcPr>
          <w:p>
            <w:pPr>
              <w:jc w:val="center"/>
              <w:spacing w:after="0" w:line="182" w:lineRule="exact"/>
              <w:rPr>
                <w:sz w:val="20"/>
                <w:szCs w:val="20"/>
                <w:color w:val="auto"/>
              </w:rPr>
            </w:pPr>
            <w:r>
              <w:rPr>
                <w:rFonts w:ascii="Arial" w:cs="Arial" w:eastAsia="Arial" w:hAnsi="Arial"/>
                <w:sz w:val="18"/>
                <w:szCs w:val="18"/>
                <w:color w:val="auto"/>
                <w:w w:val="90"/>
              </w:rPr>
              <w:t>Hock E. Tan</w:t>
            </w:r>
          </w:p>
        </w:tc>
        <w:tc>
          <w:tcPr>
            <w:tcW w:w="120" w:type="dxa"/>
            <w:vAlign w:val="bottom"/>
          </w:tcPr>
          <w:p>
            <w:pPr>
              <w:spacing w:after="0"/>
              <w:rPr>
                <w:sz w:val="15"/>
                <w:szCs w:val="15"/>
                <w:color w:val="auto"/>
              </w:rPr>
            </w:pPr>
          </w:p>
        </w:tc>
        <w:tc>
          <w:tcPr>
            <w:tcW w:w="3780" w:type="dxa"/>
            <w:vAlign w:val="bottom"/>
            <w:gridSpan w:val="2"/>
          </w:tcPr>
          <w:p>
            <w:pPr>
              <w:spacing w:after="0" w:line="182" w:lineRule="exact"/>
              <w:rPr>
                <w:sz w:val="20"/>
                <w:szCs w:val="20"/>
                <w:color w:val="auto"/>
              </w:rPr>
            </w:pPr>
            <w:r>
              <w:rPr>
                <w:rFonts w:ascii="Arial" w:cs="Arial" w:eastAsia="Arial" w:hAnsi="Arial"/>
                <w:sz w:val="18"/>
                <w:szCs w:val="18"/>
                <w:color w:val="auto"/>
              </w:rPr>
              <w:t>Director</w:t>
            </w:r>
          </w:p>
        </w:tc>
        <w:tc>
          <w:tcPr>
            <w:tcW w:w="3520" w:type="dxa"/>
            <w:vAlign w:val="bottom"/>
          </w:tcPr>
          <w:p>
            <w:pPr>
              <w:spacing w:after="0"/>
              <w:rPr>
                <w:sz w:val="15"/>
                <w:szCs w:val="15"/>
                <w:color w:val="auto"/>
              </w:rPr>
            </w:pP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520" w:type="dxa"/>
            <w:vAlign w:val="bottom"/>
          </w:tcPr>
          <w:p>
            <w:pPr>
              <w:spacing w:after="0"/>
              <w:rPr>
                <w:sz w:val="20"/>
                <w:szCs w:val="20"/>
                <w:color w:val="auto"/>
              </w:rPr>
            </w:pPr>
          </w:p>
        </w:tc>
      </w:tr>
      <w:tr>
        <w:trPr>
          <w:trHeight w:val="446"/>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H. Krause, Jr.</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Thomas H. Krause, Jr.</w:t>
            </w:r>
          </w:p>
        </w:tc>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Kirsten Spears</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Corporate Controller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Kirsten Spears</w:t>
            </w:r>
          </w:p>
        </w:tc>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V. Diller</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James V. Diller</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Gayla J. Delly</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3"/>
              </w:rPr>
              <w:t>Gayla J. Delly</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Lewis C. Eggebrecht</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Lewis C. Eggebrecht</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Y. Hao</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Kenneth Y. Hao</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Eddy W. Hartenstein</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0"/>
              </w:rPr>
              <w:t>Eddy W. Hartenstein</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Check Kian Low</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3"/>
              </w:rPr>
              <w:t>Check Kian Low</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Donald Macleod</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Donald Macleod</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J. Marks</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Peter J. Marks</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Henry Samueli</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Henry Samueli</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ectPr>
          <w:pgSz w:w="11900" w:h="16838" w:orient="portrait"/>
          <w:cols w:equalWidth="0" w:num="1">
            <w:col w:w="10219"/>
          </w:cols>
          <w:pgMar w:left="240" w:top="274"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0" w:type="dxa"/>
            <w:vAlign w:val="bottom"/>
          </w:tcPr>
          <w:p>
            <w:pPr>
              <w:ind w:left="1360"/>
              <w:spacing w:after="0"/>
              <w:rPr>
                <w:sz w:val="20"/>
                <w:szCs w:val="20"/>
                <w:color w:val="auto"/>
              </w:rPr>
            </w:pPr>
            <w:r>
              <w:rPr>
                <w:rFonts w:ascii="Arial" w:cs="Arial" w:eastAsia="Arial" w:hAnsi="Arial"/>
                <w:sz w:val="18"/>
                <w:szCs w:val="18"/>
                <w:b w:val="1"/>
                <w:bCs w:val="1"/>
                <w:color w:val="auto"/>
                <w:w w:val="91"/>
              </w:rPr>
              <w:t>Exhibit 5.1</w:t>
            </w: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140 Scott Drive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Menlo Park, California 94025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Tel: +1.650.328.4600 Fax: +1.650.463.2600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www.lw.com</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Beijing</w:t>
            </w:r>
          </w:p>
        </w:tc>
        <w:tc>
          <w:tcPr>
            <w:tcW w:w="2200" w:type="dxa"/>
            <w:vAlign w:val="bottom"/>
          </w:tcPr>
          <w:p>
            <w:pPr>
              <w:ind w:left="20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Boston</w:t>
            </w:r>
          </w:p>
        </w:tc>
        <w:tc>
          <w:tcPr>
            <w:tcW w:w="2200" w:type="dxa"/>
            <w:vAlign w:val="bottom"/>
          </w:tcPr>
          <w:p>
            <w:pPr>
              <w:ind w:left="20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Brussels</w:t>
            </w:r>
          </w:p>
        </w:tc>
        <w:tc>
          <w:tcPr>
            <w:tcW w:w="2200" w:type="dxa"/>
            <w:vAlign w:val="bottom"/>
          </w:tcPr>
          <w:p>
            <w:pPr>
              <w:ind w:left="2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Century City</w:t>
            </w:r>
          </w:p>
        </w:tc>
        <w:tc>
          <w:tcPr>
            <w:tcW w:w="2200" w:type="dxa"/>
            <w:vAlign w:val="bottom"/>
          </w:tcPr>
          <w:p>
            <w:pPr>
              <w:ind w:left="20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Chicago</w:t>
            </w:r>
          </w:p>
        </w:tc>
        <w:tc>
          <w:tcPr>
            <w:tcW w:w="2200" w:type="dxa"/>
            <w:vAlign w:val="bottom"/>
          </w:tcPr>
          <w:p>
            <w:pPr>
              <w:ind w:left="20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Dubai</w:t>
            </w:r>
          </w:p>
        </w:tc>
        <w:tc>
          <w:tcPr>
            <w:tcW w:w="2200" w:type="dxa"/>
            <w:vAlign w:val="bottom"/>
          </w:tcPr>
          <w:p>
            <w:pPr>
              <w:ind w:left="20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Düsseldorf</w:t>
            </w:r>
          </w:p>
        </w:tc>
        <w:tc>
          <w:tcPr>
            <w:tcW w:w="2200" w:type="dxa"/>
            <w:vAlign w:val="bottom"/>
          </w:tcPr>
          <w:p>
            <w:pPr>
              <w:ind w:left="200"/>
              <w:spacing w:after="0"/>
              <w:rPr>
                <w:sz w:val="20"/>
                <w:szCs w:val="20"/>
                <w:color w:val="auto"/>
              </w:rPr>
            </w:pPr>
            <w:r>
              <w:rPr>
                <w:rFonts w:ascii="Arial" w:cs="Arial" w:eastAsia="Arial" w:hAnsi="Arial"/>
                <w:sz w:val="18"/>
                <w:szCs w:val="18"/>
                <w:color w:val="auto"/>
              </w:rPr>
              <w:t>Rome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Frankfurt</w:t>
            </w:r>
          </w:p>
        </w:tc>
        <w:tc>
          <w:tcPr>
            <w:tcW w:w="2200" w:type="dxa"/>
            <w:vAlign w:val="bottom"/>
          </w:tcPr>
          <w:p>
            <w:pPr>
              <w:ind w:left="20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Arial" w:cs="Arial" w:eastAsia="Arial" w:hAnsi="Arial"/>
                <w:sz w:val="18"/>
                <w:szCs w:val="18"/>
                <w:color w:val="auto"/>
              </w:rPr>
              <w:t>April 4, 2018</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Hamburg</w:t>
            </w:r>
          </w:p>
        </w:tc>
        <w:tc>
          <w:tcPr>
            <w:tcW w:w="2200" w:type="dxa"/>
            <w:vAlign w:val="bottom"/>
          </w:tcPr>
          <w:p>
            <w:pPr>
              <w:ind w:left="20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163"/>
        </w:trPr>
        <w:tc>
          <w:tcPr>
            <w:tcW w:w="1820" w:type="dxa"/>
            <w:vAlign w:val="bottom"/>
            <w:vMerge w:val="continue"/>
          </w:tcPr>
          <w:p>
            <w:pPr>
              <w:spacing w:after="0"/>
              <w:rPr>
                <w:sz w:val="14"/>
                <w:szCs w:val="14"/>
                <w:color w:val="auto"/>
              </w:rPr>
            </w:pPr>
          </w:p>
        </w:tc>
        <w:tc>
          <w:tcPr>
            <w:tcW w:w="2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20" w:type="dxa"/>
            <w:vAlign w:val="bottom"/>
            <w:vMerge w:val="restart"/>
          </w:tcPr>
          <w:p>
            <w:pPr>
              <w:ind w:left="1260"/>
              <w:spacing w:after="0"/>
              <w:rPr>
                <w:sz w:val="20"/>
                <w:szCs w:val="20"/>
                <w:color w:val="auto"/>
              </w:rPr>
            </w:pPr>
            <w:r>
              <w:rPr>
                <w:rFonts w:ascii="Arial" w:cs="Arial" w:eastAsia="Arial" w:hAnsi="Arial"/>
                <w:sz w:val="18"/>
                <w:szCs w:val="18"/>
                <w:color w:val="auto"/>
              </w:rPr>
              <w:t>Hong Kong</w:t>
            </w:r>
          </w:p>
        </w:tc>
        <w:tc>
          <w:tcPr>
            <w:tcW w:w="2200" w:type="dxa"/>
            <w:vAlign w:val="bottom"/>
            <w:vMerge w:val="restart"/>
          </w:tcPr>
          <w:p>
            <w:pPr>
              <w:ind w:left="200"/>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53"/>
        </w:trPr>
        <w:tc>
          <w:tcPr>
            <w:tcW w:w="18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2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Houston</w:t>
            </w:r>
          </w:p>
        </w:tc>
        <w:tc>
          <w:tcPr>
            <w:tcW w:w="2200" w:type="dxa"/>
            <w:vAlign w:val="bottom"/>
          </w:tcPr>
          <w:p>
            <w:pPr>
              <w:ind w:left="20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London</w:t>
            </w:r>
          </w:p>
        </w:tc>
        <w:tc>
          <w:tcPr>
            <w:tcW w:w="2200" w:type="dxa"/>
            <w:vAlign w:val="bottom"/>
          </w:tcPr>
          <w:p>
            <w:pPr>
              <w:ind w:left="20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Broadcom Inc.</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Los Angeles</w:t>
            </w:r>
          </w:p>
        </w:tc>
        <w:tc>
          <w:tcPr>
            <w:tcW w:w="2200" w:type="dxa"/>
            <w:vAlign w:val="bottom"/>
          </w:tcPr>
          <w:p>
            <w:pPr>
              <w:ind w:left="2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w w:val="96"/>
              </w:rPr>
              <w:t>1320 Ridder Park Drive</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Madrid</w:t>
            </w:r>
          </w:p>
        </w:tc>
        <w:tc>
          <w:tcPr>
            <w:tcW w:w="2200" w:type="dxa"/>
            <w:vAlign w:val="bottom"/>
          </w:tcPr>
          <w:p>
            <w:pPr>
              <w:ind w:left="20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San Jose, California 95131</w:t>
            </w:r>
          </w:p>
        </w:tc>
        <w:tc>
          <w:tcPr>
            <w:tcW w:w="2620" w:type="dxa"/>
            <w:vAlign w:val="bottom"/>
          </w:tcPr>
          <w:p>
            <w:pPr>
              <w:ind w:left="1260"/>
              <w:spacing w:after="0"/>
              <w:rPr>
                <w:sz w:val="20"/>
                <w:szCs w:val="20"/>
                <w:color w:val="auto"/>
              </w:rPr>
            </w:pPr>
            <w:r>
              <w:rPr>
                <w:rFonts w:ascii="Arial" w:cs="Arial" w:eastAsia="Arial" w:hAnsi="Arial"/>
                <w:sz w:val="18"/>
                <w:szCs w:val="18"/>
                <w:color w:val="auto"/>
              </w:rPr>
              <w:t>Milan</w:t>
            </w:r>
          </w:p>
        </w:tc>
        <w:tc>
          <w:tcPr>
            <w:tcW w:w="2200" w:type="dxa"/>
            <w:vAlign w:val="bottom"/>
          </w:tcPr>
          <w:p>
            <w:pPr>
              <w:ind w:left="200"/>
              <w:spacing w:after="0"/>
              <w:rPr>
                <w:sz w:val="20"/>
                <w:szCs w:val="20"/>
                <w:color w:val="auto"/>
              </w:rPr>
            </w:pPr>
            <w:r>
              <w:rPr>
                <w:rFonts w:ascii="Arial" w:cs="Arial" w:eastAsia="Arial" w:hAnsi="Arial"/>
                <w:sz w:val="18"/>
                <w:szCs w:val="18"/>
                <w:color w:val="auto"/>
              </w:rPr>
              <w:t>Washington, D.C.</w:t>
            </w:r>
          </w:p>
        </w:tc>
        <w:tc>
          <w:tcPr>
            <w:tcW w:w="0" w:type="dxa"/>
            <w:vAlign w:val="bottom"/>
          </w:tcPr>
          <w:p>
            <w:pPr>
              <w:spacing w:after="0"/>
              <w:rPr>
                <w:sz w:val="1"/>
                <w:szCs w:val="1"/>
                <w:color w:val="auto"/>
              </w:rPr>
            </w:pPr>
          </w:p>
        </w:tc>
      </w:tr>
      <w:tr>
        <w:trPr>
          <w:trHeight w:val="458"/>
        </w:trPr>
        <w:tc>
          <w:tcPr>
            <w:tcW w:w="1820" w:type="dxa"/>
            <w:vAlign w:val="bottom"/>
          </w:tcPr>
          <w:p>
            <w:pPr>
              <w:ind w:left="1140"/>
              <w:spacing w:after="0"/>
              <w:rPr>
                <w:sz w:val="20"/>
                <w:szCs w:val="20"/>
                <w:color w:val="auto"/>
              </w:rPr>
            </w:pPr>
            <w:r>
              <w:rPr>
                <w:rFonts w:ascii="Arial" w:cs="Arial" w:eastAsia="Arial" w:hAnsi="Arial"/>
                <w:sz w:val="18"/>
                <w:szCs w:val="18"/>
                <w:color w:val="auto"/>
              </w:rPr>
              <w:t>Re:</w:t>
            </w:r>
          </w:p>
        </w:tc>
        <w:tc>
          <w:tcPr>
            <w:tcW w:w="4780" w:type="dxa"/>
            <w:vAlign w:val="bottom"/>
            <w:gridSpan w:val="2"/>
          </w:tcPr>
          <w:p>
            <w:pPr>
              <w:spacing w:after="0"/>
              <w:rPr>
                <w:sz w:val="20"/>
                <w:szCs w:val="20"/>
                <w:color w:val="auto"/>
              </w:rPr>
            </w:pPr>
            <w:r>
              <w:rPr>
                <w:rFonts w:ascii="Arial" w:cs="Arial" w:eastAsia="Arial" w:hAnsi="Arial"/>
                <w:sz w:val="18"/>
                <w:szCs w:val="18"/>
                <w:color w:val="auto"/>
              </w:rPr>
              <w:t>Broadcom Inc. Post-Effective Amendment No. 1</w:t>
            </w:r>
          </w:p>
        </w:tc>
        <w:tc>
          <w:tcPr>
            <w:tcW w:w="2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28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to Registration Statements on Form S-8</w:t>
            </w:r>
          </w:p>
        </w:tc>
        <w:tc>
          <w:tcPr>
            <w:tcW w:w="1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-2658110</wp:posOffset>
            </wp:positionV>
            <wp:extent cx="20751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075180" cy="1803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acted as special counsel to Broadcom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its filing on the date hereof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Post-Effective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three registration statements on Form S-8 (Registration Nos. 333-221654; 333-215291; and 333-209331) previously filed by Broadcom Limited, a public company limited by shares incorporated under the laws of the Republic of Singapore and the Company’s predecessor (“</w:t>
      </w:r>
      <w:r>
        <w:rPr>
          <w:rFonts w:ascii="Arial" w:cs="Arial" w:eastAsia="Arial" w:hAnsi="Arial"/>
          <w:sz w:val="18"/>
          <w:szCs w:val="18"/>
          <w:u w:val="single" w:color="auto"/>
          <w:color w:val="auto"/>
        </w:rPr>
        <w:t>Broadcom-Singapore</w:t>
      </w:r>
      <w:r>
        <w:rPr>
          <w:rFonts w:ascii="Arial" w:cs="Arial" w:eastAsia="Arial" w:hAnsi="Arial"/>
          <w:sz w:val="18"/>
          <w:szCs w:val="18"/>
          <w:color w:val="auto"/>
        </w:rPr>
        <w:t>”), with respect to the adoption of such registration statements by the Company pursuant to Rule 414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Such registration statements on Form S-8, as amended by the Amendment, are referred to herein as the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In connection with such representation, the Company has advised us that it has assumed the employee plans (the “</w:t>
      </w:r>
      <w:r>
        <w:rPr>
          <w:rFonts w:ascii="Arial" w:cs="Arial" w:eastAsia="Arial" w:hAnsi="Arial"/>
          <w:sz w:val="18"/>
          <w:szCs w:val="18"/>
          <w:u w:val="single" w:color="auto"/>
          <w:color w:val="auto"/>
        </w:rPr>
        <w:t>Plans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that, in accordance with the terms of the Plans, shares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par value $0.001 per share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may be issuable or become issuable pursuant to grants or awards under the Plans.</w:t>
      </w:r>
    </w:p>
    <w:p>
      <w:pPr>
        <w:spacing w:after="0" w:line="19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Statements, other than as expressly stated herein with respect to the issue of the Shares.</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44081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9"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This opinion is for your benefit in connection with the Amendment and may be relied upon by you and by persons entitled to rely upon it pursuant to the applicable provisions of the Act. We consent to your filing this opinion as an exhibit to the Amendment. In giving such consent, we do not thereby admit that we are in the category of persons whose consent is required under Section 7 of the Act or the rules and regulations of the Commission thereunder.</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300"/>
          </w:cols>
          <w:pgMar w:left="240" w:top="27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14408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Brocade Communications Systems, Inc. 2009 Stock Plan</w:t>
      </w:r>
    </w:p>
    <w:p>
      <w:pPr>
        <w:spacing w:after="0" w:line="117" w:lineRule="exact"/>
        <w:rPr>
          <w:sz w:val="20"/>
          <w:szCs w:val="20"/>
          <w:color w:val="auto"/>
        </w:rPr>
      </w:pPr>
    </w:p>
    <w:p>
      <w:pPr>
        <w:ind w:right="3839"/>
        <w:spacing w:after="0" w:line="375" w:lineRule="auto"/>
        <w:rPr>
          <w:sz w:val="20"/>
          <w:szCs w:val="20"/>
          <w:color w:val="auto"/>
        </w:rPr>
      </w:pPr>
      <w:r>
        <w:rPr>
          <w:rFonts w:ascii="Arial" w:cs="Arial" w:eastAsia="Arial" w:hAnsi="Arial"/>
          <w:sz w:val="18"/>
          <w:szCs w:val="18"/>
          <w:color w:val="auto"/>
        </w:rPr>
        <w:t>Brocade Communications Systems, Inc. Amended and Restated Inducement Award Plan Avago Technologies Limited 2009 Equity Incentive Award Plan Broadcom Corporation 2012 Stock Incentive Plan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LSI Corporation 2003 Equity Incentive Plan</w:t>
      </w:r>
    </w:p>
    <w:p>
      <w:pPr>
        <w:spacing w:after="0" w:line="117" w:lineRule="exact"/>
        <w:rPr>
          <w:sz w:val="20"/>
          <w:szCs w:val="20"/>
          <w:color w:val="auto"/>
        </w:rPr>
      </w:pPr>
    </w:p>
    <w:p>
      <w:pPr>
        <w:ind w:right="4839"/>
        <w:spacing w:after="0" w:line="375" w:lineRule="auto"/>
        <w:rPr>
          <w:sz w:val="20"/>
          <w:szCs w:val="20"/>
          <w:color w:val="auto"/>
        </w:rPr>
      </w:pPr>
      <w:r>
        <w:rPr>
          <w:rFonts w:ascii="Arial" w:cs="Arial" w:eastAsia="Arial" w:hAnsi="Arial"/>
          <w:sz w:val="18"/>
          <w:szCs w:val="18"/>
          <w:color w:val="auto"/>
        </w:rPr>
        <w:t>Amended and Restated Broadcom Limited Employee Share Purchase Plan Emulex Corporation 2005 Equity Incentive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Syntax Stock Agreement with Joseph M. Marvin</w:t>
      </w:r>
    </w:p>
    <w:p>
      <w:pPr>
        <w:spacing w:after="0" w:line="117" w:lineRule="exact"/>
        <w:rPr>
          <w:sz w:val="20"/>
          <w:szCs w:val="20"/>
          <w:color w:val="auto"/>
        </w:rPr>
      </w:pPr>
    </w:p>
    <w:p>
      <w:pPr>
        <w:ind w:right="779"/>
        <w:spacing w:after="0" w:line="483" w:lineRule="auto"/>
        <w:rPr>
          <w:sz w:val="20"/>
          <w:szCs w:val="20"/>
          <w:color w:val="auto"/>
        </w:rPr>
      </w:pPr>
      <w:r>
        <w:rPr>
          <w:rFonts w:ascii="Arial" w:cs="Arial" w:eastAsia="Arial" w:hAnsi="Arial"/>
          <w:sz w:val="16"/>
          <w:szCs w:val="16"/>
          <w:color w:val="auto"/>
        </w:rPr>
        <w:t>Amended and Restated Equity Incentive Plan for Executive Employees of Avago Technologies Limited and Subsidiaries Amended and Restated Equity Incentive Plan for Senior Management Employees of Avago Technologies Limited and Subsidiaries</w:t>
      </w:r>
    </w:p>
    <w:p>
      <w:pPr>
        <w:sectPr>
          <w:pgSz w:w="11900" w:h="16838" w:orient="portrait"/>
          <w:cols w:equalWidth="0" w:num="1">
            <w:col w:w="10219"/>
          </w:cols>
          <w:pgMar w:left="240" w:top="274" w:right="1440" w:bottom="1440" w:gutter="0" w:footer="0" w:header="0"/>
        </w:sectPr>
      </w:pPr>
    </w:p>
    <w:bookmarkStart w:id="12" w:name="page13"/>
    <w:bookmarkEnd w:id="12"/>
    <w:p>
      <w:pPr>
        <w:ind w:left="10480"/>
        <w:spacing w:after="0"/>
        <w:rPr>
          <w:sz w:val="20"/>
          <w:szCs w:val="20"/>
          <w:color w:val="auto"/>
        </w:rPr>
      </w:pPr>
      <w:r>
        <w:rPr>
          <w:rFonts w:ascii="Arial" w:cs="Arial" w:eastAsia="Arial" w:hAnsi="Arial"/>
          <w:sz w:val="16"/>
          <w:szCs w:val="16"/>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incorporation by reference in this Post-Effective Amendment No. 1 to the Registration Statements on Form S-8 (Registration Nos. 333-221654, 333-215291 and 333-209331) of our report dated December 21, 2017 relating to the financial statements, financial statement schedule and the effectiveness of internal control over financial reporting, which appears in Broadcom Limited’s Annual Report on Form 10-K for the year ended October 29,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jpeg"/><Relationship Id="rId45" Type="http://schemas.openxmlformats.org/officeDocument/2006/relationships/image" Target="media/image21.png"/><Relationship Id="rId46" Type="http://schemas.openxmlformats.org/officeDocument/2006/relationships/image" Target="media/image22.jpeg"/><Relationship Id="rId47" Type="http://schemas.openxmlformats.org/officeDocument/2006/relationships/image" Target="media/image23.png"/><Relationship Id="rId48" Type="http://schemas.openxmlformats.org/officeDocument/2006/relationships/image" Target="media/image24.jpeg"/><Relationship Id="rId23" Type="http://schemas.openxmlformats.org/officeDocument/2006/relationships/hyperlink" Target="http://www.sec.gov/Archives/edgar/data/1730168/000119312518107559/d562806dex31.htm" TargetMode="External"/><Relationship Id="rId24" Type="http://schemas.openxmlformats.org/officeDocument/2006/relationships/hyperlink" Target="http://www.sec.gov/Archives/edgar/data/1730168/000119312518107559/d562806dex32.htm" TargetMode="External"/><Relationship Id="rId25" Type="http://schemas.openxmlformats.org/officeDocument/2006/relationships/hyperlink" Target="http://www.sec.gov/Archives/edgar/data/1441634/000119312509155434/dex1018.htm" TargetMode="External"/><Relationship Id="rId26" Type="http://schemas.openxmlformats.org/officeDocument/2006/relationships/hyperlink" Target="http://www.sec.gov/Archives/edgar/data/1054374/000105437415000012/a20141231-10k_ex1020.htm" TargetMode="External"/><Relationship Id="rId27" Type="http://schemas.openxmlformats.org/officeDocument/2006/relationships/hyperlink" Target="http://www.sec.gov/Archives/edgar/data/1649338/000164933816000151/ex1049amendmentto2012plan.htm" TargetMode="External"/><Relationship Id="rId28" Type="http://schemas.openxmlformats.org/officeDocument/2006/relationships/hyperlink" Target="http://www.sec.gov/Archives/edgar/data/1441634/000119312514185066/d722921dex41.htm" TargetMode="External"/><Relationship Id="rId29" Type="http://schemas.openxmlformats.org/officeDocument/2006/relationships/hyperlink" Target="http://www.sec.gov/Archives/edgar/data/1649338/000164933816000151/ex1045amendenttolsiplan.htm" TargetMode="External"/><Relationship Id="rId30" Type="http://schemas.openxmlformats.org/officeDocument/2006/relationships/hyperlink" Target="http://www.sec.gov/Archives/edgar/data/1441634/000119312515170373/d918393dex41.htm" TargetMode="External"/><Relationship Id="rId31" Type="http://schemas.openxmlformats.org/officeDocument/2006/relationships/hyperlink" Target="http://www.sec.gov/Archives/edgar/data/1649338/000164933816000151/ex1047amendmenttoemulexplan.htm" TargetMode="External"/><Relationship Id="rId32" Type="http://schemas.openxmlformats.org/officeDocument/2006/relationships/hyperlink" Target="http://www.sec.gov/Archives/edgar/data/1009626/000100962617000033/form8-kx2017x04x12ex102.htm" TargetMode="External"/><Relationship Id="rId33" Type="http://schemas.openxmlformats.org/officeDocument/2006/relationships/hyperlink" Target="http://www.sec.gov/Archives/edgar/data/1649338/000119312517347063/d483153dex42.htm" TargetMode="External"/><Relationship Id="rId34" Type="http://schemas.openxmlformats.org/officeDocument/2006/relationships/hyperlink" Target="http://www.sec.gov/Archives/edgar/data/1009626/000119312516612650/d193800dex101.htm" TargetMode="External"/><Relationship Id="rId35" Type="http://schemas.openxmlformats.org/officeDocument/2006/relationships/hyperlink" Target="http://www.sec.gov/Archives/edgar/data/1649338/000119312517347063/d483153dex44.htm" TargetMode="External"/><Relationship Id="rId36" Type="http://schemas.openxmlformats.org/officeDocument/2006/relationships/hyperlink" Target="http://www.sec.gov/Archives/edgar/data/1649338/000119312516446869/d114924dex102.htm" TargetMode="External"/><Relationship Id="rId37" Type="http://schemas.openxmlformats.org/officeDocument/2006/relationships/hyperlink" Target="http://www.sec.gov/Archives/edgar/data/1441634/000119312514220799/d738159dex43.htm" TargetMode="External"/><Relationship Id="rId38" Type="http://schemas.openxmlformats.org/officeDocument/2006/relationships/hyperlink" Target="http://www.sec.gov/Archives/edgar/data/1376403/000089161808000127/f37234a1exv4w18.htm" TargetMode="External"/><Relationship Id="rId39" Type="http://schemas.openxmlformats.org/officeDocument/2006/relationships/hyperlink" Target="http://www.sec.gov/Archives/edgar/data/1376403/000089161808000127/f37234a1exv4w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2019-12-08T13:44:54Z</dcterms:created>
  <dcterms:modified xsi:type="dcterms:W3CDTF">2019-12-08T13:44:54Z</dcterms:modified>
</cp:coreProperties>
</file>