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18"/>
          <w:szCs w:val="18"/>
          <w:b w:val="1"/>
          <w:bCs w:val="1"/>
          <w:color w:val="242424"/>
        </w:rPr>
        <w:drawing>
          <wp:anchor simplePos="0" relativeHeight="251657728" behindDoc="1" locked="0" layoutInCell="0" allowOverlap="1">
            <wp:simplePos x="0" y="0"/>
            <wp:positionH relativeFrom="page">
              <wp:posOffset>207010</wp:posOffset>
            </wp:positionH>
            <wp:positionV relativeFrom="page">
              <wp:posOffset>669290</wp:posOffset>
            </wp:positionV>
            <wp:extent cx="713486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6510"/>
                    </a:xfrm>
                    <a:prstGeom prst="rect">
                      <a:avLst/>
                    </a:prstGeom>
                    <a:noFill/>
                  </pic:spPr>
                </pic:pic>
              </a:graphicData>
            </a:graphic>
          </wp:anchor>
        </w:drawing>
        <w:t>UNITED STATES</w:t>
      </w:r>
    </w:p>
    <w:p>
      <w:pPr>
        <w:spacing w:after="0" w:line="164"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242424"/>
        </w:rPr>
        <w:t>SECURITIES AND EXCHANGE COMMISSION</w:t>
      </w:r>
    </w:p>
    <w:p>
      <w:pPr>
        <w:spacing w:after="0" w:line="164"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242424"/>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287020</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242424"/>
        </w:rPr>
        <w:t>SCHEDULE 14A</w:t>
      </w:r>
    </w:p>
    <w:p>
      <w:pPr>
        <w:spacing w:after="0" w:line="58"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242424"/>
        </w:rPr>
        <w:t>Proxy Statement Pursuant to Section 14(a) of the</w:t>
      </w:r>
    </w:p>
    <w:p>
      <w:pPr>
        <w:spacing w:after="0" w:line="164"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242424"/>
        </w:rPr>
        <w:t>Securities Exchange Act of 1934</w:t>
      </w:r>
    </w:p>
    <w:p>
      <w:pPr>
        <w:spacing w:after="0" w:line="164" w:lineRule="exact"/>
        <w:rPr>
          <w:sz w:val="24"/>
          <w:szCs w:val="24"/>
          <w:color w:val="auto"/>
        </w:rPr>
      </w:pPr>
    </w:p>
    <w:p>
      <w:pPr>
        <w:jc w:val="center"/>
        <w:ind w:right="-359"/>
        <w:spacing w:after="0"/>
        <w:tabs>
          <w:tab w:leader="none" w:pos="220" w:val="left"/>
        </w:tabs>
        <w:rPr>
          <w:sz w:val="20"/>
          <w:szCs w:val="20"/>
          <w:color w:val="auto"/>
        </w:rPr>
      </w:pPr>
      <w:r>
        <w:rPr>
          <w:rFonts w:ascii="Arial" w:cs="Arial" w:eastAsia="Arial" w:hAnsi="Arial"/>
          <w:sz w:val="18"/>
          <w:szCs w:val="18"/>
          <w:b w:val="1"/>
          <w:bCs w:val="1"/>
          <w:color w:val="242424"/>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278765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spacing w:after="0" w:line="207" w:lineRule="exact"/>
        <w:tabs>
          <w:tab w:leader="none" w:pos="3380" w:val="left"/>
        </w:tabs>
        <w:rPr>
          <w:sz w:val="20"/>
          <w:szCs w:val="20"/>
          <w:color w:val="auto"/>
        </w:rPr>
      </w:pPr>
      <w:r>
        <w:rPr>
          <w:rFonts w:ascii="Arial" w:cs="Arial" w:eastAsia="Arial" w:hAnsi="Arial"/>
          <w:sz w:val="18"/>
          <w:szCs w:val="18"/>
          <w:color w:val="242424"/>
        </w:rPr>
        <w:t xml:space="preserve">Filed by the Registrant </w:t>
      </w:r>
      <w:r>
        <w:rPr>
          <w:rFonts w:ascii="MS PGothic" w:cs="MS PGothic" w:eastAsia="MS PGothic" w:hAnsi="MS PGothic"/>
          <w:sz w:val="18"/>
          <w:szCs w:val="18"/>
          <w:color w:val="242424"/>
        </w:rPr>
        <w:t>☒</w:t>
      </w:r>
      <w:r>
        <w:rPr>
          <w:sz w:val="20"/>
          <w:szCs w:val="20"/>
          <w:color w:val="auto"/>
        </w:rPr>
        <w:tab/>
      </w:r>
      <w:r>
        <w:rPr>
          <w:rFonts w:ascii="Arial" w:cs="Arial" w:eastAsia="Arial" w:hAnsi="Arial"/>
          <w:sz w:val="17"/>
          <w:szCs w:val="17"/>
          <w:color w:val="242424"/>
        </w:rPr>
        <w:t xml:space="preserve">Filed by a Party other than the Registrant </w:t>
      </w:r>
      <w:r>
        <w:rPr>
          <w:rFonts w:ascii="MS PGothic" w:cs="MS PGothic" w:eastAsia="MS PGothic" w:hAnsi="MS PGothic"/>
          <w:sz w:val="17"/>
          <w:szCs w:val="17"/>
          <w:color w:val="242424"/>
        </w:rPr>
        <w: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242424"/>
        </w:rPr>
        <w:t>Check the appropriate box:</w:t>
      </w:r>
    </w:p>
    <w:p>
      <w:pPr>
        <w:spacing w:after="0" w:line="58" w:lineRule="exact"/>
        <w:rPr>
          <w:sz w:val="24"/>
          <w:szCs w:val="24"/>
          <w:color w:val="auto"/>
        </w:rPr>
      </w:pPr>
    </w:p>
    <w:p>
      <w:pPr>
        <w:ind w:left="400" w:hanging="354"/>
        <w:spacing w:after="0"/>
        <w:tabs>
          <w:tab w:leader="none" w:pos="400" w:val="left"/>
        </w:tabs>
        <w:numPr>
          <w:ilvl w:val="0"/>
          <w:numId w:val="1"/>
        </w:numPr>
        <w:rPr>
          <w:rFonts w:ascii="MS PGothic" w:cs="MS PGothic" w:eastAsia="MS PGothic" w:hAnsi="MS PGothic"/>
          <w:sz w:val="18"/>
          <w:szCs w:val="18"/>
          <w:color w:val="242424"/>
        </w:rPr>
      </w:pPr>
      <w:r>
        <w:rPr>
          <w:rFonts w:ascii="Arial" w:cs="Arial" w:eastAsia="Arial" w:hAnsi="Arial"/>
          <w:sz w:val="18"/>
          <w:szCs w:val="18"/>
          <w:color w:val="242424"/>
        </w:rPr>
        <w:t>Preliminary Proxy Statement</w:t>
      </w:r>
    </w:p>
    <w:p>
      <w:pPr>
        <w:spacing w:after="0" w:line="36" w:lineRule="exact"/>
        <w:rPr>
          <w:rFonts w:ascii="MS PGothic" w:cs="MS PGothic" w:eastAsia="MS PGothic" w:hAnsi="MS PGothic"/>
          <w:sz w:val="18"/>
          <w:szCs w:val="18"/>
          <w:color w:val="242424"/>
        </w:rPr>
      </w:pPr>
    </w:p>
    <w:p>
      <w:pPr>
        <w:ind w:left="400" w:hanging="354"/>
        <w:spacing w:after="0"/>
        <w:tabs>
          <w:tab w:leader="none" w:pos="400" w:val="left"/>
        </w:tabs>
        <w:numPr>
          <w:ilvl w:val="0"/>
          <w:numId w:val="1"/>
        </w:numPr>
        <w:rPr>
          <w:rFonts w:ascii="MS PGothic" w:cs="MS PGothic" w:eastAsia="MS PGothic" w:hAnsi="MS PGothic"/>
          <w:sz w:val="18"/>
          <w:szCs w:val="18"/>
          <w:color w:val="242424"/>
        </w:rPr>
      </w:pPr>
      <w:r>
        <w:rPr>
          <w:rFonts w:ascii="Arial" w:cs="Arial" w:eastAsia="Arial" w:hAnsi="Arial"/>
          <w:sz w:val="18"/>
          <w:szCs w:val="18"/>
          <w:b w:val="1"/>
          <w:bCs w:val="1"/>
          <w:color w:val="242424"/>
        </w:rPr>
        <w:t>Confidential, for Use of the Commission Only (as permitted by Rule 14a-6(e)(2))</w:t>
      </w:r>
    </w:p>
    <w:p>
      <w:pPr>
        <w:spacing w:after="0" w:line="46" w:lineRule="exact"/>
        <w:rPr>
          <w:rFonts w:ascii="MS PGothic" w:cs="MS PGothic" w:eastAsia="MS PGothic" w:hAnsi="MS PGothic"/>
          <w:sz w:val="18"/>
          <w:szCs w:val="18"/>
          <w:color w:val="242424"/>
        </w:rPr>
      </w:pPr>
    </w:p>
    <w:p>
      <w:pPr>
        <w:ind w:left="40"/>
        <w:spacing w:after="0" w:line="207" w:lineRule="exact"/>
        <w:rPr>
          <w:rFonts w:ascii="MS PGothic" w:cs="MS PGothic" w:eastAsia="MS PGothic" w:hAnsi="MS PGothic"/>
          <w:sz w:val="18"/>
          <w:szCs w:val="18"/>
          <w:color w:val="242424"/>
        </w:rPr>
      </w:pPr>
      <w:r>
        <w:rPr>
          <w:rFonts w:ascii="MS PGothic" w:cs="MS PGothic" w:eastAsia="MS PGothic" w:hAnsi="MS PGothic"/>
          <w:sz w:val="18"/>
          <w:szCs w:val="18"/>
          <w:color w:val="242424"/>
        </w:rPr>
        <w:t>☒</w:t>
      </w:r>
      <w:r>
        <w:rPr>
          <w:rFonts w:ascii="Arial" w:cs="Arial" w:eastAsia="Arial" w:hAnsi="Arial"/>
          <w:sz w:val="18"/>
          <w:szCs w:val="18"/>
          <w:color w:val="242424"/>
        </w:rPr>
        <w:t xml:space="preserve">  Definitive Proxy Statement</w:t>
      </w:r>
    </w:p>
    <w:p>
      <w:pPr>
        <w:spacing w:after="0" w:line="91" w:lineRule="exact"/>
        <w:rPr>
          <w:rFonts w:ascii="MS PGothic" w:cs="MS PGothic" w:eastAsia="MS PGothic" w:hAnsi="MS PGothic"/>
          <w:sz w:val="18"/>
          <w:szCs w:val="18"/>
          <w:color w:val="242424"/>
        </w:rPr>
      </w:pPr>
    </w:p>
    <w:p>
      <w:pPr>
        <w:ind w:left="400" w:hanging="354"/>
        <w:spacing w:after="0"/>
        <w:tabs>
          <w:tab w:leader="none" w:pos="400" w:val="left"/>
        </w:tabs>
        <w:numPr>
          <w:ilvl w:val="0"/>
          <w:numId w:val="1"/>
        </w:numPr>
        <w:rPr>
          <w:rFonts w:ascii="MS PGothic" w:cs="MS PGothic" w:eastAsia="MS PGothic" w:hAnsi="MS PGothic"/>
          <w:sz w:val="18"/>
          <w:szCs w:val="18"/>
          <w:color w:val="242424"/>
        </w:rPr>
      </w:pPr>
      <w:r>
        <w:rPr>
          <w:rFonts w:ascii="Arial" w:cs="Arial" w:eastAsia="Arial" w:hAnsi="Arial"/>
          <w:sz w:val="18"/>
          <w:szCs w:val="18"/>
          <w:color w:val="242424"/>
        </w:rPr>
        <w:t>Definitive Additional Materials</w:t>
      </w:r>
    </w:p>
    <w:p>
      <w:pPr>
        <w:spacing w:after="0" w:line="58" w:lineRule="exact"/>
        <w:rPr>
          <w:rFonts w:ascii="MS PGothic" w:cs="MS PGothic" w:eastAsia="MS PGothic" w:hAnsi="MS PGothic"/>
          <w:sz w:val="18"/>
          <w:szCs w:val="18"/>
          <w:color w:val="242424"/>
        </w:rPr>
      </w:pPr>
    </w:p>
    <w:p>
      <w:pPr>
        <w:ind w:left="400" w:hanging="354"/>
        <w:spacing w:after="0"/>
        <w:tabs>
          <w:tab w:leader="none" w:pos="400" w:val="left"/>
        </w:tabs>
        <w:numPr>
          <w:ilvl w:val="0"/>
          <w:numId w:val="1"/>
        </w:numPr>
        <w:rPr>
          <w:rFonts w:ascii="MS PGothic" w:cs="MS PGothic" w:eastAsia="MS PGothic" w:hAnsi="MS PGothic"/>
          <w:sz w:val="18"/>
          <w:szCs w:val="18"/>
          <w:color w:val="242424"/>
        </w:rPr>
      </w:pPr>
      <w:r>
        <w:rPr>
          <w:rFonts w:ascii="Arial" w:cs="Arial" w:eastAsia="Arial" w:hAnsi="Arial"/>
          <w:sz w:val="18"/>
          <w:szCs w:val="18"/>
          <w:color w:val="242424"/>
        </w:rPr>
        <w:t>Soliciting Material Pursuant to §240.14a-12</w:t>
      </w:r>
    </w:p>
    <w:p>
      <w:pPr>
        <w:spacing w:after="0" w:line="36"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242424"/>
        </w:rPr>
        <w:t>BROADCOM INC.</w:t>
      </w:r>
    </w:p>
    <w:p>
      <w:pPr>
        <w:spacing w:after="0" w:line="58"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242424"/>
        </w:rPr>
        <w:t>(Name of Registrant as Specified In Its Charter)</w:t>
      </w:r>
    </w:p>
    <w:p>
      <w:pPr>
        <w:spacing w:after="0" w:line="58"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242424"/>
        </w:rPr>
        <w:t>(Name of Person(s) Filing Proxy Statement, if other than the Registrant)</w:t>
      </w:r>
    </w:p>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242424"/>
        </w:rPr>
        <w:t>Payment of Filing Fee (Check the appropriate box):</w:t>
      </w:r>
    </w:p>
    <w:p>
      <w:pPr>
        <w:spacing w:after="0" w:line="200" w:lineRule="exact"/>
        <w:rPr>
          <w:sz w:val="24"/>
          <w:szCs w:val="24"/>
          <w:color w:val="auto"/>
        </w:rPr>
      </w:pPr>
    </w:p>
    <w:p>
      <w:pPr>
        <w:spacing w:after="0" w:line="309" w:lineRule="exact"/>
        <w:rPr>
          <w:sz w:val="24"/>
          <w:szCs w:val="24"/>
          <w:color w:val="auto"/>
        </w:rPr>
      </w:pPr>
    </w:p>
    <w:p>
      <w:pPr>
        <w:ind w:left="420" w:hanging="363"/>
        <w:spacing w:after="0"/>
        <w:tabs>
          <w:tab w:leader="none" w:pos="420" w:val="left"/>
        </w:tabs>
        <w:numPr>
          <w:ilvl w:val="0"/>
          <w:numId w:val="2"/>
        </w:numPr>
        <w:rPr>
          <w:rFonts w:ascii="MS PGothic" w:cs="MS PGothic" w:eastAsia="MS PGothic" w:hAnsi="MS PGothic"/>
          <w:sz w:val="18"/>
          <w:szCs w:val="18"/>
          <w:color w:val="262626"/>
        </w:rPr>
      </w:pPr>
      <w:r>
        <w:rPr>
          <w:rFonts w:ascii="Arial" w:cs="Arial" w:eastAsia="Arial" w:hAnsi="Arial"/>
          <w:sz w:val="18"/>
          <w:szCs w:val="18"/>
          <w:color w:val="262626"/>
        </w:rPr>
        <w:t>No fee required.</w:t>
      </w:r>
    </w:p>
    <w:p>
      <w:pPr>
        <w:spacing w:after="0" w:line="18" w:lineRule="exact"/>
        <w:rPr>
          <w:sz w:val="24"/>
          <w:szCs w:val="24"/>
          <w:color w:val="auto"/>
        </w:rPr>
      </w:pPr>
    </w:p>
    <w:p>
      <w:pPr>
        <w:ind w:left="420" w:hanging="363"/>
        <w:spacing w:after="0"/>
        <w:tabs>
          <w:tab w:leader="none" w:pos="420" w:val="left"/>
        </w:tabs>
        <w:numPr>
          <w:ilvl w:val="0"/>
          <w:numId w:val="3"/>
        </w:numPr>
        <w:rPr>
          <w:rFonts w:ascii="MS PGothic" w:cs="MS PGothic" w:eastAsia="MS PGothic" w:hAnsi="MS PGothic"/>
          <w:sz w:val="18"/>
          <w:szCs w:val="18"/>
          <w:color w:val="262626"/>
        </w:rPr>
      </w:pPr>
      <w:r>
        <w:rPr>
          <w:rFonts w:ascii="Arial" w:cs="Arial" w:eastAsia="Arial" w:hAnsi="Arial"/>
          <w:sz w:val="18"/>
          <w:szCs w:val="18"/>
          <w:color w:val="262626"/>
        </w:rPr>
        <w:t>Fee computed on table below per Exchange Act Rules 14a-6(i)(1) and 0-11.</w:t>
      </w:r>
    </w:p>
    <w:p>
      <w:pPr>
        <w:spacing w:after="0" w:line="18" w:lineRule="exact"/>
        <w:rPr>
          <w:rFonts w:ascii="MS PGothic" w:cs="MS PGothic" w:eastAsia="MS PGothic" w:hAnsi="MS PGothic"/>
          <w:sz w:val="18"/>
          <w:szCs w:val="18"/>
          <w:color w:val="262626"/>
        </w:rPr>
      </w:pPr>
    </w:p>
    <w:p>
      <w:pPr>
        <w:ind w:left="920" w:hanging="492"/>
        <w:spacing w:after="0"/>
        <w:tabs>
          <w:tab w:leader="none" w:pos="920" w:val="left"/>
        </w:tabs>
        <w:numPr>
          <w:ilvl w:val="1"/>
          <w:numId w:val="3"/>
        </w:numPr>
        <w:rPr>
          <w:rFonts w:ascii="Arial" w:cs="Arial" w:eastAsia="Arial" w:hAnsi="Arial"/>
          <w:sz w:val="18"/>
          <w:szCs w:val="18"/>
          <w:color w:val="262626"/>
        </w:rPr>
      </w:pPr>
      <w:r>
        <w:rPr>
          <w:rFonts w:ascii="Arial" w:cs="Arial" w:eastAsia="Arial" w:hAnsi="Arial"/>
          <w:sz w:val="18"/>
          <w:szCs w:val="18"/>
          <w:color w:val="262626"/>
        </w:rPr>
        <w:t>Title of each class of securities to which transaction applies:</w:t>
      </w:r>
    </w:p>
    <w:p>
      <w:pPr>
        <w:spacing w:after="0" w:line="18" w:lineRule="exact"/>
        <w:rPr>
          <w:rFonts w:ascii="Arial" w:cs="Arial" w:eastAsia="Arial" w:hAnsi="Arial"/>
          <w:sz w:val="18"/>
          <w:szCs w:val="18"/>
          <w:color w:val="262626"/>
        </w:rPr>
      </w:pPr>
    </w:p>
    <w:p>
      <w:pPr>
        <w:ind w:left="920" w:hanging="492"/>
        <w:spacing w:after="0"/>
        <w:tabs>
          <w:tab w:leader="none" w:pos="920" w:val="left"/>
        </w:tabs>
        <w:numPr>
          <w:ilvl w:val="1"/>
          <w:numId w:val="3"/>
        </w:numPr>
        <w:rPr>
          <w:rFonts w:ascii="Arial" w:cs="Arial" w:eastAsia="Arial" w:hAnsi="Arial"/>
          <w:sz w:val="18"/>
          <w:szCs w:val="18"/>
          <w:color w:val="262626"/>
        </w:rPr>
      </w:pPr>
      <w:r>
        <w:rPr>
          <w:rFonts w:ascii="Arial" w:cs="Arial" w:eastAsia="Arial" w:hAnsi="Arial"/>
          <w:sz w:val="18"/>
          <w:szCs w:val="18"/>
          <w:color w:val="262626"/>
        </w:rPr>
        <w:t>Aggregate number of securities to which transaction applies:</w:t>
      </w:r>
    </w:p>
    <w:p>
      <w:pPr>
        <w:spacing w:after="0" w:line="18" w:lineRule="exact"/>
        <w:rPr>
          <w:rFonts w:ascii="Arial" w:cs="Arial" w:eastAsia="Arial" w:hAnsi="Arial"/>
          <w:sz w:val="18"/>
          <w:szCs w:val="18"/>
          <w:color w:val="262626"/>
        </w:rPr>
      </w:pPr>
    </w:p>
    <w:p>
      <w:pPr>
        <w:ind w:left="920" w:right="180" w:hanging="492"/>
        <w:spacing w:after="0" w:line="222" w:lineRule="auto"/>
        <w:tabs>
          <w:tab w:leader="none" w:pos="920" w:val="left"/>
        </w:tabs>
        <w:numPr>
          <w:ilvl w:val="1"/>
          <w:numId w:val="3"/>
        </w:numPr>
        <w:rPr>
          <w:rFonts w:ascii="Arial" w:cs="Arial" w:eastAsia="Arial" w:hAnsi="Arial"/>
          <w:sz w:val="18"/>
          <w:szCs w:val="18"/>
          <w:color w:val="262626"/>
        </w:rPr>
      </w:pPr>
      <w:r>
        <w:rPr>
          <w:rFonts w:ascii="Arial" w:cs="Arial" w:eastAsia="Arial" w:hAnsi="Arial"/>
          <w:sz w:val="18"/>
          <w:szCs w:val="18"/>
          <w:color w:val="262626"/>
        </w:rPr>
        <w:t>Per unit price or other underlying value of transaction computed pursuant to Exchange Act Rule 0-11 (set forth the amount on which the filing fee is calculated and state how it was determined):</w:t>
      </w:r>
    </w:p>
    <w:p>
      <w:pPr>
        <w:spacing w:after="0" w:line="14" w:lineRule="exact"/>
        <w:rPr>
          <w:rFonts w:ascii="Arial" w:cs="Arial" w:eastAsia="Arial" w:hAnsi="Arial"/>
          <w:sz w:val="18"/>
          <w:szCs w:val="18"/>
          <w:color w:val="262626"/>
        </w:rPr>
      </w:pPr>
    </w:p>
    <w:p>
      <w:pPr>
        <w:ind w:left="920" w:hanging="492"/>
        <w:spacing w:after="0"/>
        <w:tabs>
          <w:tab w:leader="none" w:pos="920" w:val="left"/>
        </w:tabs>
        <w:numPr>
          <w:ilvl w:val="1"/>
          <w:numId w:val="3"/>
        </w:numPr>
        <w:rPr>
          <w:rFonts w:ascii="Arial" w:cs="Arial" w:eastAsia="Arial" w:hAnsi="Arial"/>
          <w:sz w:val="18"/>
          <w:szCs w:val="18"/>
          <w:color w:val="262626"/>
        </w:rPr>
      </w:pPr>
      <w:r>
        <w:rPr>
          <w:rFonts w:ascii="Arial" w:cs="Arial" w:eastAsia="Arial" w:hAnsi="Arial"/>
          <w:sz w:val="18"/>
          <w:szCs w:val="18"/>
          <w:color w:val="262626"/>
        </w:rPr>
        <w:t>Proposed maximum aggregate value of transaction:</w:t>
      </w:r>
    </w:p>
    <w:p>
      <w:pPr>
        <w:spacing w:after="0" w:line="18" w:lineRule="exact"/>
        <w:rPr>
          <w:rFonts w:ascii="Arial" w:cs="Arial" w:eastAsia="Arial" w:hAnsi="Arial"/>
          <w:sz w:val="18"/>
          <w:szCs w:val="18"/>
          <w:color w:val="262626"/>
        </w:rPr>
      </w:pPr>
    </w:p>
    <w:p>
      <w:pPr>
        <w:ind w:left="920" w:hanging="492"/>
        <w:spacing w:after="0"/>
        <w:tabs>
          <w:tab w:leader="none" w:pos="920" w:val="left"/>
        </w:tabs>
        <w:numPr>
          <w:ilvl w:val="1"/>
          <w:numId w:val="3"/>
        </w:numPr>
        <w:rPr>
          <w:rFonts w:ascii="Arial" w:cs="Arial" w:eastAsia="Arial" w:hAnsi="Arial"/>
          <w:sz w:val="18"/>
          <w:szCs w:val="18"/>
          <w:color w:val="262626"/>
        </w:rPr>
      </w:pPr>
      <w:r>
        <w:rPr>
          <w:rFonts w:ascii="Arial" w:cs="Arial" w:eastAsia="Arial" w:hAnsi="Arial"/>
          <w:sz w:val="18"/>
          <w:szCs w:val="18"/>
          <w:color w:val="262626"/>
        </w:rPr>
        <w:t>Total fee paid:</w:t>
      </w:r>
    </w:p>
    <w:p>
      <w:pPr>
        <w:spacing w:after="0" w:line="18" w:lineRule="exact"/>
        <w:rPr>
          <w:rFonts w:ascii="Arial" w:cs="Arial" w:eastAsia="Arial" w:hAnsi="Arial"/>
          <w:sz w:val="18"/>
          <w:szCs w:val="18"/>
          <w:color w:val="262626"/>
        </w:rPr>
      </w:pPr>
    </w:p>
    <w:p>
      <w:pPr>
        <w:ind w:left="420" w:hanging="363"/>
        <w:spacing w:after="0"/>
        <w:tabs>
          <w:tab w:leader="none" w:pos="420" w:val="left"/>
        </w:tabs>
        <w:numPr>
          <w:ilvl w:val="0"/>
          <w:numId w:val="3"/>
        </w:numPr>
        <w:rPr>
          <w:rFonts w:ascii="MS PGothic" w:cs="MS PGothic" w:eastAsia="MS PGothic" w:hAnsi="MS PGothic"/>
          <w:sz w:val="18"/>
          <w:szCs w:val="18"/>
          <w:color w:val="262626"/>
        </w:rPr>
      </w:pPr>
      <w:r>
        <w:rPr>
          <w:rFonts w:ascii="Arial" w:cs="Arial" w:eastAsia="Arial" w:hAnsi="Arial"/>
          <w:sz w:val="18"/>
          <w:szCs w:val="18"/>
          <w:color w:val="262626"/>
        </w:rPr>
        <w:t>Fee paid previously with preliminary materials.</w:t>
      </w:r>
    </w:p>
    <w:p>
      <w:pPr>
        <w:spacing w:after="0" w:line="18" w:lineRule="exact"/>
        <w:rPr>
          <w:rFonts w:ascii="MS PGothic" w:cs="MS PGothic" w:eastAsia="MS PGothic" w:hAnsi="MS PGothic"/>
          <w:sz w:val="18"/>
          <w:szCs w:val="18"/>
          <w:color w:val="262626"/>
        </w:rPr>
      </w:pPr>
    </w:p>
    <w:p>
      <w:pPr>
        <w:ind w:left="420" w:hanging="363"/>
        <w:spacing w:after="0" w:line="235" w:lineRule="auto"/>
        <w:tabs>
          <w:tab w:leader="none" w:pos="420" w:val="left"/>
        </w:tabs>
        <w:numPr>
          <w:ilvl w:val="0"/>
          <w:numId w:val="3"/>
        </w:numPr>
        <w:rPr>
          <w:rFonts w:ascii="MS PGothic" w:cs="MS PGothic" w:eastAsia="MS PGothic" w:hAnsi="MS PGothic"/>
          <w:sz w:val="17"/>
          <w:szCs w:val="17"/>
          <w:color w:val="262626"/>
        </w:rPr>
      </w:pPr>
      <w:r>
        <w:rPr>
          <w:rFonts w:ascii="Arial" w:cs="Arial" w:eastAsia="Arial" w:hAnsi="Arial"/>
          <w:sz w:val="17"/>
          <w:szCs w:val="17"/>
          <w:color w:val="262626"/>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 w:lineRule="exact"/>
        <w:rPr>
          <w:rFonts w:ascii="MS PGothic" w:cs="MS PGothic" w:eastAsia="MS PGothic" w:hAnsi="MS PGothic"/>
          <w:sz w:val="17"/>
          <w:szCs w:val="17"/>
          <w:color w:val="262626"/>
        </w:rPr>
      </w:pPr>
    </w:p>
    <w:p>
      <w:pPr>
        <w:ind w:left="920" w:hanging="492"/>
        <w:spacing w:after="0"/>
        <w:tabs>
          <w:tab w:leader="none" w:pos="920" w:val="left"/>
        </w:tabs>
        <w:numPr>
          <w:ilvl w:val="1"/>
          <w:numId w:val="3"/>
        </w:numPr>
        <w:rPr>
          <w:rFonts w:ascii="Arial" w:cs="Arial" w:eastAsia="Arial" w:hAnsi="Arial"/>
          <w:sz w:val="18"/>
          <w:szCs w:val="18"/>
          <w:color w:val="262626"/>
        </w:rPr>
      </w:pPr>
      <w:r>
        <w:rPr>
          <w:rFonts w:ascii="Arial" w:cs="Arial" w:eastAsia="Arial" w:hAnsi="Arial"/>
          <w:sz w:val="18"/>
          <w:szCs w:val="18"/>
          <w:color w:val="262626"/>
        </w:rPr>
        <w:t>Amount Previously Paid:</w:t>
      </w:r>
    </w:p>
    <w:p>
      <w:pPr>
        <w:spacing w:after="0" w:line="18" w:lineRule="exact"/>
        <w:rPr>
          <w:rFonts w:ascii="Arial" w:cs="Arial" w:eastAsia="Arial" w:hAnsi="Arial"/>
          <w:sz w:val="18"/>
          <w:szCs w:val="18"/>
          <w:color w:val="262626"/>
        </w:rPr>
      </w:pPr>
    </w:p>
    <w:p>
      <w:pPr>
        <w:ind w:left="920" w:hanging="492"/>
        <w:spacing w:after="0"/>
        <w:tabs>
          <w:tab w:leader="none" w:pos="920" w:val="left"/>
        </w:tabs>
        <w:numPr>
          <w:ilvl w:val="1"/>
          <w:numId w:val="3"/>
        </w:numPr>
        <w:rPr>
          <w:rFonts w:ascii="Arial" w:cs="Arial" w:eastAsia="Arial" w:hAnsi="Arial"/>
          <w:sz w:val="18"/>
          <w:szCs w:val="18"/>
          <w:color w:val="262626"/>
        </w:rPr>
      </w:pPr>
      <w:r>
        <w:rPr>
          <w:rFonts w:ascii="Arial" w:cs="Arial" w:eastAsia="Arial" w:hAnsi="Arial"/>
          <w:sz w:val="18"/>
          <w:szCs w:val="18"/>
          <w:color w:val="262626"/>
        </w:rPr>
        <w:t>Form, Schedule or Registration Statement No.:</w:t>
      </w:r>
    </w:p>
    <w:p>
      <w:pPr>
        <w:spacing w:after="0" w:line="18" w:lineRule="exact"/>
        <w:rPr>
          <w:rFonts w:ascii="Arial" w:cs="Arial" w:eastAsia="Arial" w:hAnsi="Arial"/>
          <w:sz w:val="18"/>
          <w:szCs w:val="18"/>
          <w:color w:val="262626"/>
        </w:rPr>
      </w:pPr>
    </w:p>
    <w:p>
      <w:pPr>
        <w:ind w:left="920" w:hanging="492"/>
        <w:spacing w:after="0"/>
        <w:tabs>
          <w:tab w:leader="none" w:pos="920" w:val="left"/>
        </w:tabs>
        <w:numPr>
          <w:ilvl w:val="1"/>
          <w:numId w:val="3"/>
        </w:numPr>
        <w:rPr>
          <w:rFonts w:ascii="Arial" w:cs="Arial" w:eastAsia="Arial" w:hAnsi="Arial"/>
          <w:sz w:val="18"/>
          <w:szCs w:val="18"/>
          <w:color w:val="262626"/>
        </w:rPr>
      </w:pPr>
      <w:r>
        <w:rPr>
          <w:rFonts w:ascii="Arial" w:cs="Arial" w:eastAsia="Arial" w:hAnsi="Arial"/>
          <w:sz w:val="18"/>
          <w:szCs w:val="18"/>
          <w:color w:val="262626"/>
        </w:rPr>
        <w:t>Filing Party:</w:t>
      </w:r>
    </w:p>
    <w:p>
      <w:pPr>
        <w:spacing w:after="0" w:line="18" w:lineRule="exact"/>
        <w:rPr>
          <w:rFonts w:ascii="Arial" w:cs="Arial" w:eastAsia="Arial" w:hAnsi="Arial"/>
          <w:sz w:val="18"/>
          <w:szCs w:val="18"/>
          <w:color w:val="262626"/>
        </w:rPr>
      </w:pPr>
    </w:p>
    <w:p>
      <w:pPr>
        <w:ind w:left="920" w:hanging="492"/>
        <w:spacing w:after="0"/>
        <w:tabs>
          <w:tab w:leader="none" w:pos="920" w:val="left"/>
        </w:tabs>
        <w:numPr>
          <w:ilvl w:val="1"/>
          <w:numId w:val="3"/>
        </w:numPr>
        <w:rPr>
          <w:rFonts w:ascii="Arial" w:cs="Arial" w:eastAsia="Arial" w:hAnsi="Arial"/>
          <w:sz w:val="18"/>
          <w:szCs w:val="18"/>
          <w:color w:val="262626"/>
        </w:rPr>
      </w:pPr>
      <w:r>
        <w:rPr>
          <w:rFonts w:ascii="Arial" w:cs="Arial" w:eastAsia="Arial" w:hAnsi="Arial"/>
          <w:sz w:val="18"/>
          <w:szCs w:val="18"/>
          <w:color w:val="262626"/>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880"/>
          </w:cols>
          <w:pgMar w:left="320" w:top="1296" w:right="6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2016125</wp:posOffset>
            </wp:positionH>
            <wp:positionV relativeFrom="page">
              <wp:posOffset>795655</wp:posOffset>
            </wp:positionV>
            <wp:extent cx="3516630" cy="471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51663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40"/>
        <w:spacing w:after="0"/>
        <w:rPr>
          <w:sz w:val="20"/>
          <w:szCs w:val="20"/>
          <w:color w:val="auto"/>
        </w:rPr>
      </w:pPr>
      <w:r>
        <w:rPr>
          <w:rFonts w:ascii="Arial" w:cs="Arial" w:eastAsia="Arial" w:hAnsi="Arial"/>
          <w:sz w:val="21"/>
          <w:szCs w:val="21"/>
          <w:color w:val="CC092F"/>
        </w:rPr>
        <w:t>NOTICE OF 2022 ANNUAL MEETING OF STOCKHOLDERS</w:t>
      </w:r>
    </w:p>
    <w:p>
      <w:pPr>
        <w:sectPr>
          <w:pgSz w:w="11900" w:h="16838" w:orient="portrait"/>
          <w:cols w:equalWidth="0" w:num="1">
            <w:col w:w="10740"/>
          </w:cols>
          <w:pgMar w:left="80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62626"/>
        </w:rPr>
        <w:t>Date: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62626"/>
        </w:rPr>
        <w:t>Time: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62626"/>
        </w:rPr>
        <w:t>Place:</w:t>
      </w:r>
    </w:p>
    <w:p>
      <w:pPr>
        <w:ind w:left="40"/>
        <w:spacing w:after="0" w:line="236" w:lineRule="auto"/>
        <w:rPr>
          <w:sz w:val="20"/>
          <w:szCs w:val="20"/>
          <w:color w:val="auto"/>
        </w:rPr>
      </w:pPr>
      <w:r>
        <w:rPr>
          <w:rFonts w:ascii="Arial" w:cs="Arial" w:eastAsia="Arial" w:hAnsi="Arial"/>
          <w:sz w:val="18"/>
          <w:szCs w:val="18"/>
          <w:b w:val="1"/>
          <w:bCs w:val="1"/>
          <w:color w:val="262626"/>
        </w:rPr>
        <w:t>Items of</w:t>
      </w:r>
    </w:p>
    <w:p>
      <w:pPr>
        <w:ind w:left="40"/>
        <w:spacing w:after="0"/>
        <w:rPr>
          <w:sz w:val="20"/>
          <w:szCs w:val="20"/>
          <w:color w:val="auto"/>
        </w:rPr>
      </w:pPr>
      <w:r>
        <w:rPr>
          <w:rFonts w:ascii="Arial" w:cs="Arial" w:eastAsia="Arial" w:hAnsi="Arial"/>
          <w:sz w:val="18"/>
          <w:szCs w:val="18"/>
          <w:b w:val="1"/>
          <w:bCs w:val="1"/>
          <w:color w:val="262626"/>
        </w:rPr>
        <w:t>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262626"/>
        </w:rPr>
        <w:t>Record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262626"/>
        </w:rPr>
        <w:t>April 4, 2022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262626"/>
        </w:rPr>
        <w:t>11:00 a.m. Pacific Time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262626"/>
        </w:rPr>
        <w:t>1320 Ridder Park Drive, San Jose, California 95131</w:t>
      </w:r>
    </w:p>
    <w:p>
      <w:pPr>
        <w:spacing w:after="0" w:line="32" w:lineRule="exact"/>
        <w:rPr>
          <w:sz w:val="20"/>
          <w:szCs w:val="20"/>
          <w:color w:val="auto"/>
        </w:rPr>
      </w:pPr>
    </w:p>
    <w:p>
      <w:pPr>
        <w:ind w:left="340" w:right="520" w:hanging="337"/>
        <w:spacing w:after="0" w:line="251" w:lineRule="auto"/>
        <w:tabs>
          <w:tab w:leader="none" w:pos="340" w:val="left"/>
        </w:tabs>
        <w:numPr>
          <w:ilvl w:val="0"/>
          <w:numId w:val="4"/>
        </w:numPr>
        <w:rPr>
          <w:rFonts w:ascii="Arial" w:cs="Arial" w:eastAsia="Arial" w:hAnsi="Arial"/>
          <w:sz w:val="16"/>
          <w:szCs w:val="16"/>
          <w:color w:val="CC092F"/>
        </w:rPr>
      </w:pPr>
      <w:r>
        <w:rPr>
          <w:rFonts w:ascii="Arial" w:cs="Arial" w:eastAsia="Arial" w:hAnsi="Arial"/>
          <w:sz w:val="18"/>
          <w:szCs w:val="18"/>
          <w:color w:val="262626"/>
        </w:rPr>
        <w:t>To elect each of the nine director nominees named in this proxy statement until the next annual meeting of stockholders or until their successors have been elected.</w:t>
      </w:r>
    </w:p>
    <w:p>
      <w:pPr>
        <w:spacing w:after="0" w:line="44" w:lineRule="exact"/>
        <w:rPr>
          <w:rFonts w:ascii="Arial" w:cs="Arial" w:eastAsia="Arial" w:hAnsi="Arial"/>
          <w:sz w:val="16"/>
          <w:szCs w:val="16"/>
          <w:color w:val="CC092F"/>
        </w:rPr>
      </w:pPr>
    </w:p>
    <w:p>
      <w:pPr>
        <w:ind w:left="340" w:right="500" w:hanging="337"/>
        <w:spacing w:after="0" w:line="251" w:lineRule="auto"/>
        <w:tabs>
          <w:tab w:leader="none" w:pos="340" w:val="left"/>
        </w:tabs>
        <w:numPr>
          <w:ilvl w:val="0"/>
          <w:numId w:val="4"/>
        </w:numPr>
        <w:rPr>
          <w:rFonts w:ascii="Arial" w:cs="Arial" w:eastAsia="Arial" w:hAnsi="Arial"/>
          <w:sz w:val="16"/>
          <w:szCs w:val="16"/>
          <w:color w:val="CC092F"/>
        </w:rPr>
      </w:pPr>
      <w:r>
        <w:rPr>
          <w:rFonts w:ascii="Arial" w:cs="Arial" w:eastAsia="Arial" w:hAnsi="Arial"/>
          <w:sz w:val="18"/>
          <w:szCs w:val="18"/>
          <w:color w:val="262626"/>
        </w:rPr>
        <w:t>To ratify the appointment of PricewaterhouseCoopers LLP to serve as our independent registered public accounting firm for the fiscal year ending October 30, 2022.</w:t>
      </w:r>
    </w:p>
    <w:p>
      <w:pPr>
        <w:ind w:left="340" w:hanging="337"/>
        <w:spacing w:after="0" w:line="207" w:lineRule="auto"/>
        <w:tabs>
          <w:tab w:leader="none" w:pos="340" w:val="left"/>
        </w:tabs>
        <w:numPr>
          <w:ilvl w:val="0"/>
          <w:numId w:val="4"/>
        </w:numPr>
        <w:rPr>
          <w:rFonts w:ascii="Arial" w:cs="Arial" w:eastAsia="Arial" w:hAnsi="Arial"/>
          <w:sz w:val="32"/>
          <w:szCs w:val="32"/>
          <w:color w:val="CC092F"/>
          <w:vertAlign w:val="superscript"/>
        </w:rPr>
      </w:pPr>
      <w:r>
        <w:rPr>
          <w:rFonts w:ascii="Arial" w:cs="Arial" w:eastAsia="Arial" w:hAnsi="Arial"/>
          <w:sz w:val="18"/>
          <w:szCs w:val="18"/>
          <w:color w:val="262626"/>
        </w:rPr>
        <w:t>To hold an advisory vote to approve the compensation of our named executive officers.</w:t>
      </w:r>
    </w:p>
    <w:p>
      <w:pPr>
        <w:spacing w:after="0" w:line="53" w:lineRule="exact"/>
        <w:rPr>
          <w:rFonts w:ascii="Arial" w:cs="Arial" w:eastAsia="Arial" w:hAnsi="Arial"/>
          <w:sz w:val="32"/>
          <w:szCs w:val="32"/>
          <w:color w:val="CC092F"/>
          <w:vertAlign w:val="superscript"/>
        </w:rPr>
      </w:pPr>
    </w:p>
    <w:p>
      <w:pPr>
        <w:ind w:left="340" w:right="900" w:hanging="337"/>
        <w:spacing w:after="0" w:line="251" w:lineRule="auto"/>
        <w:tabs>
          <w:tab w:leader="none" w:pos="340" w:val="left"/>
        </w:tabs>
        <w:numPr>
          <w:ilvl w:val="0"/>
          <w:numId w:val="4"/>
        </w:numPr>
        <w:rPr>
          <w:rFonts w:ascii="Arial" w:cs="Arial" w:eastAsia="Arial" w:hAnsi="Arial"/>
          <w:sz w:val="16"/>
          <w:szCs w:val="16"/>
          <w:color w:val="CC092F"/>
        </w:rPr>
      </w:pPr>
      <w:r>
        <w:rPr>
          <w:rFonts w:ascii="Arial" w:cs="Arial" w:eastAsia="Arial" w:hAnsi="Arial"/>
          <w:sz w:val="18"/>
          <w:szCs w:val="18"/>
          <w:color w:val="262626"/>
        </w:rPr>
        <w:t>To transact any other business as may properly come before the meeting or any postponements or adjournments to the meeting.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262626"/>
        </w:rPr>
        <w:t>February 7, 2022</w:t>
      </w:r>
    </w:p>
    <w:p>
      <w:pPr>
        <w:spacing w:after="0" w:line="200" w:lineRule="exact"/>
        <w:rPr>
          <w:sz w:val="20"/>
          <w:szCs w:val="20"/>
          <w:color w:val="auto"/>
        </w:rPr>
      </w:pPr>
    </w:p>
    <w:p>
      <w:pPr>
        <w:sectPr>
          <w:pgSz w:w="11900" w:h="16838" w:orient="portrait"/>
          <w:cols w:equalWidth="0" w:num="2">
            <w:col w:w="1120" w:space="680"/>
            <w:col w:w="8940"/>
          </w:cols>
          <w:pgMar w:left="800" w:top="1440" w:right="359" w:bottom="1440" w:gutter="0" w:footer="0" w:header="0"/>
          <w:type w:val="continuous"/>
        </w:sectPr>
      </w:pPr>
    </w:p>
    <w:p>
      <w:pPr>
        <w:spacing w:after="0" w:line="5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242424"/>
        </w:rPr>
        <w:t>These items of business are described more fully in the accompanying Proxy Statement. On or about February 18, 2022, we are mailing to most of Broadcom’s common stockholders at the close of business on the Record Date a notice of availability of proxy materials instead of a paper copy of the proxy materials.</w:t>
      </w:r>
    </w:p>
    <w:p>
      <w:pPr>
        <w:spacing w:after="0" w:line="153" w:lineRule="exact"/>
        <w:rPr>
          <w:sz w:val="20"/>
          <w:szCs w:val="20"/>
          <w:color w:val="auto"/>
        </w:rPr>
      </w:pPr>
    </w:p>
    <w:p>
      <w:pPr>
        <w:spacing w:after="0" w:line="248" w:lineRule="auto"/>
        <w:rPr>
          <w:sz w:val="20"/>
          <w:szCs w:val="20"/>
          <w:color w:val="auto"/>
        </w:rPr>
      </w:pPr>
      <w:r>
        <w:rPr>
          <w:rFonts w:ascii="Arial" w:cs="Arial" w:eastAsia="Arial" w:hAnsi="Arial"/>
          <w:sz w:val="18"/>
          <w:szCs w:val="18"/>
          <w:color w:val="242424"/>
        </w:rPr>
        <w:t>Your vote is important. Regardless of whether you plan to participate in the Annual Meeting, we hope you will vote as soon as possible. Voting will ensure you are represented at the Annual Meeting, regardless of whether you plan to attend the Annual Meeting. You may cast your vote over the Internet, by telephone, by mail or during the Annual Meeting.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242424"/>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99250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25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242424"/>
        </w:rPr>
        <w:t>Hock E. Tan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242424"/>
        </w:rPr>
        <w:t>Director, President and Chief Executive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242424"/>
        </w:rPr>
        <w:t>February 18,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242424"/>
        </w:rPr>
        <w:t>Important notice regarding the availability of proxy materials for the Annual Meeting to be held on April 4, 2022:</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242424"/>
        </w:rPr>
        <w:t>The notice of meeting, Proxy Statement and annual report to stockholders are available at http://investors.broadcom.com.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453505" cy="597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53505" cy="597535"/>
                    </a:xfrm>
                    <a:prstGeom prst="rect">
                      <a:avLst/>
                    </a:prstGeom>
                    <a:noFill/>
                  </pic:spPr>
                </pic:pic>
              </a:graphicData>
            </a:graphic>
          </wp:anchor>
        </w:drawing>
      </w:r>
    </w:p>
    <w:p>
      <w:pPr>
        <w:spacing w:after="0" w:line="147" w:lineRule="exact"/>
        <w:rPr>
          <w:sz w:val="20"/>
          <w:szCs w:val="20"/>
          <w:color w:val="auto"/>
        </w:rPr>
      </w:pPr>
    </w:p>
    <w:p>
      <w:pPr>
        <w:ind w:left="40" w:right="740"/>
        <w:spacing w:after="0" w:line="229" w:lineRule="auto"/>
        <w:rPr>
          <w:sz w:val="20"/>
          <w:szCs w:val="20"/>
          <w:color w:val="auto"/>
        </w:rPr>
      </w:pPr>
      <w:r>
        <w:rPr>
          <w:rFonts w:ascii="Arial" w:cs="Arial" w:eastAsia="Arial" w:hAnsi="Arial"/>
          <w:sz w:val="16"/>
          <w:szCs w:val="16"/>
          <w:color w:val="242424"/>
        </w:rPr>
        <w:t>We are monitoring public health and travel safety concerns relating to COVID-19. If we determine that a change in the date, time or location of the Annual Meeting or a change to a virtual meeting format is advisable or required, we will announce such changes through a press release and additional proxy materials filed with the Securities and Exchange Commission, and on our Investor Center page at https://investors.broadcom.com. Please check this website in advance of the meeting date if you are planning to attend in person, and we encourage you to vote your shares prior to the Annual Meeting.</w:t>
      </w:r>
    </w:p>
    <w:p>
      <w:pPr>
        <w:sectPr>
          <w:pgSz w:w="11900" w:h="16838" w:orient="portrait"/>
          <w:cols w:equalWidth="0" w:num="1">
            <w:col w:w="10740"/>
          </w:cols>
          <w:pgMar w:left="800" w:top="1440" w:right="359" w:bottom="1440" w:gutter="0" w:footer="0" w:header="0"/>
          <w:type w:val="continuous"/>
        </w:sectPr>
      </w:pPr>
    </w:p>
    <w:bookmarkStart w:id="2" w:name="page3"/>
    <w:bookmarkEnd w:id="2"/>
    <w:tbl>
      <w:tblPr>
        <w:tblLayout w:type="fixed"/>
        <w:tblInd w:w="180" w:type="dxa"/>
        <w:tblCellMar>
          <w:top w:w="0" w:type="dxa"/>
          <w:left w:w="0" w:type="dxa"/>
          <w:bottom w:w="0" w:type="dxa"/>
          <w:right w:w="0" w:type="dxa"/>
        </w:tblCellMar>
      </w:tblPr>
      <w:tr>
        <w:trPr>
          <w:trHeight w:val="212"/>
        </w:trPr>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gridSpan w:val="4"/>
          </w:tcPr>
          <w:p>
            <w:pPr>
              <w:ind w:left="600"/>
              <w:spacing w:after="0"/>
              <w:rPr>
                <w:sz w:val="20"/>
                <w:szCs w:val="20"/>
                <w:color w:val="auto"/>
              </w:rPr>
            </w:pPr>
            <w:r>
              <w:rPr>
                <w:rFonts w:ascii="Arial" w:cs="Arial" w:eastAsia="Arial" w:hAnsi="Arial"/>
                <w:sz w:val="18"/>
                <w:szCs w:val="18"/>
                <w:color w:val="CC092F"/>
              </w:rPr>
              <w:t>TABLE OF CONTENTS</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556"/>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5"/>
          </w:tcPr>
          <w:p>
            <w:pPr>
              <w:jc w:val="center"/>
              <w:ind w:left="852"/>
              <w:spacing w:after="0"/>
              <w:rPr>
                <w:sz w:val="20"/>
                <w:szCs w:val="20"/>
                <w:color w:val="auto"/>
              </w:rPr>
            </w:pPr>
            <w:r>
              <w:rPr>
                <w:rFonts w:ascii="Arial" w:cs="Arial" w:eastAsia="Arial" w:hAnsi="Arial"/>
                <w:sz w:val="18"/>
                <w:szCs w:val="18"/>
                <w:color w:val="242424"/>
                <w:w w:val="95"/>
              </w:rPr>
              <w:t>Page</w:t>
            </w:r>
          </w:p>
        </w:tc>
      </w:tr>
      <w:tr>
        <w:trPr>
          <w:trHeight w:val="187"/>
        </w:trPr>
        <w:tc>
          <w:tcPr>
            <w:tcW w:w="9240" w:type="dxa"/>
            <w:vAlign w:val="bottom"/>
            <w:gridSpan w:val="16"/>
          </w:tcPr>
          <w:p>
            <w:pPr>
              <w:spacing w:after="0" w:line="187" w:lineRule="exact"/>
              <w:rPr>
                <w:rFonts w:ascii="Arial" w:cs="Arial" w:eastAsia="Arial" w:hAnsi="Arial"/>
                <w:sz w:val="18"/>
                <w:szCs w:val="18"/>
                <w:color w:val="0000FF"/>
              </w:rPr>
            </w:pPr>
            <w:hyperlink w:anchor="page3">
              <w:r>
                <w:rPr>
                  <w:rFonts w:ascii="Arial" w:cs="Arial" w:eastAsia="Arial" w:hAnsi="Arial"/>
                  <w:sz w:val="18"/>
                  <w:szCs w:val="18"/>
                  <w:color w:val="0000FF"/>
                </w:rPr>
                <w:t>PROXY STATEMENT SUMMARY</w:t>
              </w:r>
            </w:hyperlink>
          </w:p>
        </w:tc>
        <w:tc>
          <w:tcPr>
            <w:tcW w:w="1200" w:type="dxa"/>
            <w:vAlign w:val="bottom"/>
            <w:gridSpan w:val="3"/>
          </w:tcPr>
          <w:p>
            <w:pPr>
              <w:jc w:val="center"/>
              <w:ind w:left="992"/>
              <w:spacing w:after="0" w:line="187"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2420" w:type="dxa"/>
            <w:vAlign w:val="bottom"/>
            <w:gridSpan w:val="4"/>
          </w:tcPr>
          <w:p>
            <w:pPr>
              <w:spacing w:after="0" w:line="205" w:lineRule="exact"/>
              <w:rPr>
                <w:rFonts w:ascii="Arial" w:cs="Arial" w:eastAsia="Arial" w:hAnsi="Arial"/>
                <w:sz w:val="18"/>
                <w:szCs w:val="18"/>
                <w:color w:val="0000FF"/>
                <w:w w:val="97"/>
              </w:rPr>
            </w:pPr>
            <w:hyperlink w:anchor="page8">
              <w:r>
                <w:rPr>
                  <w:rFonts w:ascii="Arial" w:cs="Arial" w:eastAsia="Arial" w:hAnsi="Arial"/>
                  <w:sz w:val="18"/>
                  <w:szCs w:val="18"/>
                  <w:color w:val="0000FF"/>
                  <w:w w:val="97"/>
                </w:rPr>
                <w:t>CORPORATE GOVERNANCE</w:t>
              </w:r>
            </w:hyperlink>
          </w:p>
        </w:tc>
        <w:tc>
          <w:tcPr>
            <w:tcW w:w="240" w:type="dxa"/>
            <w:vAlign w:val="bottom"/>
            <w:gridSpan w:val="2"/>
          </w:tcPr>
          <w:p>
            <w:pPr>
              <w:spacing w:after="0"/>
              <w:rPr>
                <w:sz w:val="17"/>
                <w:szCs w:val="17"/>
                <w:color w:val="auto"/>
              </w:rPr>
            </w:pPr>
          </w:p>
        </w:tc>
        <w:tc>
          <w:tcPr>
            <w:tcW w:w="6580" w:type="dxa"/>
            <w:vAlign w:val="bottom"/>
            <w:gridSpan w:val="10"/>
          </w:tcPr>
          <w:p>
            <w:pPr>
              <w:spacing w:after="0"/>
              <w:rPr>
                <w:sz w:val="17"/>
                <w:szCs w:val="17"/>
                <w:color w:val="auto"/>
              </w:rPr>
            </w:pPr>
          </w:p>
        </w:tc>
        <w:tc>
          <w:tcPr>
            <w:tcW w:w="1200" w:type="dxa"/>
            <w:vAlign w:val="bottom"/>
            <w:gridSpan w:val="3"/>
          </w:tcPr>
          <w:p>
            <w:pPr>
              <w:jc w:val="center"/>
              <w:ind w:left="992"/>
              <w:spacing w:after="0" w:line="205"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2020" w:type="dxa"/>
            <w:vAlign w:val="bottom"/>
            <w:gridSpan w:val="3"/>
          </w:tcPr>
          <w:p>
            <w:pPr>
              <w:spacing w:after="0" w:line="205" w:lineRule="exact"/>
              <w:rPr>
                <w:rFonts w:ascii="Arial" w:cs="Arial" w:eastAsia="Arial" w:hAnsi="Arial"/>
                <w:sz w:val="18"/>
                <w:szCs w:val="18"/>
                <w:color w:val="0000FF"/>
                <w:w w:val="97"/>
              </w:rPr>
            </w:pPr>
            <w:hyperlink w:anchor="page11">
              <w:r>
                <w:rPr>
                  <w:rFonts w:ascii="Arial" w:cs="Arial" w:eastAsia="Arial" w:hAnsi="Arial"/>
                  <w:sz w:val="18"/>
                  <w:szCs w:val="18"/>
                  <w:color w:val="0000FF"/>
                  <w:w w:val="97"/>
                </w:rPr>
                <w:t>BOARD OF DIRECTORS</w:t>
              </w:r>
            </w:hyperlink>
          </w:p>
        </w:tc>
        <w:tc>
          <w:tcPr>
            <w:tcW w:w="400" w:type="dxa"/>
            <w:vAlign w:val="bottom"/>
          </w:tcPr>
          <w:p>
            <w:pPr>
              <w:spacing w:after="0"/>
              <w:rPr>
                <w:sz w:val="17"/>
                <w:szCs w:val="17"/>
                <w:color w:val="auto"/>
              </w:rPr>
            </w:pPr>
          </w:p>
        </w:tc>
        <w:tc>
          <w:tcPr>
            <w:tcW w:w="6820" w:type="dxa"/>
            <w:vAlign w:val="bottom"/>
            <w:gridSpan w:val="12"/>
          </w:tcPr>
          <w:p>
            <w:pPr>
              <w:spacing w:after="0"/>
              <w:rPr>
                <w:sz w:val="17"/>
                <w:szCs w:val="17"/>
                <w:color w:val="auto"/>
              </w:rPr>
            </w:pPr>
          </w:p>
        </w:tc>
        <w:tc>
          <w:tcPr>
            <w:tcW w:w="1200" w:type="dxa"/>
            <w:vAlign w:val="bottom"/>
            <w:gridSpan w:val="3"/>
          </w:tcPr>
          <w:p>
            <w:pPr>
              <w:jc w:val="center"/>
              <w:ind w:left="992"/>
              <w:spacing w:after="0" w:line="205"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9</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9240" w:type="dxa"/>
            <w:vAlign w:val="bottom"/>
            <w:gridSpan w:val="16"/>
          </w:tcPr>
          <w:p>
            <w:pPr>
              <w:spacing w:after="0" w:line="205" w:lineRule="exact"/>
              <w:rPr>
                <w:rFonts w:ascii="Arial" w:cs="Arial" w:eastAsia="Arial" w:hAnsi="Arial"/>
                <w:sz w:val="18"/>
                <w:szCs w:val="18"/>
                <w:color w:val="0000FF"/>
              </w:rPr>
            </w:pPr>
            <w:hyperlink w:anchor="page18">
              <w:r>
                <w:rPr>
                  <w:rFonts w:ascii="Arial" w:cs="Arial" w:eastAsia="Arial" w:hAnsi="Arial"/>
                  <w:sz w:val="18"/>
                  <w:szCs w:val="18"/>
                  <w:color w:val="0000FF"/>
                </w:rPr>
                <w:t>PROPOSAL 1: ELECTION OF DIRECTORS</w:t>
              </w:r>
            </w:hyperlink>
          </w:p>
        </w:tc>
        <w:tc>
          <w:tcPr>
            <w:tcW w:w="1280" w:type="dxa"/>
            <w:vAlign w:val="bottom"/>
            <w:gridSpan w:val="4"/>
          </w:tcPr>
          <w:p>
            <w:pPr>
              <w:jc w:val="center"/>
              <w:ind w:left="912"/>
              <w:spacing w:after="0" w:line="205" w:lineRule="exact"/>
              <w:rPr>
                <w:rFonts w:ascii="Arial" w:cs="Arial" w:eastAsia="Arial" w:hAnsi="Arial"/>
                <w:sz w:val="18"/>
                <w:szCs w:val="18"/>
                <w:color w:val="0000FF"/>
                <w:w w:val="99"/>
              </w:rPr>
            </w:pPr>
            <w:hyperlink w:anchor="page18">
              <w:r>
                <w:rPr>
                  <w:rFonts w:ascii="Arial" w:cs="Arial" w:eastAsia="Arial" w:hAnsi="Arial"/>
                  <w:sz w:val="18"/>
                  <w:szCs w:val="18"/>
                  <w:color w:val="0000FF"/>
                  <w:w w:val="99"/>
                </w:rPr>
                <w:t>16</w:t>
              </w:r>
            </w:hyperlink>
          </w:p>
        </w:tc>
        <w:tc>
          <w:tcPr>
            <w:tcW w:w="60" w:type="dxa"/>
            <w:vAlign w:val="bottom"/>
          </w:tcPr>
          <w:p>
            <w:pPr>
              <w:spacing w:after="0"/>
              <w:rPr>
                <w:sz w:val="17"/>
                <w:szCs w:val="17"/>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9240" w:type="dxa"/>
            <w:vAlign w:val="bottom"/>
            <w:tcBorders>
              <w:bottom w:val="single" w:sz="8" w:color="0000FF"/>
            </w:tcBorders>
            <w:gridSpan w:val="16"/>
          </w:tcPr>
          <w:p>
            <w:pPr>
              <w:spacing w:after="0" w:line="205" w:lineRule="exact"/>
              <w:rPr>
                <w:rFonts w:ascii="Arial" w:cs="Arial" w:eastAsia="Arial" w:hAnsi="Arial"/>
                <w:sz w:val="18"/>
                <w:szCs w:val="18"/>
                <w:color w:val="0000FF"/>
                <w:w w:val="97"/>
              </w:rPr>
            </w:pPr>
            <w:hyperlink w:anchor="page23">
              <w:r>
                <w:rPr>
                  <w:rFonts w:ascii="Arial" w:cs="Arial" w:eastAsia="Arial" w:hAnsi="Arial"/>
                  <w:sz w:val="18"/>
                  <w:szCs w:val="18"/>
                  <w:color w:val="0000FF"/>
                  <w:w w:val="97"/>
                </w:rPr>
                <w:t>PROPOSAL 2: RATIFICATION OF APPOINTMENT OF INDEPENDENT REGISTERED PUBLIC ACCOUNTING FIRM</w:t>
              </w:r>
            </w:hyperlink>
          </w:p>
        </w:tc>
        <w:tc>
          <w:tcPr>
            <w:tcW w:w="1040" w:type="dxa"/>
            <w:vAlign w:val="bottom"/>
          </w:tcPr>
          <w:p>
            <w:pPr>
              <w:spacing w:after="0"/>
              <w:rPr>
                <w:sz w:val="17"/>
                <w:szCs w:val="17"/>
                <w:color w:val="auto"/>
              </w:rPr>
            </w:pPr>
          </w:p>
        </w:tc>
        <w:tc>
          <w:tcPr>
            <w:tcW w:w="160" w:type="dxa"/>
            <w:vAlign w:val="bottom"/>
            <w:tcBorders>
              <w:bottom w:val="single" w:sz="8" w:color="0000FF"/>
            </w:tcBorders>
            <w:gridSpan w:val="2"/>
          </w:tcPr>
          <w:p>
            <w:pPr>
              <w:jc w:val="center"/>
              <w:spacing w:after="0" w:line="205" w:lineRule="exact"/>
              <w:rPr>
                <w:rFonts w:ascii="Arial" w:cs="Arial" w:eastAsia="Arial" w:hAnsi="Arial"/>
                <w:sz w:val="18"/>
                <w:szCs w:val="18"/>
                <w:color w:val="0000FF"/>
                <w:w w:val="99"/>
              </w:rPr>
            </w:pPr>
            <w:hyperlink w:anchor="page23">
              <w:r>
                <w:rPr>
                  <w:rFonts w:ascii="Arial" w:cs="Arial" w:eastAsia="Arial" w:hAnsi="Arial"/>
                  <w:sz w:val="18"/>
                  <w:szCs w:val="18"/>
                  <w:color w:val="0000FF"/>
                  <w:w w:val="99"/>
                </w:rPr>
                <w:t>21</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9240" w:type="dxa"/>
            <w:vAlign w:val="bottom"/>
            <w:gridSpan w:val="16"/>
          </w:tcPr>
          <w:p>
            <w:pPr>
              <w:spacing w:after="0" w:line="205" w:lineRule="exact"/>
              <w:rPr>
                <w:rFonts w:ascii="Arial" w:cs="Arial" w:eastAsia="Arial" w:hAnsi="Arial"/>
                <w:sz w:val="18"/>
                <w:szCs w:val="18"/>
                <w:color w:val="0000FF"/>
              </w:rPr>
            </w:pPr>
            <w:hyperlink w:anchor="page25">
              <w:r>
                <w:rPr>
                  <w:rFonts w:ascii="Arial" w:cs="Arial" w:eastAsia="Arial" w:hAnsi="Arial"/>
                  <w:sz w:val="18"/>
                  <w:szCs w:val="18"/>
                  <w:color w:val="0000FF"/>
                </w:rPr>
                <w:t>AUDIT COMMITTEE REPORT</w:t>
              </w:r>
            </w:hyperlink>
          </w:p>
        </w:tc>
        <w:tc>
          <w:tcPr>
            <w:tcW w:w="1280" w:type="dxa"/>
            <w:vAlign w:val="bottom"/>
            <w:gridSpan w:val="4"/>
          </w:tcPr>
          <w:p>
            <w:pPr>
              <w:jc w:val="center"/>
              <w:ind w:left="912"/>
              <w:spacing w:after="0" w:line="205" w:lineRule="exact"/>
              <w:rPr>
                <w:rFonts w:ascii="Arial" w:cs="Arial" w:eastAsia="Arial" w:hAnsi="Arial"/>
                <w:sz w:val="18"/>
                <w:szCs w:val="18"/>
                <w:color w:val="0000FF"/>
                <w:w w:val="99"/>
              </w:rPr>
            </w:pPr>
            <w:hyperlink w:anchor="page25">
              <w:r>
                <w:rPr>
                  <w:rFonts w:ascii="Arial" w:cs="Arial" w:eastAsia="Arial" w:hAnsi="Arial"/>
                  <w:sz w:val="18"/>
                  <w:szCs w:val="18"/>
                  <w:color w:val="0000FF"/>
                  <w:w w:val="99"/>
                </w:rPr>
                <w:t>23</w:t>
              </w:r>
            </w:hyperlink>
          </w:p>
        </w:tc>
        <w:tc>
          <w:tcPr>
            <w:tcW w:w="60" w:type="dxa"/>
            <w:vAlign w:val="bottom"/>
          </w:tcPr>
          <w:p>
            <w:pPr>
              <w:spacing w:after="0"/>
              <w:rPr>
                <w:sz w:val="17"/>
                <w:szCs w:val="17"/>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8740" w:type="dxa"/>
            <w:vAlign w:val="bottom"/>
            <w:tcBorders>
              <w:bottom w:val="single" w:sz="8" w:color="0000FF"/>
            </w:tcBorders>
            <w:gridSpan w:val="15"/>
          </w:tcPr>
          <w:p>
            <w:pPr>
              <w:spacing w:after="0" w:line="205" w:lineRule="exact"/>
              <w:rPr>
                <w:rFonts w:ascii="Arial" w:cs="Arial" w:eastAsia="Arial" w:hAnsi="Arial"/>
                <w:sz w:val="18"/>
                <w:szCs w:val="18"/>
                <w:color w:val="0000FF"/>
                <w:w w:val="97"/>
              </w:rPr>
            </w:pPr>
            <w:hyperlink w:anchor="page26">
              <w:r>
                <w:rPr>
                  <w:rFonts w:ascii="Arial" w:cs="Arial" w:eastAsia="Arial" w:hAnsi="Arial"/>
                  <w:sz w:val="18"/>
                  <w:szCs w:val="18"/>
                  <w:color w:val="0000FF"/>
                  <w:w w:val="97"/>
                </w:rPr>
                <w:t>PROPOSAL 3: ADVISORY VOTE TO APPROVE COMPENSATION OF OUR NAMED EXECUTIVE OFFICERS</w:t>
              </w:r>
            </w:hyperlink>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Borders>
              <w:bottom w:val="single" w:sz="8" w:color="0000FF"/>
            </w:tcBorders>
            <w:gridSpan w:val="2"/>
          </w:tcPr>
          <w:p>
            <w:pPr>
              <w:jc w:val="center"/>
              <w:spacing w:after="0" w:line="205" w:lineRule="exact"/>
              <w:rPr>
                <w:rFonts w:ascii="Arial" w:cs="Arial" w:eastAsia="Arial" w:hAnsi="Arial"/>
                <w:sz w:val="18"/>
                <w:szCs w:val="18"/>
                <w:color w:val="0000FF"/>
                <w:w w:val="99"/>
              </w:rPr>
            </w:pPr>
            <w:hyperlink w:anchor="page26">
              <w:r>
                <w:rPr>
                  <w:rFonts w:ascii="Arial" w:cs="Arial" w:eastAsia="Arial" w:hAnsi="Arial"/>
                  <w:sz w:val="18"/>
                  <w:szCs w:val="18"/>
                  <w:color w:val="0000FF"/>
                  <w:w w:val="99"/>
                </w:rPr>
                <w:t>24</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3900" w:type="dxa"/>
            <w:vAlign w:val="bottom"/>
            <w:tcBorders>
              <w:bottom w:val="single" w:sz="8" w:color="0000FF"/>
            </w:tcBorders>
            <w:gridSpan w:val="11"/>
          </w:tcPr>
          <w:p>
            <w:pPr>
              <w:spacing w:after="0" w:line="205" w:lineRule="exact"/>
              <w:rPr>
                <w:rFonts w:ascii="Arial" w:cs="Arial" w:eastAsia="Arial" w:hAnsi="Arial"/>
                <w:sz w:val="18"/>
                <w:szCs w:val="18"/>
                <w:color w:val="0000FF"/>
                <w:w w:val="97"/>
              </w:rPr>
            </w:pPr>
            <w:hyperlink w:anchor="page27">
              <w:r>
                <w:rPr>
                  <w:rFonts w:ascii="Arial" w:cs="Arial" w:eastAsia="Arial" w:hAnsi="Arial"/>
                  <w:sz w:val="18"/>
                  <w:szCs w:val="18"/>
                  <w:color w:val="0000FF"/>
                  <w:w w:val="97"/>
                </w:rPr>
                <w:t>COMPENSATION DISCUSSION AND ANALYSIS</w:t>
              </w:r>
            </w:hyperlink>
          </w:p>
        </w:tc>
        <w:tc>
          <w:tcPr>
            <w:tcW w:w="534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Borders>
              <w:bottom w:val="single" w:sz="8" w:color="0000FF"/>
            </w:tcBorders>
            <w:gridSpan w:val="2"/>
          </w:tcPr>
          <w:p>
            <w:pPr>
              <w:jc w:val="center"/>
              <w:spacing w:after="0" w:line="205" w:lineRule="exact"/>
              <w:rPr>
                <w:rFonts w:ascii="Arial" w:cs="Arial" w:eastAsia="Arial" w:hAnsi="Arial"/>
                <w:sz w:val="18"/>
                <w:szCs w:val="18"/>
                <w:color w:val="0000FF"/>
                <w:w w:val="99"/>
              </w:rPr>
            </w:pPr>
            <w:hyperlink w:anchor="page27">
              <w:r>
                <w:rPr>
                  <w:rFonts w:ascii="Arial" w:cs="Arial" w:eastAsia="Arial" w:hAnsi="Arial"/>
                  <w:sz w:val="18"/>
                  <w:szCs w:val="18"/>
                  <w:color w:val="0000FF"/>
                  <w:w w:val="99"/>
                </w:rPr>
                <w:t>25</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3320" w:type="dxa"/>
            <w:vAlign w:val="bottom"/>
            <w:tcBorders>
              <w:bottom w:val="single" w:sz="8" w:color="0000FF"/>
            </w:tcBorders>
            <w:gridSpan w:val="8"/>
          </w:tcPr>
          <w:p>
            <w:pPr>
              <w:spacing w:after="0" w:line="205" w:lineRule="exact"/>
              <w:rPr>
                <w:rFonts w:ascii="Arial" w:cs="Arial" w:eastAsia="Arial" w:hAnsi="Arial"/>
                <w:sz w:val="18"/>
                <w:szCs w:val="18"/>
                <w:color w:val="0000FF"/>
                <w:w w:val="97"/>
              </w:rPr>
            </w:pPr>
            <w:hyperlink w:anchor="page46">
              <w:r>
                <w:rPr>
                  <w:rFonts w:ascii="Arial" w:cs="Arial" w:eastAsia="Arial" w:hAnsi="Arial"/>
                  <w:sz w:val="18"/>
                  <w:szCs w:val="18"/>
                  <w:color w:val="0000FF"/>
                  <w:w w:val="97"/>
                </w:rPr>
                <w:t>COMPENSATION COMMITTEE REPORT</w:t>
              </w:r>
            </w:hyperlink>
          </w:p>
        </w:tc>
        <w:tc>
          <w:tcPr>
            <w:tcW w:w="592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Borders>
              <w:bottom w:val="single" w:sz="8" w:color="0000FF"/>
            </w:tcBorders>
            <w:gridSpan w:val="2"/>
          </w:tcPr>
          <w:p>
            <w:pPr>
              <w:jc w:val="center"/>
              <w:spacing w:after="0" w:line="205" w:lineRule="exact"/>
              <w:rPr>
                <w:rFonts w:ascii="Arial" w:cs="Arial" w:eastAsia="Arial" w:hAnsi="Arial"/>
                <w:sz w:val="18"/>
                <w:szCs w:val="18"/>
                <w:color w:val="0000FF"/>
                <w:w w:val="99"/>
              </w:rPr>
            </w:pPr>
            <w:hyperlink w:anchor="page46">
              <w:r>
                <w:rPr>
                  <w:rFonts w:ascii="Arial" w:cs="Arial" w:eastAsia="Arial" w:hAnsi="Arial"/>
                  <w:sz w:val="18"/>
                  <w:szCs w:val="18"/>
                  <w:color w:val="0000FF"/>
                  <w:w w:val="99"/>
                </w:rPr>
                <w:t>44</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2480" w:type="dxa"/>
            <w:vAlign w:val="bottom"/>
            <w:tcBorders>
              <w:bottom w:val="single" w:sz="8" w:color="0000FF"/>
            </w:tcBorders>
            <w:gridSpan w:val="5"/>
          </w:tcPr>
          <w:p>
            <w:pPr>
              <w:spacing w:after="0" w:line="205" w:lineRule="exact"/>
              <w:rPr>
                <w:rFonts w:ascii="Arial" w:cs="Arial" w:eastAsia="Arial" w:hAnsi="Arial"/>
                <w:sz w:val="18"/>
                <w:szCs w:val="18"/>
                <w:color w:val="0000FF"/>
                <w:w w:val="97"/>
              </w:rPr>
            </w:pPr>
            <w:hyperlink w:anchor="page47">
              <w:r>
                <w:rPr>
                  <w:rFonts w:ascii="Arial" w:cs="Arial" w:eastAsia="Arial" w:hAnsi="Arial"/>
                  <w:sz w:val="18"/>
                  <w:szCs w:val="18"/>
                  <w:color w:val="0000FF"/>
                  <w:w w:val="97"/>
                </w:rPr>
                <w:t>EXECUTIVE COMPENSATION</w:t>
              </w:r>
            </w:hyperlink>
          </w:p>
        </w:tc>
        <w:tc>
          <w:tcPr>
            <w:tcW w:w="6760" w:type="dxa"/>
            <w:vAlign w:val="bottom"/>
            <w:gridSpan w:val="11"/>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Borders>
              <w:bottom w:val="single" w:sz="8" w:color="0000FF"/>
            </w:tcBorders>
            <w:gridSpan w:val="2"/>
          </w:tcPr>
          <w:p>
            <w:pPr>
              <w:jc w:val="center"/>
              <w:spacing w:after="0" w:line="205" w:lineRule="exact"/>
              <w:rPr>
                <w:rFonts w:ascii="Arial" w:cs="Arial" w:eastAsia="Arial" w:hAnsi="Arial"/>
                <w:sz w:val="18"/>
                <w:szCs w:val="18"/>
                <w:color w:val="0000FF"/>
                <w:w w:val="99"/>
              </w:rPr>
            </w:pPr>
            <w:hyperlink w:anchor="page47">
              <w:r>
                <w:rPr>
                  <w:rFonts w:ascii="Arial" w:cs="Arial" w:eastAsia="Arial" w:hAnsi="Arial"/>
                  <w:sz w:val="18"/>
                  <w:szCs w:val="18"/>
                  <w:color w:val="0000FF"/>
                  <w:w w:val="99"/>
                </w:rPr>
                <w:t>45</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340" w:type="dxa"/>
            <w:vAlign w:val="bottom"/>
            <w:tcBorders>
              <w:bottom w:val="single" w:sz="8" w:color="0000FF"/>
            </w:tcBorders>
          </w:tcPr>
          <w:p>
            <w:pPr>
              <w:spacing w:after="0" w:line="205" w:lineRule="exact"/>
              <w:rPr>
                <w:rFonts w:ascii="Arial" w:cs="Arial" w:eastAsia="Arial" w:hAnsi="Arial"/>
                <w:sz w:val="18"/>
                <w:szCs w:val="18"/>
                <w:color w:val="0000FF"/>
                <w:w w:val="94"/>
              </w:rPr>
            </w:pPr>
            <w:hyperlink w:anchor="page55">
              <w:r>
                <w:rPr>
                  <w:rFonts w:ascii="Arial" w:cs="Arial" w:eastAsia="Arial" w:hAnsi="Arial"/>
                  <w:sz w:val="18"/>
                  <w:szCs w:val="18"/>
                  <w:color w:val="0000FF"/>
                  <w:w w:val="94"/>
                </w:rPr>
                <w:t>CEO PAY RATIO</w:t>
              </w:r>
            </w:hyperlink>
          </w:p>
        </w:tc>
        <w:tc>
          <w:tcPr>
            <w:tcW w:w="7900" w:type="dxa"/>
            <w:vAlign w:val="bottom"/>
            <w:gridSpan w:val="15"/>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Borders>
              <w:bottom w:val="single" w:sz="8" w:color="0000FF"/>
            </w:tcBorders>
            <w:gridSpan w:val="2"/>
          </w:tcPr>
          <w:p>
            <w:pPr>
              <w:jc w:val="center"/>
              <w:spacing w:after="0" w:line="205" w:lineRule="exact"/>
              <w:rPr>
                <w:rFonts w:ascii="Arial" w:cs="Arial" w:eastAsia="Arial" w:hAnsi="Arial"/>
                <w:sz w:val="18"/>
                <w:szCs w:val="18"/>
                <w:color w:val="0000FF"/>
                <w:w w:val="99"/>
              </w:rPr>
            </w:pPr>
            <w:hyperlink w:anchor="page55">
              <w:r>
                <w:rPr>
                  <w:rFonts w:ascii="Arial" w:cs="Arial" w:eastAsia="Arial" w:hAnsi="Arial"/>
                  <w:sz w:val="18"/>
                  <w:szCs w:val="18"/>
                  <w:color w:val="0000FF"/>
                  <w:w w:val="99"/>
                </w:rPr>
                <w:t>53</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3920" w:type="dxa"/>
            <w:vAlign w:val="bottom"/>
            <w:tcBorders>
              <w:bottom w:val="single" w:sz="8" w:color="0000FF"/>
            </w:tcBorders>
            <w:gridSpan w:val="12"/>
          </w:tcPr>
          <w:p>
            <w:pPr>
              <w:spacing w:after="0" w:line="205" w:lineRule="exact"/>
              <w:rPr>
                <w:rFonts w:ascii="Arial" w:cs="Arial" w:eastAsia="Arial" w:hAnsi="Arial"/>
                <w:sz w:val="18"/>
                <w:szCs w:val="18"/>
                <w:color w:val="0000FF"/>
                <w:w w:val="97"/>
              </w:rPr>
            </w:pPr>
            <w:hyperlink w:anchor="page56">
              <w:r>
                <w:rPr>
                  <w:rFonts w:ascii="Arial" w:cs="Arial" w:eastAsia="Arial" w:hAnsi="Arial"/>
                  <w:sz w:val="18"/>
                  <w:szCs w:val="18"/>
                  <w:color w:val="0000FF"/>
                  <w:w w:val="97"/>
                </w:rPr>
                <w:t>EQUITY COMPENSATION PLAN INFORMATION</w:t>
              </w:r>
            </w:hyperlink>
          </w:p>
        </w:tc>
        <w:tc>
          <w:tcPr>
            <w:tcW w:w="532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Borders>
              <w:bottom w:val="single" w:sz="8" w:color="0000FF"/>
            </w:tcBorders>
            <w:gridSpan w:val="2"/>
          </w:tcPr>
          <w:p>
            <w:pPr>
              <w:jc w:val="center"/>
              <w:spacing w:after="0" w:line="205" w:lineRule="exact"/>
              <w:rPr>
                <w:rFonts w:ascii="Arial" w:cs="Arial" w:eastAsia="Arial" w:hAnsi="Arial"/>
                <w:sz w:val="18"/>
                <w:szCs w:val="18"/>
                <w:color w:val="0000FF"/>
                <w:w w:val="99"/>
              </w:rPr>
            </w:pPr>
            <w:hyperlink w:anchor="page56">
              <w:r>
                <w:rPr>
                  <w:rFonts w:ascii="Arial" w:cs="Arial" w:eastAsia="Arial" w:hAnsi="Arial"/>
                  <w:sz w:val="18"/>
                  <w:szCs w:val="18"/>
                  <w:color w:val="0000FF"/>
                  <w:w w:val="99"/>
                </w:rPr>
                <w:t>54</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2660" w:type="dxa"/>
            <w:vAlign w:val="bottom"/>
            <w:tcBorders>
              <w:bottom w:val="single" w:sz="8" w:color="0000FF"/>
            </w:tcBorders>
            <w:gridSpan w:val="6"/>
          </w:tcPr>
          <w:p>
            <w:pPr>
              <w:spacing w:after="0" w:line="205" w:lineRule="exact"/>
              <w:rPr>
                <w:rFonts w:ascii="Arial" w:cs="Arial" w:eastAsia="Arial" w:hAnsi="Arial"/>
                <w:sz w:val="18"/>
                <w:szCs w:val="18"/>
                <w:color w:val="0000FF"/>
                <w:w w:val="97"/>
              </w:rPr>
            </w:pPr>
            <w:hyperlink w:anchor="page57">
              <w:r>
                <w:rPr>
                  <w:rFonts w:ascii="Arial" w:cs="Arial" w:eastAsia="Arial" w:hAnsi="Arial"/>
                  <w:sz w:val="18"/>
                  <w:szCs w:val="18"/>
                  <w:color w:val="0000FF"/>
                  <w:w w:val="97"/>
                </w:rPr>
                <w:t>STOCKHOLDER INFORMATION</w:t>
              </w:r>
            </w:hyperlink>
          </w:p>
        </w:tc>
        <w:tc>
          <w:tcPr>
            <w:tcW w:w="6580" w:type="dxa"/>
            <w:vAlign w:val="bottom"/>
            <w:gridSpan w:val="10"/>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Borders>
              <w:bottom w:val="single" w:sz="8" w:color="0000FF"/>
            </w:tcBorders>
            <w:gridSpan w:val="2"/>
          </w:tcPr>
          <w:p>
            <w:pPr>
              <w:jc w:val="center"/>
              <w:spacing w:after="0" w:line="205" w:lineRule="exact"/>
              <w:rPr>
                <w:rFonts w:ascii="Arial" w:cs="Arial" w:eastAsia="Arial" w:hAnsi="Arial"/>
                <w:sz w:val="18"/>
                <w:szCs w:val="18"/>
                <w:color w:val="0000FF"/>
                <w:w w:val="99"/>
              </w:rPr>
            </w:pPr>
            <w:hyperlink w:anchor="page57">
              <w:r>
                <w:rPr>
                  <w:rFonts w:ascii="Arial" w:cs="Arial" w:eastAsia="Arial" w:hAnsi="Arial"/>
                  <w:sz w:val="18"/>
                  <w:szCs w:val="18"/>
                  <w:color w:val="0000FF"/>
                  <w:w w:val="99"/>
                </w:rPr>
                <w:t>55</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5540" w:type="dxa"/>
            <w:vAlign w:val="bottom"/>
            <w:tcBorders>
              <w:bottom w:val="single" w:sz="8" w:color="0000FF"/>
            </w:tcBorders>
            <w:gridSpan w:val="14"/>
          </w:tcPr>
          <w:p>
            <w:pPr>
              <w:spacing w:after="0" w:line="205" w:lineRule="exact"/>
              <w:rPr>
                <w:rFonts w:ascii="Arial" w:cs="Arial" w:eastAsia="Arial" w:hAnsi="Arial"/>
                <w:sz w:val="18"/>
                <w:szCs w:val="18"/>
                <w:color w:val="0000FF"/>
                <w:w w:val="96"/>
              </w:rPr>
            </w:pPr>
            <w:hyperlink w:anchor="page59">
              <w:r>
                <w:rPr>
                  <w:rFonts w:ascii="Arial" w:cs="Arial" w:eastAsia="Arial" w:hAnsi="Arial"/>
                  <w:sz w:val="18"/>
                  <w:szCs w:val="18"/>
                  <w:color w:val="0000FF"/>
                  <w:w w:val="96"/>
                </w:rPr>
                <w:t>CERTAIN RELATIONSHIPS AND RELATED PARTY TRANSACTIONS</w:t>
              </w:r>
            </w:hyperlink>
          </w:p>
        </w:tc>
        <w:tc>
          <w:tcPr>
            <w:tcW w:w="370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Borders>
              <w:bottom w:val="single" w:sz="8" w:color="0000FF"/>
            </w:tcBorders>
            <w:gridSpan w:val="2"/>
          </w:tcPr>
          <w:p>
            <w:pPr>
              <w:jc w:val="center"/>
              <w:spacing w:after="0" w:line="205" w:lineRule="exact"/>
              <w:rPr>
                <w:rFonts w:ascii="Arial" w:cs="Arial" w:eastAsia="Arial" w:hAnsi="Arial"/>
                <w:sz w:val="18"/>
                <w:szCs w:val="18"/>
                <w:color w:val="0000FF"/>
                <w:w w:val="99"/>
              </w:rPr>
            </w:pPr>
            <w:hyperlink w:anchor="page59">
              <w:r>
                <w:rPr>
                  <w:rFonts w:ascii="Arial" w:cs="Arial" w:eastAsia="Arial" w:hAnsi="Arial"/>
                  <w:sz w:val="18"/>
                  <w:szCs w:val="18"/>
                  <w:color w:val="0000FF"/>
                  <w:w w:val="99"/>
                </w:rPr>
                <w:t>57</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9240" w:type="dxa"/>
            <w:vAlign w:val="bottom"/>
            <w:gridSpan w:val="16"/>
          </w:tcPr>
          <w:p>
            <w:pPr>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ADDITIONAL MEETING INFORMATION</w:t>
              </w:r>
            </w:hyperlink>
          </w:p>
        </w:tc>
        <w:tc>
          <w:tcPr>
            <w:tcW w:w="1280" w:type="dxa"/>
            <w:vAlign w:val="bottom"/>
            <w:gridSpan w:val="4"/>
          </w:tcPr>
          <w:p>
            <w:pPr>
              <w:jc w:val="center"/>
              <w:ind w:left="912"/>
              <w:spacing w:after="0" w:line="205" w:lineRule="exact"/>
              <w:rPr>
                <w:rFonts w:ascii="Arial" w:cs="Arial" w:eastAsia="Arial" w:hAnsi="Arial"/>
                <w:sz w:val="18"/>
                <w:szCs w:val="18"/>
                <w:color w:val="0000FF"/>
                <w:w w:val="99"/>
              </w:rPr>
            </w:pPr>
            <w:hyperlink w:anchor="page60">
              <w:r>
                <w:rPr>
                  <w:rFonts w:ascii="Arial" w:cs="Arial" w:eastAsia="Arial" w:hAnsi="Arial"/>
                  <w:sz w:val="18"/>
                  <w:szCs w:val="18"/>
                  <w:color w:val="0000FF"/>
                  <w:w w:val="99"/>
                </w:rPr>
                <w:t>58</w:t>
              </w:r>
            </w:hyperlink>
          </w:p>
        </w:tc>
        <w:tc>
          <w:tcPr>
            <w:tcW w:w="60" w:type="dxa"/>
            <w:vAlign w:val="bottom"/>
          </w:tcPr>
          <w:p>
            <w:pPr>
              <w:spacing w:after="0"/>
              <w:rPr>
                <w:sz w:val="17"/>
                <w:szCs w:val="17"/>
                <w:color w:val="auto"/>
              </w:rPr>
            </w:pPr>
          </w:p>
        </w:tc>
      </w:tr>
      <w:tr>
        <w:trPr>
          <w:trHeight w:val="205"/>
        </w:trPr>
        <w:tc>
          <w:tcPr>
            <w:tcW w:w="190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color w:val="0000FF"/>
                <w:w w:val="96"/>
              </w:rPr>
            </w:pPr>
            <w:hyperlink w:anchor="page63">
              <w:r>
                <w:rPr>
                  <w:rFonts w:ascii="Arial" w:cs="Arial" w:eastAsia="Arial" w:hAnsi="Arial"/>
                  <w:sz w:val="18"/>
                  <w:szCs w:val="18"/>
                  <w:color w:val="0000FF"/>
                  <w:w w:val="96"/>
                </w:rPr>
                <w:t>OTHER INFORMATION</w:t>
              </w:r>
            </w:hyperlink>
          </w:p>
        </w:tc>
        <w:tc>
          <w:tcPr>
            <w:tcW w:w="1280" w:type="dxa"/>
            <w:vAlign w:val="bottom"/>
            <w:tcBorders>
              <w:top w:val="single" w:sz="8" w:color="0000FF"/>
            </w:tcBorders>
            <w:gridSpan w:val="5"/>
          </w:tcPr>
          <w:p>
            <w:pPr>
              <w:spacing w:after="0"/>
              <w:rPr>
                <w:sz w:val="17"/>
                <w:szCs w:val="17"/>
                <w:color w:val="auto"/>
              </w:rPr>
            </w:pPr>
          </w:p>
        </w:tc>
        <w:tc>
          <w:tcPr>
            <w:tcW w:w="606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Borders>
              <w:top w:val="single" w:sz="8" w:color="0000FF"/>
              <w:bottom w:val="single" w:sz="8" w:color="0000FF"/>
            </w:tcBorders>
            <w:gridSpan w:val="2"/>
          </w:tcPr>
          <w:p>
            <w:pPr>
              <w:jc w:val="center"/>
              <w:spacing w:after="0" w:line="205" w:lineRule="exact"/>
              <w:rPr>
                <w:rFonts w:ascii="Arial" w:cs="Arial" w:eastAsia="Arial" w:hAnsi="Arial"/>
                <w:sz w:val="18"/>
                <w:szCs w:val="18"/>
                <w:color w:val="0000FF"/>
                <w:w w:val="99"/>
              </w:rPr>
            </w:pPr>
            <w:hyperlink w:anchor="page63">
              <w:r>
                <w:rPr>
                  <w:rFonts w:ascii="Arial" w:cs="Arial" w:eastAsia="Arial" w:hAnsi="Arial"/>
                  <w:sz w:val="18"/>
                  <w:szCs w:val="18"/>
                  <w:color w:val="0000FF"/>
                  <w:w w:val="99"/>
                </w:rPr>
                <w:t>61</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7"/>
        </w:trPr>
        <w:tc>
          <w:tcPr>
            <w:tcW w:w="5060" w:type="dxa"/>
            <w:vAlign w:val="bottom"/>
            <w:gridSpan w:val="13"/>
          </w:tcPr>
          <w:p>
            <w:pPr>
              <w:spacing w:after="0"/>
              <w:rPr>
                <w:rFonts w:ascii="Arial" w:cs="Arial" w:eastAsia="Arial" w:hAnsi="Arial"/>
                <w:sz w:val="18"/>
                <w:szCs w:val="18"/>
                <w:color w:val="0000FF"/>
                <w:w w:val="97"/>
              </w:rPr>
            </w:pPr>
            <w:hyperlink w:anchor="page65">
              <w:r>
                <w:rPr>
                  <w:rFonts w:ascii="Arial" w:cs="Arial" w:eastAsia="Arial" w:hAnsi="Arial"/>
                  <w:sz w:val="18"/>
                  <w:szCs w:val="18"/>
                  <w:color w:val="0000FF"/>
                  <w:w w:val="97"/>
                </w:rPr>
                <w:t>APPENDIX A – Reconciliation of Non-GAAP Financial Measures</w:t>
              </w:r>
            </w:hyperlink>
          </w:p>
        </w:tc>
        <w:tc>
          <w:tcPr>
            <w:tcW w:w="4180" w:type="dxa"/>
            <w:vAlign w:val="bottom"/>
            <w:gridSpan w:val="3"/>
          </w:tcPr>
          <w:p>
            <w:pPr>
              <w:spacing w:after="0"/>
              <w:rPr>
                <w:sz w:val="24"/>
                <w:szCs w:val="24"/>
                <w:color w:val="auto"/>
              </w:rPr>
            </w:pPr>
          </w:p>
        </w:tc>
        <w:tc>
          <w:tcPr>
            <w:tcW w:w="1340" w:type="dxa"/>
            <w:vAlign w:val="bottom"/>
            <w:gridSpan w:val="5"/>
          </w:tcPr>
          <w:p>
            <w:pPr>
              <w:jc w:val="center"/>
              <w:ind w:left="852"/>
              <w:spacing w:after="0"/>
              <w:rPr>
                <w:rFonts w:ascii="Arial" w:cs="Arial" w:eastAsia="Arial" w:hAnsi="Arial"/>
                <w:sz w:val="18"/>
                <w:szCs w:val="18"/>
                <w:color w:val="242424"/>
                <w:w w:val="99"/>
              </w:rPr>
            </w:pPr>
            <w:r>
              <w:rPr>
                <w:rFonts w:ascii="Arial" w:cs="Arial" w:eastAsia="Arial" w:hAnsi="Arial"/>
                <w:sz w:val="18"/>
                <w:szCs w:val="18"/>
                <w:color w:val="242424"/>
                <w:w w:val="99"/>
              </w:rPr>
              <w:t>A-</w:t>
            </w:r>
            <w:hyperlink w:anchor="page65">
              <w:r>
                <w:rPr>
                  <w:rFonts w:ascii="Arial" w:cs="Arial" w:eastAsia="Arial" w:hAnsi="Arial"/>
                  <w:sz w:val="18"/>
                  <w:szCs w:val="18"/>
                  <w:color w:val="0000FF"/>
                  <w:w w:val="99"/>
                </w:rPr>
                <w:t>1</w:t>
              </w:r>
            </w:hyperlink>
          </w:p>
        </w:tc>
      </w:tr>
      <w:tr>
        <w:trPr>
          <w:trHeight w:val="20"/>
        </w:trPr>
        <w:tc>
          <w:tcPr>
            <w:tcW w:w="3820" w:type="dxa"/>
            <w:vAlign w:val="bottom"/>
            <w:gridSpan w:val="10"/>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0" w:type="dxa"/>
            <w:vAlign w:val="bottom"/>
            <w:tcBorders>
              <w:right w:val="single" w:sz="8" w:color="0000FF"/>
            </w:tcBorders>
            <w:gridSpan w:val="3"/>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3820" w:type="dxa"/>
            <w:vAlign w:val="bottom"/>
            <w:gridSpan w:val="10"/>
          </w:tcPr>
          <w:p>
            <w:pPr>
              <w:spacing w:after="0" w:line="205" w:lineRule="exact"/>
              <w:rPr>
                <w:rFonts w:ascii="Arial" w:cs="Arial" w:eastAsia="Arial" w:hAnsi="Arial"/>
                <w:sz w:val="18"/>
                <w:szCs w:val="18"/>
                <w:color w:val="0000FF"/>
                <w:w w:val="97"/>
              </w:rPr>
            </w:pPr>
            <w:hyperlink w:anchor="page66">
              <w:r>
                <w:rPr>
                  <w:rFonts w:ascii="Arial" w:cs="Arial" w:eastAsia="Arial" w:hAnsi="Arial"/>
                  <w:sz w:val="18"/>
                  <w:szCs w:val="18"/>
                  <w:color w:val="0000FF"/>
                  <w:w w:val="97"/>
                </w:rPr>
                <w:t>APPENDIX B – Directions to the Annual Meeting</w:t>
              </w:r>
            </w:hyperlink>
          </w:p>
        </w:tc>
        <w:tc>
          <w:tcPr>
            <w:tcW w:w="1240" w:type="dxa"/>
            <w:vAlign w:val="bottom"/>
            <w:gridSpan w:val="3"/>
          </w:tcPr>
          <w:p>
            <w:pPr>
              <w:spacing w:after="0"/>
              <w:rPr>
                <w:sz w:val="17"/>
                <w:szCs w:val="17"/>
                <w:color w:val="auto"/>
              </w:rPr>
            </w:pPr>
          </w:p>
        </w:tc>
        <w:tc>
          <w:tcPr>
            <w:tcW w:w="4180" w:type="dxa"/>
            <w:vAlign w:val="bottom"/>
            <w:gridSpan w:val="3"/>
          </w:tcPr>
          <w:p>
            <w:pPr>
              <w:spacing w:after="0"/>
              <w:rPr>
                <w:sz w:val="17"/>
                <w:szCs w:val="17"/>
                <w:color w:val="auto"/>
              </w:rPr>
            </w:pPr>
          </w:p>
        </w:tc>
        <w:tc>
          <w:tcPr>
            <w:tcW w:w="1340" w:type="dxa"/>
            <w:vAlign w:val="bottom"/>
            <w:gridSpan w:val="5"/>
          </w:tcPr>
          <w:p>
            <w:pPr>
              <w:jc w:val="center"/>
              <w:ind w:left="852"/>
              <w:spacing w:after="0" w:line="205" w:lineRule="exact"/>
              <w:rPr>
                <w:rFonts w:ascii="Arial" w:cs="Arial" w:eastAsia="Arial" w:hAnsi="Arial"/>
                <w:sz w:val="18"/>
                <w:szCs w:val="18"/>
                <w:color w:val="242424"/>
                <w:w w:val="99"/>
              </w:rPr>
            </w:pPr>
            <w:r>
              <w:rPr>
                <w:rFonts w:ascii="Arial" w:cs="Arial" w:eastAsia="Arial" w:hAnsi="Arial"/>
                <w:sz w:val="18"/>
                <w:szCs w:val="18"/>
                <w:color w:val="242424"/>
                <w:w w:val="99"/>
              </w:rPr>
              <w:t>B-</w:t>
            </w:r>
            <w:hyperlink w:anchor="page66">
              <w:r>
                <w:rPr>
                  <w:rFonts w:ascii="Arial" w:cs="Arial" w:eastAsia="Arial" w:hAnsi="Arial"/>
                  <w:sz w:val="18"/>
                  <w:szCs w:val="18"/>
                  <w:color w:val="0000FF"/>
                  <w:w w:val="99"/>
                </w:rPr>
                <w:t>1</w:t>
              </w:r>
            </w:hyperlink>
          </w:p>
        </w:tc>
      </w:tr>
      <w:tr>
        <w:trPr>
          <w:trHeight w:val="20"/>
        </w:trPr>
        <w:tc>
          <w:tcPr>
            <w:tcW w:w="1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242424"/>
        </w:rPr>
        <w:t>This proxy statement contains forward-looking statements. We have based these forward-looking statements on our current expectations and projections about future events. Forward-looking statements contained in this proxy statement should be considered in light of the many uncertainties that affect our business and specifically those factors in our filings filed with the Securities and Exchange Commission, such as those discussed under the heading, “Risk Factors,” in our Annual Report on Form 10-K for our fiscal year ended October 31, 2021 and as may be updated in our subsequent filings.</w:t>
      </w:r>
    </w:p>
    <w:p>
      <w:pPr>
        <w:spacing w:after="0" w:line="200" w:lineRule="exact"/>
        <w:rPr>
          <w:sz w:val="20"/>
          <w:szCs w:val="20"/>
          <w:color w:val="auto"/>
        </w:rPr>
      </w:pPr>
    </w:p>
    <w:p>
      <w:pPr>
        <w:spacing w:after="0" w:line="245"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i</w:t>
      </w:r>
    </w:p>
    <w:p>
      <w:pPr>
        <w:sectPr>
          <w:pgSz w:w="11900" w:h="16838" w:orient="portrait"/>
          <w:cols w:equalWidth="0" w:num="1">
            <w:col w:w="11100"/>
          </w:cols>
          <w:pgMar w:left="320" w:top="1305" w:right="479" w:bottom="1440" w:gutter="0" w:footer="0" w:header="0"/>
        </w:sectPr>
      </w:pPr>
    </w:p>
    <w:bookmarkStart w:id="3" w:name="page4"/>
    <w:bookmarkEnd w:id="3"/>
    <w:p>
      <w:pPr>
        <w:ind w:left="9820"/>
        <w:spacing w:after="0"/>
        <w:rPr>
          <w:sz w:val="20"/>
          <w:szCs w:val="20"/>
          <w:color w:val="auto"/>
        </w:rPr>
      </w:pPr>
      <w:r>
        <w:rPr>
          <w:rFonts w:ascii="Arial" w:cs="Arial" w:eastAsia="Arial" w:hAnsi="Arial"/>
          <w:sz w:val="15"/>
          <w:szCs w:val="15"/>
          <w:color w:val="CC092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CC092F"/>
        </w:rPr>
        <w:t>PROXY STATEMENT SUMMARY</w:t>
      </w:r>
    </w:p>
    <w:p>
      <w:pPr>
        <w:spacing w:after="0" w:line="201"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242424"/>
        </w:rPr>
        <w:t>Your proxy is being solicited by the Board of Directors of Broadcom Inc. (the “Board”) in connection with the 2022 Annual Meeting of Stockholders (the “Annual Meeting”). We are making the Notice of Internet Availability of Proxy Materials (the “Internet Notice”), this proxy statement (the “Proxy Statement”) and the accompanying proxy card, and our Annual Report on Form 10-K (the “2021 Annual Report”) for our fiscal year ended October 31, 2021 (“Fiscal Year 2021”) available to common stockholders at the close of business on the Record Date on or about February 18, 2022. This summary highlights information contained elsewhere in this Proxy Statement. We encourage you to review the entire Proxy Statement before voting.</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242424"/>
        </w:rPr>
        <w:t>Unless the context otherwise requires, references in this Proxy Statement to “Broadcom,” “we,” “our,” “us” and similar terms are to Broadcom Inc.</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2022 Annual Meeting of Stockholders</w:t>
      </w:r>
    </w:p>
    <w:p>
      <w:pPr>
        <w:spacing w:after="0" w:line="215"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2690" w:type="dxa"/>
            <w:vAlign w:val="bottom"/>
            <w:shd w:val="clear" w:color="auto" w:fill="EAEAEA"/>
          </w:tcPr>
          <w:p>
            <w:pPr>
              <w:ind w:left="20"/>
              <w:spacing w:after="0"/>
              <w:rPr>
                <w:sz w:val="20"/>
                <w:szCs w:val="20"/>
                <w:color w:val="auto"/>
              </w:rPr>
            </w:pPr>
            <w:r>
              <w:rPr>
                <w:rFonts w:ascii="Arial" w:cs="Arial" w:eastAsia="Arial" w:hAnsi="Arial"/>
                <w:sz w:val="18"/>
                <w:szCs w:val="18"/>
                <w:b w:val="1"/>
                <w:bCs w:val="1"/>
                <w:color w:val="262626"/>
              </w:rPr>
              <w:t>Date</w:t>
            </w:r>
            <w:r>
              <w:rPr>
                <w:rFonts w:ascii="Arial" w:cs="Arial" w:eastAsia="Arial" w:hAnsi="Arial"/>
                <w:sz w:val="18"/>
                <w:szCs w:val="18"/>
                <w:color w:val="262626"/>
              </w:rPr>
              <w:t>:</w:t>
            </w:r>
          </w:p>
        </w:tc>
        <w:tc>
          <w:tcPr>
            <w:tcW w:w="8330" w:type="dxa"/>
            <w:vAlign w:val="bottom"/>
            <w:shd w:val="clear" w:color="auto" w:fill="EAEAEA"/>
          </w:tcPr>
          <w:p>
            <w:pPr>
              <w:ind w:left="170"/>
              <w:spacing w:after="0"/>
              <w:rPr>
                <w:sz w:val="20"/>
                <w:szCs w:val="20"/>
                <w:color w:val="auto"/>
              </w:rPr>
            </w:pPr>
            <w:r>
              <w:rPr>
                <w:rFonts w:ascii="Arial" w:cs="Arial" w:eastAsia="Arial" w:hAnsi="Arial"/>
                <w:sz w:val="18"/>
                <w:szCs w:val="18"/>
                <w:color w:val="262626"/>
              </w:rPr>
              <w:t>Monday, April 4, 2022</w:t>
            </w:r>
          </w:p>
        </w:tc>
      </w:tr>
      <w:tr>
        <w:trPr>
          <w:trHeight w:val="225"/>
        </w:trPr>
        <w:tc>
          <w:tcPr>
            <w:tcW w:w="2690" w:type="dxa"/>
            <w:vAlign w:val="bottom"/>
            <w:shd w:val="clear" w:color="auto" w:fill="EAEAEA"/>
          </w:tcPr>
          <w:p>
            <w:pPr>
              <w:ind w:left="20"/>
              <w:spacing w:after="0"/>
              <w:rPr>
                <w:sz w:val="20"/>
                <w:szCs w:val="20"/>
                <w:color w:val="auto"/>
              </w:rPr>
            </w:pPr>
            <w:r>
              <w:rPr>
                <w:rFonts w:ascii="Arial" w:cs="Arial" w:eastAsia="Arial" w:hAnsi="Arial"/>
                <w:sz w:val="18"/>
                <w:szCs w:val="18"/>
                <w:b w:val="1"/>
                <w:bCs w:val="1"/>
                <w:color w:val="262626"/>
              </w:rPr>
              <w:t>Time</w:t>
            </w:r>
            <w:r>
              <w:rPr>
                <w:rFonts w:ascii="Arial" w:cs="Arial" w:eastAsia="Arial" w:hAnsi="Arial"/>
                <w:sz w:val="18"/>
                <w:szCs w:val="18"/>
                <w:color w:val="262626"/>
              </w:rPr>
              <w:t>:</w:t>
            </w:r>
          </w:p>
        </w:tc>
        <w:tc>
          <w:tcPr>
            <w:tcW w:w="8330" w:type="dxa"/>
            <w:vAlign w:val="bottom"/>
            <w:shd w:val="clear" w:color="auto" w:fill="EAEAEA"/>
          </w:tcPr>
          <w:p>
            <w:pPr>
              <w:ind w:left="170"/>
              <w:spacing w:after="0"/>
              <w:rPr>
                <w:sz w:val="20"/>
                <w:szCs w:val="20"/>
                <w:color w:val="auto"/>
              </w:rPr>
            </w:pPr>
            <w:r>
              <w:rPr>
                <w:rFonts w:ascii="Arial" w:cs="Arial" w:eastAsia="Arial" w:hAnsi="Arial"/>
                <w:sz w:val="18"/>
                <w:szCs w:val="18"/>
                <w:color w:val="262626"/>
              </w:rPr>
              <w:t>11:00 a.m., Pacific Time</w:t>
            </w:r>
          </w:p>
        </w:tc>
      </w:tr>
      <w:tr>
        <w:trPr>
          <w:trHeight w:val="216"/>
        </w:trPr>
        <w:tc>
          <w:tcPr>
            <w:tcW w:w="2690" w:type="dxa"/>
            <w:vAlign w:val="bottom"/>
            <w:shd w:val="clear" w:color="auto" w:fill="EAEAEA"/>
          </w:tcPr>
          <w:p>
            <w:pPr>
              <w:ind w:left="20"/>
              <w:spacing w:after="0"/>
              <w:rPr>
                <w:sz w:val="20"/>
                <w:szCs w:val="20"/>
                <w:color w:val="auto"/>
              </w:rPr>
            </w:pPr>
            <w:r>
              <w:rPr>
                <w:rFonts w:ascii="Arial" w:cs="Arial" w:eastAsia="Arial" w:hAnsi="Arial"/>
                <w:sz w:val="18"/>
                <w:szCs w:val="18"/>
                <w:b w:val="1"/>
                <w:bCs w:val="1"/>
                <w:color w:val="262626"/>
              </w:rPr>
              <w:t>Place</w:t>
            </w:r>
            <w:r>
              <w:rPr>
                <w:rFonts w:ascii="Arial" w:cs="Arial" w:eastAsia="Arial" w:hAnsi="Arial"/>
                <w:sz w:val="18"/>
                <w:szCs w:val="18"/>
                <w:color w:val="262626"/>
              </w:rPr>
              <w:t>:</w:t>
            </w:r>
          </w:p>
        </w:tc>
        <w:tc>
          <w:tcPr>
            <w:tcW w:w="8330" w:type="dxa"/>
            <w:vAlign w:val="bottom"/>
            <w:shd w:val="clear" w:color="auto" w:fill="EAEAEA"/>
          </w:tcPr>
          <w:p>
            <w:pPr>
              <w:ind w:left="170"/>
              <w:spacing w:after="0"/>
              <w:rPr>
                <w:sz w:val="20"/>
                <w:szCs w:val="20"/>
                <w:color w:val="auto"/>
              </w:rPr>
            </w:pPr>
            <w:r>
              <w:rPr>
                <w:rFonts w:ascii="Arial" w:cs="Arial" w:eastAsia="Arial" w:hAnsi="Arial"/>
                <w:sz w:val="18"/>
                <w:szCs w:val="18"/>
                <w:color w:val="262626"/>
              </w:rPr>
              <w:t>Broadcom Inc., 1320 Ridder Park Drive, San Jose, CA 95131</w:t>
            </w:r>
          </w:p>
        </w:tc>
      </w:tr>
      <w:tr>
        <w:trPr>
          <w:trHeight w:val="235"/>
        </w:trPr>
        <w:tc>
          <w:tcPr>
            <w:tcW w:w="2690" w:type="dxa"/>
            <w:vAlign w:val="bottom"/>
            <w:shd w:val="clear" w:color="auto" w:fill="EAEAEA"/>
          </w:tcPr>
          <w:p>
            <w:pPr>
              <w:ind w:left="20"/>
              <w:spacing w:after="0"/>
              <w:rPr>
                <w:sz w:val="20"/>
                <w:szCs w:val="20"/>
                <w:color w:val="auto"/>
              </w:rPr>
            </w:pPr>
            <w:r>
              <w:rPr>
                <w:rFonts w:ascii="Arial" w:cs="Arial" w:eastAsia="Arial" w:hAnsi="Arial"/>
                <w:sz w:val="18"/>
                <w:szCs w:val="18"/>
                <w:b w:val="1"/>
                <w:bCs w:val="1"/>
                <w:color w:val="262626"/>
              </w:rPr>
              <w:t>Record Date</w:t>
            </w:r>
            <w:r>
              <w:rPr>
                <w:rFonts w:ascii="Arial" w:cs="Arial" w:eastAsia="Arial" w:hAnsi="Arial"/>
                <w:sz w:val="18"/>
                <w:szCs w:val="18"/>
                <w:color w:val="262626"/>
              </w:rPr>
              <w:t>:</w:t>
            </w:r>
          </w:p>
        </w:tc>
        <w:tc>
          <w:tcPr>
            <w:tcW w:w="8330" w:type="dxa"/>
            <w:vAlign w:val="bottom"/>
            <w:shd w:val="clear" w:color="auto" w:fill="EAEAEA"/>
          </w:tcPr>
          <w:p>
            <w:pPr>
              <w:ind w:left="170"/>
              <w:spacing w:after="0"/>
              <w:rPr>
                <w:sz w:val="20"/>
                <w:szCs w:val="20"/>
                <w:color w:val="auto"/>
              </w:rPr>
            </w:pPr>
            <w:r>
              <w:rPr>
                <w:rFonts w:ascii="Arial" w:cs="Arial" w:eastAsia="Arial" w:hAnsi="Arial"/>
                <w:sz w:val="18"/>
                <w:szCs w:val="18"/>
                <w:color w:val="262626"/>
              </w:rPr>
              <w:t>February 7, 2022</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How to Vote</w:t>
      </w:r>
    </w:p>
    <w:p>
      <w:pPr>
        <w:spacing w:after="0" w:line="188"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242424"/>
        </w:rPr>
        <w:t>Your vote is important. Holders of common stock at the close of business on February 7, 2022 (the “Record Date”) are entitled to vote at the Annual Meeting. Regardless of whether you plan to participate in the Annual Meeting, we hope you will vote as soon as possible using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7084060" cy="184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4060" cy="184785"/>
                    </a:xfrm>
                    <a:prstGeom prst="rect">
                      <a:avLst/>
                    </a:prstGeom>
                    <a:noFill/>
                  </pic:spPr>
                </pic:pic>
              </a:graphicData>
            </a:graphic>
          </wp:anchor>
        </w:drawing>
      </w:r>
    </w:p>
    <w:p>
      <w:pPr>
        <w:spacing w:after="0" w:line="164" w:lineRule="exact"/>
        <w:rPr>
          <w:sz w:val="20"/>
          <w:szCs w:val="20"/>
          <w:color w:val="auto"/>
        </w:rPr>
      </w:pPr>
    </w:p>
    <w:p>
      <w:pPr>
        <w:ind w:left="1520"/>
        <w:spacing w:after="0"/>
        <w:tabs>
          <w:tab w:leader="none" w:pos="5080" w:val="left"/>
          <w:tab w:leader="none" w:pos="9100" w:val="left"/>
        </w:tabs>
        <w:rPr>
          <w:sz w:val="20"/>
          <w:szCs w:val="20"/>
          <w:color w:val="auto"/>
        </w:rPr>
      </w:pPr>
      <w:r>
        <w:rPr>
          <w:rFonts w:ascii="Arial" w:cs="Arial" w:eastAsia="Arial" w:hAnsi="Arial"/>
          <w:sz w:val="18"/>
          <w:szCs w:val="18"/>
          <w:b w:val="1"/>
          <w:bCs w:val="1"/>
          <w:color w:val="FFFFFF"/>
        </w:rPr>
        <w:t>Internet</w:t>
      </w:r>
      <w:r>
        <w:rPr>
          <w:sz w:val="20"/>
          <w:szCs w:val="20"/>
          <w:color w:val="auto"/>
        </w:rPr>
        <w:tab/>
      </w:r>
      <w:r>
        <w:rPr>
          <w:rFonts w:ascii="Arial" w:cs="Arial" w:eastAsia="Arial" w:hAnsi="Arial"/>
          <w:sz w:val="18"/>
          <w:szCs w:val="18"/>
          <w:b w:val="1"/>
          <w:bCs w:val="1"/>
          <w:color w:val="FFFFFF"/>
        </w:rPr>
        <w:t>Telephone</w:t>
      </w:r>
      <w:r>
        <w:rPr>
          <w:sz w:val="20"/>
          <w:szCs w:val="20"/>
          <w:color w:val="auto"/>
        </w:rPr>
        <w:tab/>
      </w:r>
      <w:r>
        <w:rPr>
          <w:rFonts w:ascii="Arial" w:cs="Arial" w:eastAsia="Arial" w:hAnsi="Arial"/>
          <w:sz w:val="17"/>
          <w:szCs w:val="17"/>
          <w:b w:val="1"/>
          <w:bCs w:val="1"/>
          <w:color w:val="FFFFFF"/>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084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406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152400</wp:posOffset>
            </wp:positionV>
            <wp:extent cx="689610" cy="521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610" cy="521970"/>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135255</wp:posOffset>
            </wp:positionV>
            <wp:extent cx="302895" cy="555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2895" cy="55562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144145</wp:posOffset>
            </wp:positionV>
            <wp:extent cx="513080" cy="538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3080" cy="53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3940" w:type="dxa"/>
            <w:vAlign w:val="bottom"/>
          </w:tcPr>
          <w:p>
            <w:pPr>
              <w:ind w:left="540"/>
              <w:spacing w:after="0"/>
              <w:rPr>
                <w:sz w:val="20"/>
                <w:szCs w:val="20"/>
                <w:color w:val="auto"/>
              </w:rPr>
            </w:pPr>
            <w:r>
              <w:rPr>
                <w:rFonts w:ascii="Arial" w:cs="Arial" w:eastAsia="Arial" w:hAnsi="Arial"/>
                <w:sz w:val="18"/>
                <w:szCs w:val="18"/>
                <w:color w:val="2C2C2C"/>
              </w:rPr>
              <w:t>Vote your shares online at</w:t>
            </w:r>
          </w:p>
        </w:tc>
        <w:tc>
          <w:tcPr>
            <w:tcW w:w="3420" w:type="dxa"/>
            <w:vAlign w:val="bottom"/>
          </w:tcPr>
          <w:p>
            <w:pPr>
              <w:ind w:left="120"/>
              <w:spacing w:after="0"/>
              <w:rPr>
                <w:sz w:val="20"/>
                <w:szCs w:val="20"/>
                <w:color w:val="auto"/>
              </w:rPr>
            </w:pPr>
            <w:r>
              <w:rPr>
                <w:rFonts w:ascii="Arial" w:cs="Arial" w:eastAsia="Arial" w:hAnsi="Arial"/>
                <w:sz w:val="18"/>
                <w:szCs w:val="18"/>
                <w:color w:val="2C2C2C"/>
              </w:rPr>
              <w:t>Vote by calling (800) 690-6903</w:t>
            </w:r>
          </w:p>
        </w:tc>
        <w:tc>
          <w:tcPr>
            <w:tcW w:w="3480" w:type="dxa"/>
            <w:vAlign w:val="bottom"/>
            <w:gridSpan w:val="5"/>
          </w:tcPr>
          <w:p>
            <w:pPr>
              <w:jc w:val="center"/>
              <w:ind w:right="180"/>
              <w:spacing w:after="0"/>
              <w:rPr>
                <w:sz w:val="20"/>
                <w:szCs w:val="20"/>
                <w:color w:val="auto"/>
              </w:rPr>
            </w:pPr>
            <w:r>
              <w:rPr>
                <w:rFonts w:ascii="Arial" w:cs="Arial" w:eastAsia="Arial" w:hAnsi="Arial"/>
                <w:sz w:val="18"/>
                <w:szCs w:val="18"/>
                <w:color w:val="2C2C2C"/>
                <w:w w:val="97"/>
              </w:rPr>
              <w:t>Complete, sign and date your proxy</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3940" w:type="dxa"/>
            <w:vAlign w:val="bottom"/>
          </w:tcPr>
          <w:p>
            <w:pPr>
              <w:ind w:left="760"/>
              <w:spacing w:after="0" w:line="172" w:lineRule="exact"/>
              <w:rPr>
                <w:sz w:val="20"/>
                <w:szCs w:val="20"/>
                <w:color w:val="auto"/>
              </w:rPr>
            </w:pPr>
            <w:r>
              <w:rPr>
                <w:rFonts w:ascii="Arial" w:cs="Arial" w:eastAsia="Arial" w:hAnsi="Arial"/>
                <w:sz w:val="18"/>
                <w:szCs w:val="18"/>
                <w:color w:val="2C2C2C"/>
              </w:rPr>
              <w:t>www.proxyvote.com</w:t>
            </w:r>
          </w:p>
        </w:tc>
        <w:tc>
          <w:tcPr>
            <w:tcW w:w="3420" w:type="dxa"/>
            <w:vAlign w:val="bottom"/>
          </w:tcPr>
          <w:p>
            <w:pPr>
              <w:spacing w:after="0"/>
              <w:rPr>
                <w:sz w:val="14"/>
                <w:szCs w:val="14"/>
                <w:color w:val="auto"/>
              </w:rPr>
            </w:pPr>
          </w:p>
        </w:tc>
        <w:tc>
          <w:tcPr>
            <w:tcW w:w="3480" w:type="dxa"/>
            <w:vAlign w:val="bottom"/>
            <w:gridSpan w:val="5"/>
          </w:tcPr>
          <w:p>
            <w:pPr>
              <w:jc w:val="center"/>
              <w:ind w:right="180"/>
              <w:spacing w:after="0" w:line="172" w:lineRule="exact"/>
              <w:rPr>
                <w:sz w:val="20"/>
                <w:szCs w:val="20"/>
                <w:color w:val="auto"/>
              </w:rPr>
            </w:pPr>
            <w:r>
              <w:rPr>
                <w:rFonts w:ascii="Arial" w:cs="Arial" w:eastAsia="Arial" w:hAnsi="Arial"/>
                <w:sz w:val="18"/>
                <w:szCs w:val="18"/>
                <w:color w:val="2C2C2C"/>
                <w:w w:val="98"/>
              </w:rPr>
              <w:t>card and return it in the postage-paid</w:t>
            </w: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680" w:type="dxa"/>
            <w:vAlign w:val="bottom"/>
          </w:tcPr>
          <w:p>
            <w:pPr>
              <w:jc w:val="center"/>
              <w:ind w:left="512"/>
              <w:spacing w:after="0"/>
              <w:rPr>
                <w:sz w:val="20"/>
                <w:szCs w:val="20"/>
                <w:color w:val="auto"/>
              </w:rPr>
            </w:pPr>
            <w:r>
              <w:rPr>
                <w:rFonts w:ascii="Arial" w:cs="Arial" w:eastAsia="Arial" w:hAnsi="Arial"/>
                <w:sz w:val="18"/>
                <w:szCs w:val="18"/>
                <w:color w:val="2C2C2C"/>
                <w:w w:val="98"/>
              </w:rPr>
              <w:t>envelope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9"/>
        </w:trPr>
        <w:tc>
          <w:tcPr>
            <w:tcW w:w="4220" w:type="dxa"/>
            <w:vAlign w:val="bottom"/>
            <w:gridSpan w:val="2"/>
          </w:tcPr>
          <w:p>
            <w:pPr>
              <w:spacing w:after="0"/>
              <w:rPr>
                <w:sz w:val="20"/>
                <w:szCs w:val="20"/>
                <w:color w:val="auto"/>
              </w:rPr>
            </w:pPr>
            <w:r>
              <w:rPr>
                <w:rFonts w:ascii="Arial" w:cs="Arial" w:eastAsia="Arial" w:hAnsi="Arial"/>
                <w:sz w:val="21"/>
                <w:szCs w:val="21"/>
                <w:b w:val="1"/>
                <w:bCs w:val="1"/>
                <w:color w:val="CC092F"/>
              </w:rPr>
              <w:t>Proposals and Board Recommendations</w:t>
            </w:r>
          </w:p>
        </w:tc>
        <w:tc>
          <w:tcPr>
            <w:tcW w:w="3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220" w:type="dxa"/>
            <w:vAlign w:val="bottom"/>
            <w:tcBorders>
              <w:bottom w:val="single" w:sz="8" w:color="CC092F"/>
            </w:tcBorders>
            <w:gridSpan w:val="2"/>
          </w:tcPr>
          <w:p>
            <w:pPr>
              <w:spacing w:after="0"/>
              <w:rPr>
                <w:sz w:val="15"/>
                <w:szCs w:val="15"/>
                <w:color w:val="auto"/>
              </w:rPr>
            </w:pPr>
          </w:p>
        </w:tc>
        <w:tc>
          <w:tcPr>
            <w:tcW w:w="3420" w:type="dxa"/>
            <w:vAlign w:val="bottom"/>
            <w:tcBorders>
              <w:bottom w:val="single" w:sz="8" w:color="CC092F"/>
            </w:tcBorders>
          </w:tcPr>
          <w:p>
            <w:pPr>
              <w:spacing w:after="0"/>
              <w:rPr>
                <w:sz w:val="15"/>
                <w:szCs w:val="15"/>
                <w:color w:val="auto"/>
              </w:rPr>
            </w:pPr>
          </w:p>
        </w:tc>
        <w:tc>
          <w:tcPr>
            <w:tcW w:w="2680" w:type="dxa"/>
            <w:vAlign w:val="bottom"/>
            <w:tcBorders>
              <w:bottom w:val="single" w:sz="8" w:color="CC092F"/>
            </w:tcBorders>
          </w:tcPr>
          <w:p>
            <w:pPr>
              <w:spacing w:after="0"/>
              <w:rPr>
                <w:sz w:val="15"/>
                <w:szCs w:val="15"/>
                <w:color w:val="auto"/>
              </w:rPr>
            </w:pPr>
          </w:p>
        </w:tc>
        <w:tc>
          <w:tcPr>
            <w:tcW w:w="360" w:type="dxa"/>
            <w:vAlign w:val="bottom"/>
            <w:tcBorders>
              <w:bottom w:val="single" w:sz="8" w:color="CC092F"/>
            </w:tcBorders>
          </w:tcPr>
          <w:p>
            <w:pPr>
              <w:spacing w:after="0"/>
              <w:rPr>
                <w:sz w:val="15"/>
                <w:szCs w:val="15"/>
                <w:color w:val="auto"/>
              </w:rPr>
            </w:pPr>
          </w:p>
        </w:tc>
        <w:tc>
          <w:tcPr>
            <w:tcW w:w="200" w:type="dxa"/>
            <w:vAlign w:val="bottom"/>
            <w:tcBorders>
              <w:bottom w:val="single" w:sz="8" w:color="CC092F"/>
            </w:tcBorders>
          </w:tcPr>
          <w:p>
            <w:pPr>
              <w:spacing w:after="0"/>
              <w:rPr>
                <w:sz w:val="15"/>
                <w:szCs w:val="15"/>
                <w:color w:val="auto"/>
              </w:rPr>
            </w:pPr>
          </w:p>
        </w:tc>
        <w:tc>
          <w:tcPr>
            <w:tcW w:w="20" w:type="dxa"/>
            <w:vAlign w:val="bottom"/>
            <w:tcBorders>
              <w:bottom w:val="single" w:sz="8" w:color="CC092F"/>
            </w:tcBorders>
          </w:tcPr>
          <w:p>
            <w:pPr>
              <w:spacing w:after="0"/>
              <w:rPr>
                <w:sz w:val="15"/>
                <w:szCs w:val="15"/>
                <w:color w:val="auto"/>
              </w:rPr>
            </w:pPr>
          </w:p>
        </w:tc>
        <w:tc>
          <w:tcPr>
            <w:tcW w:w="220" w:type="dxa"/>
            <w:vAlign w:val="bottom"/>
            <w:tcBorders>
              <w:bottom w:val="single" w:sz="8" w:color="CC092F"/>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220" w:type="dxa"/>
            <w:vAlign w:val="bottom"/>
            <w:tcBorders>
              <w:bottom w:val="single" w:sz="8" w:color="B8B8B8"/>
            </w:tcBorders>
            <w:gridSpan w:val="2"/>
            <w:shd w:val="clear" w:color="auto" w:fill="B8B8B8"/>
          </w:tcPr>
          <w:p>
            <w:pPr>
              <w:ind w:left="20"/>
              <w:spacing w:after="0"/>
              <w:rPr>
                <w:sz w:val="20"/>
                <w:szCs w:val="20"/>
                <w:color w:val="auto"/>
              </w:rPr>
            </w:pPr>
            <w:r>
              <w:rPr>
                <w:rFonts w:ascii="Arial" w:cs="Arial" w:eastAsia="Arial" w:hAnsi="Arial"/>
                <w:sz w:val="18"/>
                <w:szCs w:val="18"/>
                <w:b w:val="1"/>
                <w:bCs w:val="1"/>
                <w:color w:val="FFFFFF"/>
              </w:rPr>
              <w:t>Proposal</w:t>
            </w:r>
          </w:p>
        </w:tc>
        <w:tc>
          <w:tcPr>
            <w:tcW w:w="3420" w:type="dxa"/>
            <w:vAlign w:val="bottom"/>
            <w:tcBorders>
              <w:bottom w:val="single" w:sz="8" w:color="B8B8B8"/>
            </w:tcBorders>
            <w:shd w:val="clear" w:color="auto" w:fill="B8B8B8"/>
          </w:tcPr>
          <w:p>
            <w:pPr>
              <w:spacing w:after="0"/>
              <w:rPr>
                <w:sz w:val="23"/>
                <w:szCs w:val="23"/>
                <w:color w:val="auto"/>
              </w:rPr>
            </w:pPr>
          </w:p>
        </w:tc>
        <w:tc>
          <w:tcPr>
            <w:tcW w:w="2680" w:type="dxa"/>
            <w:vAlign w:val="bottom"/>
            <w:tcBorders>
              <w:bottom w:val="single" w:sz="8" w:color="B8B8B8"/>
            </w:tcBorders>
            <w:shd w:val="clear" w:color="auto" w:fill="B8B8B8"/>
          </w:tcPr>
          <w:p>
            <w:pPr>
              <w:jc w:val="center"/>
              <w:ind w:left="32"/>
              <w:spacing w:after="0"/>
              <w:rPr>
                <w:sz w:val="20"/>
                <w:szCs w:val="20"/>
                <w:color w:val="auto"/>
              </w:rPr>
            </w:pPr>
            <w:r>
              <w:rPr>
                <w:rFonts w:ascii="Arial" w:cs="Arial" w:eastAsia="Arial" w:hAnsi="Arial"/>
                <w:sz w:val="18"/>
                <w:szCs w:val="18"/>
                <w:b w:val="1"/>
                <w:bCs w:val="1"/>
                <w:color w:val="FFFFFF"/>
                <w:w w:val="98"/>
              </w:rPr>
              <w:t>Board Recommendation</w:t>
            </w:r>
          </w:p>
        </w:tc>
        <w:tc>
          <w:tcPr>
            <w:tcW w:w="800" w:type="dxa"/>
            <w:vAlign w:val="bottom"/>
            <w:tcBorders>
              <w:bottom w:val="single" w:sz="8" w:color="B8B8B8"/>
            </w:tcBorders>
            <w:gridSpan w:val="4"/>
            <w:shd w:val="clear" w:color="auto" w:fill="B8B8B8"/>
          </w:tcPr>
          <w:p>
            <w:pPr>
              <w:jc w:val="center"/>
              <w:ind w:left="52"/>
              <w:spacing w:after="0"/>
              <w:rPr>
                <w:sz w:val="20"/>
                <w:szCs w:val="20"/>
                <w:color w:val="auto"/>
              </w:rPr>
            </w:pPr>
            <w:r>
              <w:rPr>
                <w:rFonts w:ascii="Arial" w:cs="Arial" w:eastAsia="Arial" w:hAnsi="Arial"/>
                <w:sz w:val="18"/>
                <w:szCs w:val="18"/>
                <w:b w:val="1"/>
                <w:bCs w:val="1"/>
                <w:color w:val="FFFFFF"/>
                <w:w w:val="97"/>
              </w:rPr>
              <w:t>Page</w:t>
            </w:r>
          </w:p>
        </w:tc>
        <w:tc>
          <w:tcPr>
            <w:tcW w:w="0" w:type="dxa"/>
            <w:vAlign w:val="bottom"/>
          </w:tcPr>
          <w:p>
            <w:pPr>
              <w:spacing w:after="0"/>
              <w:rPr>
                <w:sz w:val="1"/>
                <w:szCs w:val="1"/>
                <w:color w:val="auto"/>
              </w:rPr>
            </w:pPr>
          </w:p>
        </w:tc>
      </w:tr>
      <w:tr>
        <w:trPr>
          <w:trHeight w:val="231"/>
        </w:trPr>
        <w:tc>
          <w:tcPr>
            <w:tcW w:w="280" w:type="dxa"/>
            <w:vAlign w:val="bottom"/>
            <w:tcBorders>
              <w:top w:val="single" w:sz="8" w:color="CC092F"/>
            </w:tcBorders>
            <w:vMerge w:val="restart"/>
          </w:tcPr>
          <w:p>
            <w:pPr>
              <w:ind w:left="20"/>
              <w:spacing w:after="0"/>
              <w:rPr>
                <w:sz w:val="20"/>
                <w:szCs w:val="20"/>
                <w:color w:val="auto"/>
              </w:rPr>
            </w:pPr>
            <w:r>
              <w:rPr>
                <w:rFonts w:ascii="Arial" w:cs="Arial" w:eastAsia="Arial" w:hAnsi="Arial"/>
                <w:sz w:val="16"/>
                <w:szCs w:val="16"/>
                <w:color w:val="CC092F"/>
              </w:rPr>
              <w:t>=</w:t>
            </w:r>
          </w:p>
        </w:tc>
        <w:tc>
          <w:tcPr>
            <w:tcW w:w="7360" w:type="dxa"/>
            <w:vAlign w:val="bottom"/>
            <w:tcBorders>
              <w:top w:val="single" w:sz="8" w:color="CC092F"/>
            </w:tcBorders>
            <w:gridSpan w:val="2"/>
          </w:tcPr>
          <w:p>
            <w:pPr>
              <w:ind w:left="20"/>
              <w:spacing w:after="0"/>
              <w:rPr>
                <w:sz w:val="20"/>
                <w:szCs w:val="20"/>
                <w:color w:val="auto"/>
              </w:rPr>
            </w:pPr>
            <w:r>
              <w:rPr>
                <w:rFonts w:ascii="Arial" w:cs="Arial" w:eastAsia="Arial" w:hAnsi="Arial"/>
                <w:sz w:val="18"/>
                <w:szCs w:val="18"/>
                <w:color w:val="242424"/>
              </w:rPr>
              <w:t>To elect each of the nine director nominees until the next annual meeting of stockholders or</w:t>
            </w:r>
          </w:p>
        </w:tc>
        <w:tc>
          <w:tcPr>
            <w:tcW w:w="2680" w:type="dxa"/>
            <w:vAlign w:val="bottom"/>
            <w:tcBorders>
              <w:top w:val="single" w:sz="8" w:color="CC092F"/>
            </w:tcBorders>
          </w:tcPr>
          <w:p>
            <w:pPr>
              <w:jc w:val="center"/>
              <w:spacing w:after="0"/>
              <w:rPr>
                <w:sz w:val="20"/>
                <w:szCs w:val="20"/>
                <w:color w:val="auto"/>
              </w:rPr>
            </w:pPr>
            <w:r>
              <w:rPr>
                <w:rFonts w:ascii="Arial" w:cs="Arial" w:eastAsia="Arial" w:hAnsi="Arial"/>
                <w:sz w:val="18"/>
                <w:szCs w:val="18"/>
                <w:b w:val="1"/>
                <w:bCs w:val="1"/>
                <w:color w:val="CC092F"/>
                <w:w w:val="96"/>
              </w:rPr>
              <w:t>For</w:t>
            </w:r>
          </w:p>
        </w:tc>
        <w:tc>
          <w:tcPr>
            <w:tcW w:w="360" w:type="dxa"/>
            <w:vAlign w:val="bottom"/>
            <w:tcBorders>
              <w:top w:val="single" w:sz="8" w:color="CC092F"/>
            </w:tcBorders>
          </w:tcPr>
          <w:p>
            <w:pPr>
              <w:spacing w:after="0"/>
              <w:rPr>
                <w:sz w:val="20"/>
                <w:szCs w:val="20"/>
                <w:color w:val="auto"/>
              </w:rPr>
            </w:pPr>
          </w:p>
        </w:tc>
        <w:tc>
          <w:tcPr>
            <w:tcW w:w="200" w:type="dxa"/>
            <w:vAlign w:val="bottom"/>
            <w:tcBorders>
              <w:top w:val="single" w:sz="8" w:color="CC092F"/>
            </w:tcBorders>
            <w:vMerge w:val="restart"/>
          </w:tcPr>
          <w:p>
            <w:pPr>
              <w:jc w:val="center"/>
              <w:spacing w:after="0"/>
              <w:rPr>
                <w:rFonts w:ascii="Arial" w:cs="Arial" w:eastAsia="Arial" w:hAnsi="Arial"/>
                <w:sz w:val="18"/>
                <w:szCs w:val="18"/>
                <w:color w:val="242424"/>
                <w:w w:val="99"/>
              </w:rPr>
            </w:pPr>
            <w:hyperlink w:anchor="page18">
              <w:r>
                <w:rPr>
                  <w:rFonts w:ascii="Arial" w:cs="Arial" w:eastAsia="Arial" w:hAnsi="Arial"/>
                  <w:sz w:val="18"/>
                  <w:szCs w:val="18"/>
                  <w:color w:val="242424"/>
                  <w:w w:val="99"/>
                </w:rPr>
                <w:t>16</w:t>
              </w:r>
            </w:hyperlink>
          </w:p>
        </w:tc>
        <w:tc>
          <w:tcPr>
            <w:tcW w:w="20" w:type="dxa"/>
            <w:vAlign w:val="bottom"/>
            <w:tcBorders>
              <w:top w:val="single" w:sz="8" w:color="CC092F"/>
            </w:tcBorders>
          </w:tcPr>
          <w:p>
            <w:pPr>
              <w:spacing w:after="0"/>
              <w:rPr>
                <w:sz w:val="20"/>
                <w:szCs w:val="20"/>
                <w:color w:val="auto"/>
              </w:rPr>
            </w:pPr>
          </w:p>
        </w:tc>
        <w:tc>
          <w:tcPr>
            <w:tcW w:w="220" w:type="dxa"/>
            <w:vAlign w:val="bottom"/>
            <w:tcBorders>
              <w:top w:val="single" w:sz="8" w:color="CC092F"/>
            </w:tcBorders>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280" w:type="dxa"/>
            <w:vAlign w:val="bottom"/>
            <w:tcBorders>
              <w:bottom w:val="single" w:sz="8" w:color="CC092F"/>
            </w:tcBorders>
            <w:vMerge w:val="continue"/>
          </w:tcPr>
          <w:p>
            <w:pPr>
              <w:spacing w:after="0"/>
              <w:rPr>
                <w:sz w:val="6"/>
                <w:szCs w:val="6"/>
                <w:color w:val="auto"/>
              </w:rPr>
            </w:pPr>
          </w:p>
        </w:tc>
        <w:tc>
          <w:tcPr>
            <w:tcW w:w="3940" w:type="dxa"/>
            <w:vAlign w:val="bottom"/>
            <w:vMerge w:val="restart"/>
          </w:tcPr>
          <w:p>
            <w:pPr>
              <w:ind w:left="20"/>
              <w:spacing w:after="0"/>
              <w:rPr>
                <w:sz w:val="20"/>
                <w:szCs w:val="20"/>
                <w:color w:val="auto"/>
              </w:rPr>
            </w:pPr>
            <w:r>
              <w:rPr>
                <w:rFonts w:ascii="Arial" w:cs="Arial" w:eastAsia="Arial" w:hAnsi="Arial"/>
                <w:sz w:val="18"/>
                <w:szCs w:val="18"/>
                <w:color w:val="242424"/>
              </w:rPr>
              <w:t>until their successors have been elected</w:t>
            </w:r>
          </w:p>
        </w:tc>
        <w:tc>
          <w:tcPr>
            <w:tcW w:w="3420" w:type="dxa"/>
            <w:vAlign w:val="bottom"/>
          </w:tcPr>
          <w:p>
            <w:pPr>
              <w:spacing w:after="0"/>
              <w:rPr>
                <w:sz w:val="6"/>
                <w:szCs w:val="6"/>
                <w:color w:val="auto"/>
              </w:rPr>
            </w:pPr>
          </w:p>
        </w:tc>
        <w:tc>
          <w:tcPr>
            <w:tcW w:w="2680" w:type="dxa"/>
            <w:vAlign w:val="bottom"/>
            <w:vMerge w:val="restart"/>
          </w:tcPr>
          <w:p>
            <w:pPr>
              <w:jc w:val="center"/>
              <w:ind w:left="32"/>
              <w:spacing w:after="0"/>
              <w:rPr>
                <w:sz w:val="20"/>
                <w:szCs w:val="20"/>
                <w:color w:val="auto"/>
              </w:rPr>
            </w:pPr>
            <w:r>
              <w:rPr>
                <w:rFonts w:ascii="Arial" w:cs="Arial" w:eastAsia="Arial" w:hAnsi="Arial"/>
                <w:sz w:val="18"/>
                <w:szCs w:val="18"/>
                <w:color w:val="242424"/>
                <w:w w:val="98"/>
              </w:rPr>
              <w:t>each director nominee</w:t>
            </w:r>
          </w:p>
        </w:tc>
        <w:tc>
          <w:tcPr>
            <w:tcW w:w="360" w:type="dxa"/>
            <w:vAlign w:val="bottom"/>
            <w:vMerge w:val="restart"/>
          </w:tcPr>
          <w:p>
            <w:pPr>
              <w:spacing w:after="0"/>
              <w:rPr>
                <w:sz w:val="6"/>
                <w:szCs w:val="6"/>
                <w:color w:val="auto"/>
              </w:rPr>
            </w:pPr>
          </w:p>
        </w:tc>
        <w:tc>
          <w:tcPr>
            <w:tcW w:w="200" w:type="dxa"/>
            <w:vAlign w:val="bottom"/>
            <w:tcBorders>
              <w:bottom w:val="single" w:sz="8" w:color="242424"/>
            </w:tcBorders>
            <w:vMerge w:val="continue"/>
          </w:tcPr>
          <w:p>
            <w:pPr>
              <w:spacing w:after="0"/>
              <w:rPr>
                <w:sz w:val="6"/>
                <w:szCs w:val="6"/>
                <w:color w:val="auto"/>
              </w:rPr>
            </w:pPr>
          </w:p>
        </w:tc>
        <w:tc>
          <w:tcPr>
            <w:tcW w:w="20" w:type="dxa"/>
            <w:vAlign w:val="bottom"/>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80" w:type="dxa"/>
            <w:vAlign w:val="bottom"/>
            <w:vMerge w:val="continue"/>
          </w:tcPr>
          <w:p>
            <w:pPr>
              <w:spacing w:after="0"/>
              <w:rPr>
                <w:sz w:val="9"/>
                <w:szCs w:val="9"/>
                <w:color w:val="auto"/>
              </w:rPr>
            </w:pPr>
          </w:p>
        </w:tc>
        <w:tc>
          <w:tcPr>
            <w:tcW w:w="3940" w:type="dxa"/>
            <w:vAlign w:val="bottom"/>
            <w:vMerge w:val="continue"/>
          </w:tcPr>
          <w:p>
            <w:pPr>
              <w:spacing w:after="0"/>
              <w:rPr>
                <w:sz w:val="9"/>
                <w:szCs w:val="9"/>
                <w:color w:val="auto"/>
              </w:rPr>
            </w:pPr>
          </w:p>
        </w:tc>
        <w:tc>
          <w:tcPr>
            <w:tcW w:w="342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7360" w:type="dxa"/>
            <w:vAlign w:val="bottom"/>
            <w:gridSpan w:val="2"/>
          </w:tcPr>
          <w:p>
            <w:pPr>
              <w:spacing w:after="0"/>
              <w:rPr>
                <w:sz w:val="9"/>
                <w:szCs w:val="9"/>
                <w:color w:val="auto"/>
              </w:rPr>
            </w:pPr>
          </w:p>
        </w:tc>
        <w:tc>
          <w:tcPr>
            <w:tcW w:w="2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80" w:type="dxa"/>
            <w:vAlign w:val="bottom"/>
            <w:vMerge w:val="restart"/>
          </w:tcPr>
          <w:p>
            <w:pPr>
              <w:ind w:left="20"/>
              <w:spacing w:after="0"/>
              <w:rPr>
                <w:sz w:val="20"/>
                <w:szCs w:val="20"/>
                <w:color w:val="auto"/>
              </w:rPr>
            </w:pPr>
            <w:r>
              <w:rPr>
                <w:rFonts w:ascii="Arial" w:cs="Arial" w:eastAsia="Arial" w:hAnsi="Arial"/>
                <w:sz w:val="16"/>
                <w:szCs w:val="16"/>
                <w:color w:val="CC092F"/>
              </w:rPr>
              <w:t>=</w:t>
            </w:r>
          </w:p>
        </w:tc>
        <w:tc>
          <w:tcPr>
            <w:tcW w:w="7360" w:type="dxa"/>
            <w:vAlign w:val="bottom"/>
            <w:gridSpan w:val="2"/>
            <w:shd w:val="clear" w:color="auto" w:fill="EAEAEA"/>
          </w:tcPr>
          <w:p>
            <w:pPr>
              <w:ind w:left="20"/>
              <w:spacing w:after="0"/>
              <w:rPr>
                <w:sz w:val="20"/>
                <w:szCs w:val="20"/>
                <w:color w:val="auto"/>
              </w:rPr>
            </w:pPr>
            <w:r>
              <w:rPr>
                <w:rFonts w:ascii="Arial" w:cs="Arial" w:eastAsia="Arial" w:hAnsi="Arial"/>
                <w:sz w:val="18"/>
                <w:szCs w:val="18"/>
                <w:color w:val="242424"/>
              </w:rPr>
              <w:t>To ratify the appointment of our independent registered public accounting firm for our fiscal</w:t>
            </w:r>
          </w:p>
        </w:tc>
        <w:tc>
          <w:tcPr>
            <w:tcW w:w="2680" w:type="dxa"/>
            <w:vAlign w:val="bottom"/>
            <w:vMerge w:val="restart"/>
            <w:shd w:val="clear" w:color="auto" w:fill="EAEAEA"/>
          </w:tcPr>
          <w:p>
            <w:pPr>
              <w:jc w:val="center"/>
              <w:ind w:left="32"/>
              <w:spacing w:after="0"/>
              <w:rPr>
                <w:sz w:val="20"/>
                <w:szCs w:val="20"/>
                <w:color w:val="auto"/>
              </w:rPr>
            </w:pPr>
            <w:r>
              <w:rPr>
                <w:rFonts w:ascii="Arial" w:cs="Arial" w:eastAsia="Arial" w:hAnsi="Arial"/>
                <w:sz w:val="18"/>
                <w:szCs w:val="18"/>
                <w:b w:val="1"/>
                <w:bCs w:val="1"/>
                <w:color w:val="CC092F"/>
                <w:w w:val="96"/>
              </w:rPr>
              <w:t>For</w:t>
            </w:r>
          </w:p>
        </w:tc>
        <w:tc>
          <w:tcPr>
            <w:tcW w:w="580" w:type="dxa"/>
            <w:vAlign w:val="bottom"/>
            <w:gridSpan w:val="3"/>
            <w:vMerge w:val="restart"/>
            <w:shd w:val="clear" w:color="auto" w:fill="EAEAEA"/>
          </w:tcPr>
          <w:p>
            <w:pPr>
              <w:jc w:val="center"/>
              <w:ind w:left="252"/>
              <w:spacing w:after="0"/>
              <w:rPr>
                <w:rFonts w:ascii="Arial" w:cs="Arial" w:eastAsia="Arial" w:hAnsi="Arial"/>
                <w:sz w:val="18"/>
                <w:szCs w:val="18"/>
                <w:color w:val="242424"/>
                <w:w w:val="99"/>
              </w:rPr>
            </w:pPr>
            <w:hyperlink w:anchor="page23">
              <w:r>
                <w:rPr>
                  <w:rFonts w:ascii="Arial" w:cs="Arial" w:eastAsia="Arial" w:hAnsi="Arial"/>
                  <w:sz w:val="18"/>
                  <w:szCs w:val="18"/>
                  <w:color w:val="242424"/>
                  <w:w w:val="99"/>
                </w:rPr>
                <w:t>21</w:t>
              </w:r>
            </w:hyperlink>
          </w:p>
        </w:tc>
        <w:tc>
          <w:tcPr>
            <w:tcW w:w="220" w:type="dxa"/>
            <w:vAlign w:val="bottom"/>
            <w:shd w:val="clear" w:color="auto" w:fill="EAEAEA"/>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80" w:type="dxa"/>
            <w:vAlign w:val="bottom"/>
            <w:vMerge w:val="continue"/>
          </w:tcPr>
          <w:p>
            <w:pPr>
              <w:spacing w:after="0"/>
              <w:rPr>
                <w:sz w:val="5"/>
                <w:szCs w:val="5"/>
                <w:color w:val="auto"/>
              </w:rPr>
            </w:pPr>
          </w:p>
        </w:tc>
        <w:tc>
          <w:tcPr>
            <w:tcW w:w="3940" w:type="dxa"/>
            <w:vAlign w:val="bottom"/>
            <w:vMerge w:val="restart"/>
            <w:shd w:val="clear" w:color="auto" w:fill="EAEAEA"/>
          </w:tcPr>
          <w:p>
            <w:pPr>
              <w:ind w:left="20"/>
              <w:spacing w:after="0"/>
              <w:rPr>
                <w:sz w:val="20"/>
                <w:szCs w:val="20"/>
                <w:color w:val="auto"/>
              </w:rPr>
            </w:pPr>
            <w:r>
              <w:rPr>
                <w:rFonts w:ascii="Arial" w:cs="Arial" w:eastAsia="Arial" w:hAnsi="Arial"/>
                <w:sz w:val="18"/>
                <w:szCs w:val="18"/>
                <w:color w:val="242424"/>
              </w:rPr>
              <w:t>year ending October 30, 2022</w:t>
            </w:r>
          </w:p>
        </w:tc>
        <w:tc>
          <w:tcPr>
            <w:tcW w:w="3420" w:type="dxa"/>
            <w:vAlign w:val="bottom"/>
            <w:shd w:val="clear" w:color="auto" w:fill="EAEAEA"/>
          </w:tcPr>
          <w:p>
            <w:pPr>
              <w:spacing w:after="0"/>
              <w:rPr>
                <w:sz w:val="5"/>
                <w:szCs w:val="5"/>
                <w:color w:val="auto"/>
              </w:rPr>
            </w:pPr>
          </w:p>
        </w:tc>
        <w:tc>
          <w:tcPr>
            <w:tcW w:w="2680" w:type="dxa"/>
            <w:vAlign w:val="bottom"/>
            <w:vMerge w:val="continue"/>
            <w:shd w:val="clear" w:color="auto" w:fill="EAEAEA"/>
          </w:tcPr>
          <w:p>
            <w:pPr>
              <w:spacing w:after="0"/>
              <w:rPr>
                <w:sz w:val="5"/>
                <w:szCs w:val="5"/>
                <w:color w:val="auto"/>
              </w:rPr>
            </w:pPr>
          </w:p>
        </w:tc>
        <w:tc>
          <w:tcPr>
            <w:tcW w:w="580" w:type="dxa"/>
            <w:vAlign w:val="bottom"/>
            <w:gridSpan w:val="3"/>
            <w:vMerge w:val="continue"/>
            <w:shd w:val="clear" w:color="auto" w:fill="EAEAEA"/>
          </w:tcPr>
          <w:p>
            <w:pPr>
              <w:spacing w:after="0"/>
              <w:rPr>
                <w:sz w:val="5"/>
                <w:szCs w:val="5"/>
                <w:color w:val="auto"/>
              </w:rPr>
            </w:pPr>
          </w:p>
        </w:tc>
        <w:tc>
          <w:tcPr>
            <w:tcW w:w="22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80" w:type="dxa"/>
            <w:vAlign w:val="bottom"/>
            <w:vMerge w:val="continue"/>
          </w:tcPr>
          <w:p>
            <w:pPr>
              <w:spacing w:after="0"/>
              <w:rPr>
                <w:sz w:val="10"/>
                <w:szCs w:val="10"/>
                <w:color w:val="auto"/>
              </w:rPr>
            </w:pPr>
          </w:p>
        </w:tc>
        <w:tc>
          <w:tcPr>
            <w:tcW w:w="3940" w:type="dxa"/>
            <w:vAlign w:val="bottom"/>
            <w:tcBorders>
              <w:top w:val="single" w:sz="8" w:color="EAEAEA"/>
            </w:tcBorders>
            <w:vMerge w:val="continue"/>
            <w:shd w:val="clear" w:color="auto" w:fill="EAEAEA"/>
          </w:tcPr>
          <w:p>
            <w:pPr>
              <w:spacing w:after="0"/>
              <w:rPr>
                <w:sz w:val="10"/>
                <w:szCs w:val="10"/>
                <w:color w:val="auto"/>
              </w:rPr>
            </w:pPr>
          </w:p>
        </w:tc>
        <w:tc>
          <w:tcPr>
            <w:tcW w:w="3420" w:type="dxa"/>
            <w:vAlign w:val="bottom"/>
            <w:tcBorders>
              <w:top w:val="single" w:sz="8" w:color="EAEAEA"/>
            </w:tcBorders>
            <w:shd w:val="clear" w:color="auto" w:fill="EAEAEA"/>
          </w:tcPr>
          <w:p>
            <w:pPr>
              <w:spacing w:after="0"/>
              <w:rPr>
                <w:sz w:val="10"/>
                <w:szCs w:val="10"/>
                <w:color w:val="auto"/>
              </w:rPr>
            </w:pPr>
          </w:p>
        </w:tc>
        <w:tc>
          <w:tcPr>
            <w:tcW w:w="2680" w:type="dxa"/>
            <w:vAlign w:val="bottom"/>
            <w:tcBorders>
              <w:top w:val="single" w:sz="8" w:color="EAEAEA"/>
            </w:tcBorders>
            <w:shd w:val="clear" w:color="auto" w:fill="EAEAEA"/>
          </w:tcPr>
          <w:p>
            <w:pPr>
              <w:spacing w:after="0"/>
              <w:rPr>
                <w:sz w:val="10"/>
                <w:szCs w:val="10"/>
                <w:color w:val="auto"/>
              </w:rPr>
            </w:pPr>
          </w:p>
        </w:tc>
        <w:tc>
          <w:tcPr>
            <w:tcW w:w="360" w:type="dxa"/>
            <w:vAlign w:val="bottom"/>
            <w:tcBorders>
              <w:top w:val="single" w:sz="8" w:color="EAEAEA"/>
            </w:tcBorders>
            <w:shd w:val="clear" w:color="auto" w:fill="EAEAEA"/>
          </w:tcPr>
          <w:p>
            <w:pPr>
              <w:spacing w:after="0"/>
              <w:rPr>
                <w:sz w:val="10"/>
                <w:szCs w:val="10"/>
                <w:color w:val="auto"/>
              </w:rPr>
            </w:pPr>
          </w:p>
        </w:tc>
        <w:tc>
          <w:tcPr>
            <w:tcW w:w="200" w:type="dxa"/>
            <w:vAlign w:val="bottom"/>
            <w:tcBorders>
              <w:top w:val="single" w:sz="8" w:color="242424"/>
            </w:tcBorders>
            <w:shd w:val="clear" w:color="auto" w:fill="EAEAEA"/>
          </w:tcPr>
          <w:p>
            <w:pPr>
              <w:spacing w:after="0"/>
              <w:rPr>
                <w:sz w:val="10"/>
                <w:szCs w:val="10"/>
                <w:color w:val="auto"/>
              </w:rPr>
            </w:pPr>
          </w:p>
        </w:tc>
        <w:tc>
          <w:tcPr>
            <w:tcW w:w="20" w:type="dxa"/>
            <w:vAlign w:val="bottom"/>
            <w:tcBorders>
              <w:top w:val="single" w:sz="8" w:color="EAEAEA"/>
            </w:tcBorders>
            <w:shd w:val="clear" w:color="auto" w:fill="EAEAEA"/>
          </w:tcPr>
          <w:p>
            <w:pPr>
              <w:spacing w:after="0"/>
              <w:rPr>
                <w:sz w:val="10"/>
                <w:szCs w:val="10"/>
                <w:color w:val="auto"/>
              </w:rPr>
            </w:pPr>
          </w:p>
        </w:tc>
        <w:tc>
          <w:tcPr>
            <w:tcW w:w="220" w:type="dxa"/>
            <w:vAlign w:val="bottom"/>
            <w:tcBorders>
              <w:top w:val="single" w:sz="8" w:color="EAEAEA"/>
            </w:tcBorders>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7360" w:type="dxa"/>
            <w:vAlign w:val="bottom"/>
            <w:gridSpan w:val="2"/>
            <w:shd w:val="clear" w:color="auto" w:fill="EAEAEA"/>
          </w:tcPr>
          <w:p>
            <w:pPr>
              <w:spacing w:after="0"/>
              <w:rPr>
                <w:sz w:val="11"/>
                <w:szCs w:val="11"/>
                <w:color w:val="auto"/>
              </w:rPr>
            </w:pPr>
          </w:p>
        </w:tc>
        <w:tc>
          <w:tcPr>
            <w:tcW w:w="2680" w:type="dxa"/>
            <w:vAlign w:val="bottom"/>
            <w:shd w:val="clear" w:color="auto" w:fill="EAEAEA"/>
          </w:tcPr>
          <w:p>
            <w:pPr>
              <w:spacing w:after="0"/>
              <w:rPr>
                <w:sz w:val="11"/>
                <w:szCs w:val="11"/>
                <w:color w:val="auto"/>
              </w:rPr>
            </w:pPr>
          </w:p>
        </w:tc>
        <w:tc>
          <w:tcPr>
            <w:tcW w:w="360" w:type="dxa"/>
            <w:vAlign w:val="bottom"/>
            <w:shd w:val="clear" w:color="auto" w:fill="EAEAEA"/>
          </w:tcPr>
          <w:p>
            <w:pPr>
              <w:spacing w:after="0"/>
              <w:rPr>
                <w:sz w:val="11"/>
                <w:szCs w:val="11"/>
                <w:color w:val="auto"/>
              </w:rPr>
            </w:pPr>
          </w:p>
        </w:tc>
        <w:tc>
          <w:tcPr>
            <w:tcW w:w="200" w:type="dxa"/>
            <w:vAlign w:val="bottom"/>
            <w:shd w:val="clear" w:color="auto" w:fill="EAEAEA"/>
          </w:tcPr>
          <w:p>
            <w:pPr>
              <w:spacing w:after="0"/>
              <w:rPr>
                <w:sz w:val="11"/>
                <w:szCs w:val="11"/>
                <w:color w:val="auto"/>
              </w:rPr>
            </w:pPr>
          </w:p>
        </w:tc>
        <w:tc>
          <w:tcPr>
            <w:tcW w:w="20" w:type="dxa"/>
            <w:vAlign w:val="bottom"/>
            <w:shd w:val="clear" w:color="auto" w:fill="EAEAEA"/>
          </w:tcPr>
          <w:p>
            <w:pPr>
              <w:spacing w:after="0"/>
              <w:rPr>
                <w:sz w:val="11"/>
                <w:szCs w:val="11"/>
                <w:color w:val="auto"/>
              </w:rPr>
            </w:pPr>
          </w:p>
        </w:tc>
        <w:tc>
          <w:tcPr>
            <w:tcW w:w="22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80" w:type="dxa"/>
            <w:vAlign w:val="bottom"/>
          </w:tcPr>
          <w:p>
            <w:pPr>
              <w:ind w:left="20"/>
              <w:spacing w:after="0"/>
              <w:rPr>
                <w:sz w:val="20"/>
                <w:szCs w:val="20"/>
                <w:color w:val="auto"/>
              </w:rPr>
            </w:pPr>
            <w:r>
              <w:rPr>
                <w:rFonts w:ascii="Arial" w:cs="Arial" w:eastAsia="Arial" w:hAnsi="Arial"/>
                <w:sz w:val="16"/>
                <w:szCs w:val="16"/>
                <w:color w:val="CC092F"/>
              </w:rPr>
              <w:t>=</w:t>
            </w:r>
          </w:p>
        </w:tc>
        <w:tc>
          <w:tcPr>
            <w:tcW w:w="7360" w:type="dxa"/>
            <w:vAlign w:val="bottom"/>
            <w:gridSpan w:val="2"/>
          </w:tcPr>
          <w:p>
            <w:pPr>
              <w:ind w:left="20"/>
              <w:spacing w:after="0"/>
              <w:rPr>
                <w:sz w:val="20"/>
                <w:szCs w:val="20"/>
                <w:color w:val="auto"/>
              </w:rPr>
            </w:pPr>
            <w:r>
              <w:rPr>
                <w:rFonts w:ascii="Arial" w:cs="Arial" w:eastAsia="Arial" w:hAnsi="Arial"/>
                <w:sz w:val="18"/>
                <w:szCs w:val="18"/>
                <w:color w:val="242424"/>
              </w:rPr>
              <w:t>To hold an advisory vote to approve the compensation of our named executive officers</w:t>
            </w:r>
          </w:p>
        </w:tc>
        <w:tc>
          <w:tcPr>
            <w:tcW w:w="2680" w:type="dxa"/>
            <w:vAlign w:val="bottom"/>
          </w:tcPr>
          <w:p>
            <w:pPr>
              <w:jc w:val="center"/>
              <w:ind w:left="32"/>
              <w:spacing w:after="0"/>
              <w:rPr>
                <w:sz w:val="20"/>
                <w:szCs w:val="20"/>
                <w:color w:val="auto"/>
              </w:rPr>
            </w:pPr>
            <w:r>
              <w:rPr>
                <w:rFonts w:ascii="Arial" w:cs="Arial" w:eastAsia="Arial" w:hAnsi="Arial"/>
                <w:sz w:val="18"/>
                <w:szCs w:val="18"/>
                <w:b w:val="1"/>
                <w:bCs w:val="1"/>
                <w:color w:val="CC092F"/>
                <w:w w:val="96"/>
              </w:rPr>
              <w:t>For</w:t>
            </w:r>
          </w:p>
        </w:tc>
        <w:tc>
          <w:tcPr>
            <w:tcW w:w="360" w:type="dxa"/>
            <w:vAlign w:val="bottom"/>
          </w:tcPr>
          <w:p>
            <w:pPr>
              <w:spacing w:after="0"/>
              <w:rPr>
                <w:sz w:val="21"/>
                <w:szCs w:val="21"/>
                <w:color w:val="auto"/>
              </w:rPr>
            </w:pPr>
          </w:p>
        </w:tc>
        <w:tc>
          <w:tcPr>
            <w:tcW w:w="220" w:type="dxa"/>
            <w:vAlign w:val="bottom"/>
            <w:tcBorders>
              <w:bottom w:val="single" w:sz="8" w:color="242424"/>
            </w:tcBorders>
            <w:gridSpan w:val="2"/>
          </w:tcPr>
          <w:p>
            <w:pPr>
              <w:jc w:val="center"/>
              <w:ind w:right="20"/>
              <w:spacing w:after="0"/>
              <w:rPr>
                <w:rFonts w:ascii="Arial" w:cs="Arial" w:eastAsia="Arial" w:hAnsi="Arial"/>
                <w:sz w:val="18"/>
                <w:szCs w:val="18"/>
                <w:color w:val="242424"/>
                <w:w w:val="99"/>
              </w:rPr>
            </w:pPr>
            <w:hyperlink w:anchor="page26">
              <w:r>
                <w:rPr>
                  <w:rFonts w:ascii="Arial" w:cs="Arial" w:eastAsia="Arial" w:hAnsi="Arial"/>
                  <w:sz w:val="18"/>
                  <w:szCs w:val="18"/>
                  <w:color w:val="242424"/>
                  <w:w w:val="99"/>
                </w:rPr>
                <w:t>24</w:t>
              </w:r>
            </w:hyperlink>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1</w:t>
      </w:r>
    </w:p>
    <w:p>
      <w:pPr>
        <w:sectPr>
          <w:pgSz w:w="11900" w:h="16838" w:orient="portrait"/>
          <w:cols w:equalWidth="0" w:num="1">
            <w:col w:w="11220"/>
          </w:cols>
          <w:pgMar w:left="320" w:top="194" w:right="359" w:bottom="1440" w:gutter="0" w:footer="0" w:header="0"/>
        </w:sectPr>
      </w:pPr>
    </w:p>
    <w:bookmarkStart w:id="4" w:name="page5"/>
    <w:bookmarkEnd w:id="4"/>
    <w:p>
      <w:pPr>
        <w:ind w:left="20"/>
        <w:spacing w:after="0"/>
        <w:rPr>
          <w:sz w:val="20"/>
          <w:szCs w:val="20"/>
          <w:color w:val="auto"/>
        </w:rPr>
      </w:pPr>
      <w:r>
        <w:rPr>
          <w:rFonts w:ascii="Arial" w:cs="Arial" w:eastAsia="Arial" w:hAnsi="Arial"/>
          <w:sz w:val="16"/>
          <w:szCs w:val="16"/>
          <w:color w:val="CC092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2022 Director Nominees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Borders>
              <w:top w:val="single" w:sz="8" w:color="CC092F"/>
            </w:tcBorders>
            <w:shd w:val="clear" w:color="auto" w:fill="B8B8B8"/>
          </w:tcPr>
          <w:p>
            <w:pPr>
              <w:spacing w:after="0"/>
              <w:rPr>
                <w:sz w:val="18"/>
                <w:szCs w:val="18"/>
                <w:color w:val="auto"/>
              </w:rPr>
            </w:pPr>
          </w:p>
        </w:tc>
        <w:tc>
          <w:tcPr>
            <w:tcW w:w="1400" w:type="dxa"/>
            <w:vAlign w:val="bottom"/>
            <w:tcBorders>
              <w:top w:val="single" w:sz="8" w:color="CC092F"/>
            </w:tcBorders>
            <w:shd w:val="clear" w:color="auto" w:fill="B8B8B8"/>
          </w:tcPr>
          <w:p>
            <w:pPr>
              <w:spacing w:after="0"/>
              <w:rPr>
                <w:sz w:val="18"/>
                <w:szCs w:val="18"/>
                <w:color w:val="auto"/>
              </w:rPr>
            </w:pPr>
          </w:p>
        </w:tc>
        <w:tc>
          <w:tcPr>
            <w:tcW w:w="1000" w:type="dxa"/>
            <w:vAlign w:val="bottom"/>
            <w:tcBorders>
              <w:top w:val="single" w:sz="8" w:color="CC092F"/>
            </w:tcBorders>
            <w:shd w:val="clear" w:color="auto" w:fill="B8B8B8"/>
          </w:tcPr>
          <w:p>
            <w:pPr>
              <w:spacing w:after="0"/>
              <w:rPr>
                <w:sz w:val="18"/>
                <w:szCs w:val="18"/>
                <w:color w:val="auto"/>
              </w:rPr>
            </w:pPr>
          </w:p>
        </w:tc>
        <w:tc>
          <w:tcPr>
            <w:tcW w:w="1880" w:type="dxa"/>
            <w:vAlign w:val="bottom"/>
            <w:tcBorders>
              <w:top w:val="single" w:sz="8" w:color="CC092F"/>
            </w:tcBorders>
            <w:shd w:val="clear" w:color="auto" w:fill="B8B8B8"/>
          </w:tcPr>
          <w:p>
            <w:pPr>
              <w:ind w:left="1000"/>
              <w:spacing w:after="0"/>
              <w:rPr>
                <w:sz w:val="20"/>
                <w:szCs w:val="20"/>
                <w:color w:val="auto"/>
              </w:rPr>
            </w:pPr>
            <w:r>
              <w:rPr>
                <w:rFonts w:ascii="Arial" w:cs="Arial" w:eastAsia="Arial" w:hAnsi="Arial"/>
                <w:sz w:val="15"/>
                <w:szCs w:val="15"/>
                <w:b w:val="1"/>
                <w:bCs w:val="1"/>
                <w:color w:val="FFFFFF"/>
              </w:rPr>
              <w:t>Committees</w:t>
            </w:r>
          </w:p>
        </w:tc>
        <w:tc>
          <w:tcPr>
            <w:tcW w:w="780" w:type="dxa"/>
            <w:vAlign w:val="bottom"/>
            <w:tcBorders>
              <w:top w:val="single" w:sz="8" w:color="CC092F"/>
            </w:tcBorders>
            <w:shd w:val="clear" w:color="auto" w:fill="B8B8B8"/>
          </w:tcPr>
          <w:p>
            <w:pPr>
              <w:spacing w:after="0"/>
              <w:rPr>
                <w:sz w:val="18"/>
                <w:szCs w:val="18"/>
                <w:color w:val="auto"/>
              </w:rPr>
            </w:pPr>
          </w:p>
        </w:tc>
        <w:tc>
          <w:tcPr>
            <w:tcW w:w="1280" w:type="dxa"/>
            <w:vAlign w:val="bottom"/>
            <w:tcBorders>
              <w:top w:val="single" w:sz="8" w:color="CC092F"/>
            </w:tcBorders>
            <w:shd w:val="clear" w:color="auto" w:fill="B8B8B8"/>
          </w:tcPr>
          <w:p>
            <w:pPr>
              <w:spacing w:after="0"/>
              <w:rPr>
                <w:sz w:val="18"/>
                <w:szCs w:val="18"/>
                <w:color w:val="auto"/>
              </w:rPr>
            </w:pPr>
          </w:p>
        </w:tc>
      </w:tr>
      <w:tr>
        <w:trPr>
          <w:trHeight w:val="208"/>
        </w:trPr>
        <w:tc>
          <w:tcPr>
            <w:tcW w:w="4900" w:type="dxa"/>
            <w:vAlign w:val="bottom"/>
            <w:tcBorders>
              <w:bottom w:val="single" w:sz="8" w:color="CC092F"/>
            </w:tcBorders>
            <w:shd w:val="clear" w:color="auto" w:fill="B8B8B8"/>
          </w:tcPr>
          <w:p>
            <w:pPr>
              <w:ind w:left="20"/>
              <w:spacing w:after="0"/>
              <w:rPr>
                <w:sz w:val="20"/>
                <w:szCs w:val="20"/>
                <w:color w:val="auto"/>
              </w:rPr>
            </w:pPr>
            <w:r>
              <w:rPr>
                <w:rFonts w:ascii="Arial" w:cs="Arial" w:eastAsia="Arial" w:hAnsi="Arial"/>
                <w:sz w:val="15"/>
                <w:szCs w:val="15"/>
                <w:b w:val="1"/>
                <w:bCs w:val="1"/>
                <w:color w:val="FFFFFF"/>
              </w:rPr>
              <w:t>Name</w:t>
            </w:r>
          </w:p>
        </w:tc>
        <w:tc>
          <w:tcPr>
            <w:tcW w:w="1400" w:type="dxa"/>
            <w:vAlign w:val="bottom"/>
            <w:tcBorders>
              <w:bottom w:val="single" w:sz="8" w:color="CC092F"/>
            </w:tcBorders>
            <w:shd w:val="clear" w:color="auto" w:fill="B8B8B8"/>
          </w:tcPr>
          <w:p>
            <w:pPr>
              <w:jc w:val="center"/>
              <w:ind w:right="13"/>
              <w:spacing w:after="0"/>
              <w:rPr>
                <w:sz w:val="20"/>
                <w:szCs w:val="20"/>
                <w:color w:val="auto"/>
              </w:rPr>
            </w:pPr>
            <w:r>
              <w:rPr>
                <w:rFonts w:ascii="Arial" w:cs="Arial" w:eastAsia="Arial" w:hAnsi="Arial"/>
                <w:sz w:val="15"/>
                <w:szCs w:val="15"/>
                <w:b w:val="1"/>
                <w:bCs w:val="1"/>
                <w:color w:val="FFFFFF"/>
              </w:rPr>
              <w:t>Independent</w:t>
            </w:r>
          </w:p>
        </w:tc>
        <w:tc>
          <w:tcPr>
            <w:tcW w:w="100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5"/>
                <w:szCs w:val="15"/>
                <w:b w:val="1"/>
                <w:bCs w:val="1"/>
                <w:color w:val="FFFFFF"/>
                <w:w w:val="99"/>
              </w:rPr>
              <w:t>Audit</w:t>
            </w:r>
          </w:p>
        </w:tc>
        <w:tc>
          <w:tcPr>
            <w:tcW w:w="1880" w:type="dxa"/>
            <w:vAlign w:val="bottom"/>
            <w:tcBorders>
              <w:bottom w:val="single" w:sz="8" w:color="CC092F"/>
            </w:tcBorders>
            <w:shd w:val="clear" w:color="auto" w:fill="B8B8B8"/>
          </w:tcPr>
          <w:p>
            <w:pPr>
              <w:jc w:val="center"/>
              <w:ind w:right="156"/>
              <w:spacing w:after="0"/>
              <w:rPr>
                <w:sz w:val="20"/>
                <w:szCs w:val="20"/>
                <w:color w:val="auto"/>
              </w:rPr>
            </w:pPr>
            <w:r>
              <w:rPr>
                <w:rFonts w:ascii="Arial" w:cs="Arial" w:eastAsia="Arial" w:hAnsi="Arial"/>
                <w:sz w:val="15"/>
                <w:szCs w:val="15"/>
                <w:b w:val="1"/>
                <w:bCs w:val="1"/>
                <w:color w:val="FFFFFF"/>
                <w:w w:val="99"/>
              </w:rPr>
              <w:t>Compensation</w:t>
            </w:r>
          </w:p>
        </w:tc>
        <w:tc>
          <w:tcPr>
            <w:tcW w:w="780" w:type="dxa"/>
            <w:vAlign w:val="bottom"/>
            <w:tcBorders>
              <w:bottom w:val="single" w:sz="8" w:color="CC092F"/>
            </w:tcBorders>
            <w:shd w:val="clear" w:color="auto" w:fill="B8B8B8"/>
          </w:tcPr>
          <w:p>
            <w:pPr>
              <w:jc w:val="center"/>
              <w:ind w:right="194"/>
              <w:spacing w:after="0"/>
              <w:rPr>
                <w:sz w:val="20"/>
                <w:szCs w:val="20"/>
                <w:color w:val="auto"/>
              </w:rPr>
            </w:pPr>
            <w:r>
              <w:rPr>
                <w:rFonts w:ascii="Arial" w:cs="Arial" w:eastAsia="Arial" w:hAnsi="Arial"/>
                <w:sz w:val="15"/>
                <w:szCs w:val="15"/>
                <w:b w:val="1"/>
                <w:bCs w:val="1"/>
                <w:color w:val="FFFFFF"/>
                <w:w w:val="98"/>
              </w:rPr>
              <w:t>NESG</w:t>
            </w:r>
          </w:p>
        </w:tc>
        <w:tc>
          <w:tcPr>
            <w:tcW w:w="128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5"/>
                <w:szCs w:val="15"/>
                <w:b w:val="1"/>
                <w:bCs w:val="1"/>
                <w:color w:val="FFFFFF"/>
                <w:w w:val="99"/>
              </w:rPr>
              <w:t>Executive</w:t>
            </w:r>
          </w:p>
        </w:tc>
      </w:tr>
      <w:tr>
        <w:trPr>
          <w:trHeight w:val="235"/>
        </w:trPr>
        <w:tc>
          <w:tcPr>
            <w:tcW w:w="4900" w:type="dxa"/>
            <w:vAlign w:val="bottom"/>
          </w:tcPr>
          <w:p>
            <w:pPr>
              <w:ind w:left="20"/>
              <w:spacing w:after="0"/>
              <w:rPr>
                <w:sz w:val="20"/>
                <w:szCs w:val="20"/>
                <w:color w:val="auto"/>
              </w:rPr>
            </w:pPr>
            <w:r>
              <w:rPr>
                <w:rFonts w:ascii="Arial" w:cs="Arial" w:eastAsia="Arial" w:hAnsi="Arial"/>
                <w:sz w:val="18"/>
                <w:szCs w:val="18"/>
                <w:color w:val="242424"/>
              </w:rPr>
              <w:t>Diane M. Bryant</w:t>
            </w:r>
          </w:p>
        </w:tc>
        <w:tc>
          <w:tcPr>
            <w:tcW w:w="1400" w:type="dxa"/>
            <w:vAlign w:val="bottom"/>
          </w:tcPr>
          <w:p>
            <w:pPr>
              <w:jc w:val="center"/>
              <w:ind w:right="13"/>
              <w:spacing w:after="0"/>
              <w:rPr>
                <w:sz w:val="20"/>
                <w:szCs w:val="20"/>
                <w:color w:val="auto"/>
              </w:rPr>
            </w:pPr>
            <w:r>
              <w:rPr>
                <w:rFonts w:ascii="Arial" w:cs="Arial" w:eastAsia="Arial" w:hAnsi="Arial"/>
                <w:sz w:val="18"/>
                <w:szCs w:val="18"/>
                <w:color w:val="CC092F"/>
                <w:w w:val="99"/>
              </w:rPr>
              <w:t>ü</w:t>
            </w:r>
          </w:p>
        </w:tc>
        <w:tc>
          <w:tcPr>
            <w:tcW w:w="1000" w:type="dxa"/>
            <w:vAlign w:val="bottom"/>
          </w:tcPr>
          <w:p>
            <w:pPr>
              <w:spacing w:after="0"/>
              <w:rPr>
                <w:sz w:val="20"/>
                <w:szCs w:val="20"/>
                <w:color w:val="auto"/>
              </w:rPr>
            </w:pPr>
          </w:p>
        </w:tc>
        <w:tc>
          <w:tcPr>
            <w:tcW w:w="1880" w:type="dxa"/>
            <w:vAlign w:val="bottom"/>
          </w:tcPr>
          <w:p>
            <w:pPr>
              <w:jc w:val="center"/>
              <w:ind w:right="136"/>
              <w:spacing w:after="0"/>
              <w:rPr>
                <w:sz w:val="20"/>
                <w:szCs w:val="20"/>
                <w:color w:val="auto"/>
              </w:rPr>
            </w:pPr>
            <w:r>
              <w:rPr>
                <w:rFonts w:ascii="Arial" w:cs="Arial" w:eastAsia="Arial" w:hAnsi="Arial"/>
                <w:sz w:val="18"/>
                <w:szCs w:val="18"/>
                <w:color w:val="CC092F"/>
                <w:w w:val="99"/>
              </w:rPr>
              <w:t>u</w:t>
            </w: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8"/>
        </w:trPr>
        <w:tc>
          <w:tcPr>
            <w:tcW w:w="4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5"/>
        </w:trPr>
        <w:tc>
          <w:tcPr>
            <w:tcW w:w="490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8"/>
                <w:szCs w:val="18"/>
                <w:color w:val="242424"/>
              </w:rPr>
              <w:t>Gayla J. Delly</w:t>
            </w:r>
          </w:p>
        </w:tc>
        <w:tc>
          <w:tcPr>
            <w:tcW w:w="1400" w:type="dxa"/>
            <w:vAlign w:val="bottom"/>
            <w:tcBorders>
              <w:bottom w:val="single" w:sz="8" w:color="EAEAEA"/>
            </w:tcBorders>
            <w:shd w:val="clear" w:color="auto" w:fill="EAEAEA"/>
          </w:tcPr>
          <w:p>
            <w:pPr>
              <w:jc w:val="center"/>
              <w:ind w:right="13"/>
              <w:spacing w:after="0"/>
              <w:rPr>
                <w:sz w:val="20"/>
                <w:szCs w:val="20"/>
                <w:color w:val="auto"/>
              </w:rPr>
            </w:pPr>
            <w:r>
              <w:rPr>
                <w:rFonts w:ascii="Arial" w:cs="Arial" w:eastAsia="Arial" w:hAnsi="Arial"/>
                <w:sz w:val="18"/>
                <w:szCs w:val="18"/>
                <w:color w:val="CC092F"/>
                <w:w w:val="99"/>
              </w:rPr>
              <w:t>ü</w:t>
            </w:r>
          </w:p>
        </w:tc>
        <w:tc>
          <w:tcPr>
            <w:tcW w:w="10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8"/>
                <w:szCs w:val="18"/>
                <w:color w:val="CC092F"/>
                <w:w w:val="99"/>
              </w:rPr>
              <w:t>u</w:t>
            </w:r>
          </w:p>
        </w:tc>
        <w:tc>
          <w:tcPr>
            <w:tcW w:w="188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jc w:val="center"/>
              <w:ind w:right="194"/>
              <w:spacing w:after="0"/>
              <w:rPr>
                <w:sz w:val="20"/>
                <w:szCs w:val="20"/>
                <w:color w:val="auto"/>
              </w:rPr>
            </w:pPr>
            <w:r>
              <w:rPr>
                <w:rFonts w:ascii="Arial" w:cs="Arial" w:eastAsia="Arial" w:hAnsi="Arial"/>
                <w:sz w:val="18"/>
                <w:szCs w:val="18"/>
                <w:color w:val="CC092F"/>
                <w:w w:val="99"/>
              </w:rPr>
              <w:t>u</w:t>
            </w:r>
          </w:p>
        </w:tc>
        <w:tc>
          <w:tcPr>
            <w:tcW w:w="1280" w:type="dxa"/>
            <w:vAlign w:val="bottom"/>
            <w:tcBorders>
              <w:bottom w:val="single" w:sz="8" w:color="EAEAEA"/>
            </w:tcBorders>
            <w:shd w:val="clear" w:color="auto" w:fill="EAEAEA"/>
          </w:tcPr>
          <w:p>
            <w:pPr>
              <w:spacing w:after="0"/>
              <w:rPr>
                <w:sz w:val="21"/>
                <w:szCs w:val="21"/>
                <w:color w:val="auto"/>
              </w:rPr>
            </w:pPr>
          </w:p>
        </w:tc>
      </w:tr>
      <w:tr>
        <w:trPr>
          <w:trHeight w:val="238"/>
        </w:trPr>
        <w:tc>
          <w:tcPr>
            <w:tcW w:w="4900" w:type="dxa"/>
            <w:vAlign w:val="bottom"/>
          </w:tcPr>
          <w:p>
            <w:pPr>
              <w:ind w:left="20"/>
              <w:spacing w:after="0"/>
              <w:rPr>
                <w:sz w:val="20"/>
                <w:szCs w:val="20"/>
                <w:color w:val="auto"/>
              </w:rPr>
            </w:pPr>
            <w:r>
              <w:rPr>
                <w:rFonts w:ascii="Arial" w:cs="Arial" w:eastAsia="Arial" w:hAnsi="Arial"/>
                <w:sz w:val="18"/>
                <w:szCs w:val="18"/>
                <w:color w:val="242424"/>
              </w:rPr>
              <w:t>Raul J. Fernandez</w:t>
            </w:r>
          </w:p>
        </w:tc>
        <w:tc>
          <w:tcPr>
            <w:tcW w:w="1400" w:type="dxa"/>
            <w:vAlign w:val="bottom"/>
          </w:tcPr>
          <w:p>
            <w:pPr>
              <w:jc w:val="center"/>
              <w:ind w:right="13"/>
              <w:spacing w:after="0"/>
              <w:rPr>
                <w:sz w:val="20"/>
                <w:szCs w:val="20"/>
                <w:color w:val="auto"/>
              </w:rPr>
            </w:pPr>
            <w:r>
              <w:rPr>
                <w:rFonts w:ascii="Arial" w:cs="Arial" w:eastAsia="Arial" w:hAnsi="Arial"/>
                <w:sz w:val="18"/>
                <w:szCs w:val="18"/>
                <w:color w:val="CC092F"/>
                <w:w w:val="99"/>
              </w:rPr>
              <w:t>ü</w:t>
            </w:r>
          </w:p>
        </w:tc>
        <w:tc>
          <w:tcPr>
            <w:tcW w:w="1000" w:type="dxa"/>
            <w:vAlign w:val="bottom"/>
          </w:tcPr>
          <w:p>
            <w:pPr>
              <w:jc w:val="center"/>
              <w:spacing w:after="0"/>
              <w:rPr>
                <w:sz w:val="20"/>
                <w:szCs w:val="20"/>
                <w:color w:val="auto"/>
              </w:rPr>
            </w:pPr>
            <w:r>
              <w:rPr>
                <w:rFonts w:ascii="Arial" w:cs="Arial" w:eastAsia="Arial" w:hAnsi="Arial"/>
                <w:sz w:val="18"/>
                <w:szCs w:val="18"/>
                <w:color w:val="CC092F"/>
                <w:w w:val="99"/>
              </w:rPr>
              <w:t>u</w:t>
            </w:r>
          </w:p>
        </w:tc>
        <w:tc>
          <w:tcPr>
            <w:tcW w:w="1880" w:type="dxa"/>
            <w:vAlign w:val="bottom"/>
          </w:tcPr>
          <w:p>
            <w:pPr>
              <w:spacing w:after="0"/>
              <w:rPr>
                <w:sz w:val="20"/>
                <w:szCs w:val="20"/>
                <w:color w:val="auto"/>
              </w:rPr>
            </w:pPr>
          </w:p>
        </w:tc>
        <w:tc>
          <w:tcPr>
            <w:tcW w:w="780" w:type="dxa"/>
            <w:vAlign w:val="bottom"/>
          </w:tcPr>
          <w:p>
            <w:pPr>
              <w:jc w:val="center"/>
              <w:ind w:right="194"/>
              <w:spacing w:after="0"/>
              <w:rPr>
                <w:sz w:val="20"/>
                <w:szCs w:val="20"/>
                <w:color w:val="auto"/>
              </w:rPr>
            </w:pPr>
            <w:r>
              <w:rPr>
                <w:rFonts w:ascii="Arial" w:cs="Arial" w:eastAsia="Arial" w:hAnsi="Arial"/>
                <w:sz w:val="18"/>
                <w:szCs w:val="18"/>
                <w:color w:val="CC092F"/>
                <w:w w:val="99"/>
              </w:rPr>
              <w:t>u</w:t>
            </w:r>
          </w:p>
        </w:tc>
        <w:tc>
          <w:tcPr>
            <w:tcW w:w="1280" w:type="dxa"/>
            <w:vAlign w:val="bottom"/>
          </w:tcPr>
          <w:p>
            <w:pPr>
              <w:spacing w:after="0"/>
              <w:rPr>
                <w:sz w:val="20"/>
                <w:szCs w:val="20"/>
                <w:color w:val="auto"/>
              </w:rPr>
            </w:pPr>
          </w:p>
        </w:tc>
      </w:tr>
      <w:tr>
        <w:trPr>
          <w:trHeight w:val="28"/>
        </w:trPr>
        <w:tc>
          <w:tcPr>
            <w:tcW w:w="4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5"/>
        </w:trPr>
        <w:tc>
          <w:tcPr>
            <w:tcW w:w="490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8"/>
                <w:szCs w:val="18"/>
                <w:color w:val="242424"/>
              </w:rPr>
              <w:t>Eddy W. Hartenstein (Lead Independent Director)</w:t>
            </w:r>
          </w:p>
        </w:tc>
        <w:tc>
          <w:tcPr>
            <w:tcW w:w="1400" w:type="dxa"/>
            <w:vAlign w:val="bottom"/>
            <w:tcBorders>
              <w:bottom w:val="single" w:sz="8" w:color="EAEAEA"/>
            </w:tcBorders>
            <w:shd w:val="clear" w:color="auto" w:fill="EAEAEA"/>
          </w:tcPr>
          <w:p>
            <w:pPr>
              <w:jc w:val="center"/>
              <w:ind w:right="13"/>
              <w:spacing w:after="0"/>
              <w:rPr>
                <w:sz w:val="20"/>
                <w:szCs w:val="20"/>
                <w:color w:val="auto"/>
              </w:rPr>
            </w:pPr>
            <w:r>
              <w:rPr>
                <w:rFonts w:ascii="Arial" w:cs="Arial" w:eastAsia="Arial" w:hAnsi="Arial"/>
                <w:sz w:val="18"/>
                <w:szCs w:val="18"/>
                <w:color w:val="CC092F"/>
                <w:w w:val="99"/>
              </w:rPr>
              <w:t>ü</w:t>
            </w:r>
          </w:p>
        </w:tc>
        <w:tc>
          <w:tcPr>
            <w:tcW w:w="1000" w:type="dxa"/>
            <w:vAlign w:val="bottom"/>
            <w:tcBorders>
              <w:bottom w:val="single" w:sz="8" w:color="EAEAEA"/>
            </w:tcBorders>
            <w:shd w:val="clear" w:color="auto" w:fill="EAEAEA"/>
          </w:tcPr>
          <w:p>
            <w:pPr>
              <w:spacing w:after="0"/>
              <w:rPr>
                <w:sz w:val="21"/>
                <w:szCs w:val="21"/>
                <w:color w:val="auto"/>
              </w:rPr>
            </w:pPr>
          </w:p>
        </w:tc>
        <w:tc>
          <w:tcPr>
            <w:tcW w:w="1880" w:type="dxa"/>
            <w:vAlign w:val="bottom"/>
            <w:tcBorders>
              <w:bottom w:val="single" w:sz="8" w:color="EAEAEA"/>
            </w:tcBorders>
            <w:shd w:val="clear" w:color="auto" w:fill="EAEAEA"/>
          </w:tcPr>
          <w:p>
            <w:pPr>
              <w:jc w:val="center"/>
              <w:ind w:right="136"/>
              <w:spacing w:after="0"/>
              <w:rPr>
                <w:sz w:val="20"/>
                <w:szCs w:val="20"/>
                <w:color w:val="auto"/>
              </w:rPr>
            </w:pPr>
            <w:r>
              <w:rPr>
                <w:rFonts w:ascii="Arial" w:cs="Arial" w:eastAsia="Arial" w:hAnsi="Arial"/>
                <w:sz w:val="18"/>
                <w:szCs w:val="18"/>
                <w:color w:val="CC092F"/>
                <w:w w:val="99"/>
              </w:rPr>
              <w:t>u</w:t>
            </w:r>
          </w:p>
        </w:tc>
        <w:tc>
          <w:tcPr>
            <w:tcW w:w="780" w:type="dxa"/>
            <w:vAlign w:val="bottom"/>
            <w:tcBorders>
              <w:bottom w:val="single" w:sz="8" w:color="EAEAEA"/>
            </w:tcBorders>
            <w:shd w:val="clear" w:color="auto" w:fill="EAEAEA"/>
          </w:tcPr>
          <w:p>
            <w:pPr>
              <w:jc w:val="center"/>
              <w:ind w:right="194"/>
              <w:spacing w:after="0"/>
              <w:rPr>
                <w:sz w:val="20"/>
                <w:szCs w:val="20"/>
                <w:color w:val="auto"/>
              </w:rPr>
            </w:pPr>
            <w:r>
              <w:rPr>
                <w:rFonts w:ascii="Arial" w:cs="Arial" w:eastAsia="Arial" w:hAnsi="Arial"/>
                <w:sz w:val="18"/>
                <w:szCs w:val="18"/>
                <w:color w:val="CC092F"/>
              </w:rPr>
              <w:t>v</w:t>
            </w:r>
          </w:p>
        </w:tc>
        <w:tc>
          <w:tcPr>
            <w:tcW w:w="128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8"/>
                <w:szCs w:val="18"/>
                <w:color w:val="CC092F"/>
                <w:w w:val="79"/>
              </w:rPr>
              <w:t>u</w:t>
            </w:r>
          </w:p>
        </w:tc>
      </w:tr>
      <w:tr>
        <w:trPr>
          <w:trHeight w:val="238"/>
        </w:trPr>
        <w:tc>
          <w:tcPr>
            <w:tcW w:w="4900" w:type="dxa"/>
            <w:vAlign w:val="bottom"/>
          </w:tcPr>
          <w:p>
            <w:pPr>
              <w:ind w:left="20"/>
              <w:spacing w:after="0"/>
              <w:rPr>
                <w:sz w:val="20"/>
                <w:szCs w:val="20"/>
                <w:color w:val="auto"/>
              </w:rPr>
            </w:pPr>
            <w:r>
              <w:rPr>
                <w:rFonts w:ascii="Arial" w:cs="Arial" w:eastAsia="Arial" w:hAnsi="Arial"/>
                <w:sz w:val="18"/>
                <w:szCs w:val="18"/>
                <w:color w:val="242424"/>
              </w:rPr>
              <w:t>Check Kian Low</w:t>
            </w:r>
          </w:p>
        </w:tc>
        <w:tc>
          <w:tcPr>
            <w:tcW w:w="1400" w:type="dxa"/>
            <w:vAlign w:val="bottom"/>
          </w:tcPr>
          <w:p>
            <w:pPr>
              <w:jc w:val="center"/>
              <w:ind w:right="13"/>
              <w:spacing w:after="0"/>
              <w:rPr>
                <w:sz w:val="20"/>
                <w:szCs w:val="20"/>
                <w:color w:val="auto"/>
              </w:rPr>
            </w:pPr>
            <w:r>
              <w:rPr>
                <w:rFonts w:ascii="Arial" w:cs="Arial" w:eastAsia="Arial" w:hAnsi="Arial"/>
                <w:sz w:val="18"/>
                <w:szCs w:val="18"/>
                <w:color w:val="CC092F"/>
                <w:w w:val="99"/>
              </w:rPr>
              <w:t>ü</w:t>
            </w:r>
          </w:p>
        </w:tc>
        <w:tc>
          <w:tcPr>
            <w:tcW w:w="1000" w:type="dxa"/>
            <w:vAlign w:val="bottom"/>
          </w:tcPr>
          <w:p>
            <w:pPr>
              <w:spacing w:after="0"/>
              <w:rPr>
                <w:sz w:val="20"/>
                <w:szCs w:val="20"/>
                <w:color w:val="auto"/>
              </w:rPr>
            </w:pPr>
          </w:p>
        </w:tc>
        <w:tc>
          <w:tcPr>
            <w:tcW w:w="1880" w:type="dxa"/>
            <w:vAlign w:val="bottom"/>
          </w:tcPr>
          <w:p>
            <w:pPr>
              <w:jc w:val="center"/>
              <w:ind w:right="136"/>
              <w:spacing w:after="0"/>
              <w:rPr>
                <w:sz w:val="20"/>
                <w:szCs w:val="20"/>
                <w:color w:val="auto"/>
              </w:rPr>
            </w:pPr>
            <w:r>
              <w:rPr>
                <w:rFonts w:ascii="Arial" w:cs="Arial" w:eastAsia="Arial" w:hAnsi="Arial"/>
                <w:sz w:val="18"/>
                <w:szCs w:val="18"/>
                <w:color w:val="CC092F"/>
                <w:w w:val="99"/>
              </w:rPr>
              <w:t>u</w:t>
            </w:r>
          </w:p>
        </w:tc>
        <w:tc>
          <w:tcPr>
            <w:tcW w:w="780" w:type="dxa"/>
            <w:vAlign w:val="bottom"/>
          </w:tcPr>
          <w:p>
            <w:pPr>
              <w:jc w:val="center"/>
              <w:ind w:right="194"/>
              <w:spacing w:after="0"/>
              <w:rPr>
                <w:sz w:val="20"/>
                <w:szCs w:val="20"/>
                <w:color w:val="auto"/>
              </w:rPr>
            </w:pPr>
            <w:r>
              <w:rPr>
                <w:rFonts w:ascii="Arial" w:cs="Arial" w:eastAsia="Arial" w:hAnsi="Arial"/>
                <w:sz w:val="18"/>
                <w:szCs w:val="18"/>
                <w:color w:val="CC092F"/>
                <w:w w:val="99"/>
              </w:rPr>
              <w:t>u</w:t>
            </w:r>
          </w:p>
        </w:tc>
        <w:tc>
          <w:tcPr>
            <w:tcW w:w="1280" w:type="dxa"/>
            <w:vAlign w:val="bottom"/>
          </w:tcPr>
          <w:p>
            <w:pPr>
              <w:spacing w:after="0"/>
              <w:rPr>
                <w:sz w:val="20"/>
                <w:szCs w:val="20"/>
                <w:color w:val="auto"/>
              </w:rPr>
            </w:pPr>
          </w:p>
        </w:tc>
      </w:tr>
      <w:tr>
        <w:trPr>
          <w:trHeight w:val="28"/>
        </w:trPr>
        <w:tc>
          <w:tcPr>
            <w:tcW w:w="4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5"/>
        </w:trPr>
        <w:tc>
          <w:tcPr>
            <w:tcW w:w="490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8"/>
                <w:szCs w:val="18"/>
                <w:color w:val="242424"/>
              </w:rPr>
              <w:t>Justine F. Page</w:t>
            </w:r>
          </w:p>
        </w:tc>
        <w:tc>
          <w:tcPr>
            <w:tcW w:w="1400" w:type="dxa"/>
            <w:vAlign w:val="bottom"/>
            <w:tcBorders>
              <w:bottom w:val="single" w:sz="8" w:color="EAEAEA"/>
            </w:tcBorders>
            <w:shd w:val="clear" w:color="auto" w:fill="EAEAEA"/>
          </w:tcPr>
          <w:p>
            <w:pPr>
              <w:jc w:val="center"/>
              <w:ind w:right="13"/>
              <w:spacing w:after="0"/>
              <w:rPr>
                <w:sz w:val="20"/>
                <w:szCs w:val="20"/>
                <w:color w:val="auto"/>
              </w:rPr>
            </w:pPr>
            <w:r>
              <w:rPr>
                <w:rFonts w:ascii="Arial" w:cs="Arial" w:eastAsia="Arial" w:hAnsi="Arial"/>
                <w:sz w:val="18"/>
                <w:szCs w:val="18"/>
                <w:color w:val="CC092F"/>
                <w:w w:val="99"/>
              </w:rPr>
              <w:t>ü</w:t>
            </w:r>
          </w:p>
        </w:tc>
        <w:tc>
          <w:tcPr>
            <w:tcW w:w="10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8"/>
                <w:szCs w:val="18"/>
                <w:color w:val="CC092F"/>
              </w:rPr>
              <w:t>v</w:t>
            </w:r>
          </w:p>
        </w:tc>
        <w:tc>
          <w:tcPr>
            <w:tcW w:w="188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spacing w:after="0"/>
              <w:rPr>
                <w:sz w:val="21"/>
                <w:szCs w:val="21"/>
                <w:color w:val="auto"/>
              </w:rPr>
            </w:pPr>
          </w:p>
        </w:tc>
        <w:tc>
          <w:tcPr>
            <w:tcW w:w="128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8"/>
                <w:szCs w:val="18"/>
                <w:color w:val="CC092F"/>
                <w:w w:val="79"/>
              </w:rPr>
              <w:t>u</w:t>
            </w:r>
          </w:p>
        </w:tc>
      </w:tr>
      <w:tr>
        <w:trPr>
          <w:trHeight w:val="238"/>
        </w:trPr>
        <w:tc>
          <w:tcPr>
            <w:tcW w:w="4900" w:type="dxa"/>
            <w:vAlign w:val="bottom"/>
          </w:tcPr>
          <w:p>
            <w:pPr>
              <w:ind w:left="20"/>
              <w:spacing w:after="0"/>
              <w:rPr>
                <w:sz w:val="20"/>
                <w:szCs w:val="20"/>
                <w:color w:val="auto"/>
              </w:rPr>
            </w:pPr>
            <w:r>
              <w:rPr>
                <w:rFonts w:ascii="Arial" w:cs="Arial" w:eastAsia="Arial" w:hAnsi="Arial"/>
                <w:sz w:val="18"/>
                <w:szCs w:val="18"/>
                <w:color w:val="242424"/>
              </w:rPr>
              <w:t>Henry Samueli, Ph.D. (Chairman of the Board)</w:t>
            </w:r>
          </w:p>
        </w:tc>
        <w:tc>
          <w:tcPr>
            <w:tcW w:w="1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CC092F"/>
                <w:w w:val="88"/>
              </w:rPr>
              <w:t>v</w:t>
            </w:r>
          </w:p>
        </w:tc>
      </w:tr>
      <w:tr>
        <w:trPr>
          <w:trHeight w:val="28"/>
        </w:trPr>
        <w:tc>
          <w:tcPr>
            <w:tcW w:w="4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5"/>
        </w:trPr>
        <w:tc>
          <w:tcPr>
            <w:tcW w:w="490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8"/>
                <w:szCs w:val="18"/>
                <w:color w:val="242424"/>
              </w:rPr>
              <w:t>Hock E. Tan (President &amp; Chief Executive Officer)</w:t>
            </w:r>
          </w:p>
        </w:tc>
        <w:tc>
          <w:tcPr>
            <w:tcW w:w="1400" w:type="dxa"/>
            <w:vAlign w:val="bottom"/>
            <w:tcBorders>
              <w:bottom w:val="single" w:sz="8" w:color="EAEAEA"/>
            </w:tcBorders>
            <w:shd w:val="clear" w:color="auto" w:fill="EAEAEA"/>
          </w:tcPr>
          <w:p>
            <w:pPr>
              <w:spacing w:after="0"/>
              <w:rPr>
                <w:sz w:val="21"/>
                <w:szCs w:val="21"/>
                <w:color w:val="auto"/>
              </w:rPr>
            </w:pPr>
          </w:p>
        </w:tc>
        <w:tc>
          <w:tcPr>
            <w:tcW w:w="1000" w:type="dxa"/>
            <w:vAlign w:val="bottom"/>
            <w:tcBorders>
              <w:bottom w:val="single" w:sz="8" w:color="EAEAEA"/>
            </w:tcBorders>
            <w:shd w:val="clear" w:color="auto" w:fill="EAEAEA"/>
          </w:tcPr>
          <w:p>
            <w:pPr>
              <w:spacing w:after="0"/>
              <w:rPr>
                <w:sz w:val="21"/>
                <w:szCs w:val="21"/>
                <w:color w:val="auto"/>
              </w:rPr>
            </w:pPr>
          </w:p>
        </w:tc>
        <w:tc>
          <w:tcPr>
            <w:tcW w:w="188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spacing w:after="0"/>
              <w:rPr>
                <w:sz w:val="21"/>
                <w:szCs w:val="21"/>
                <w:color w:val="auto"/>
              </w:rPr>
            </w:pPr>
          </w:p>
        </w:tc>
        <w:tc>
          <w:tcPr>
            <w:tcW w:w="128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8"/>
                <w:szCs w:val="18"/>
                <w:color w:val="CC092F"/>
                <w:w w:val="79"/>
              </w:rPr>
              <w:t>u</w:t>
            </w:r>
          </w:p>
        </w:tc>
      </w:tr>
      <w:tr>
        <w:trPr>
          <w:trHeight w:val="238"/>
        </w:trPr>
        <w:tc>
          <w:tcPr>
            <w:tcW w:w="4900" w:type="dxa"/>
            <w:vAlign w:val="bottom"/>
          </w:tcPr>
          <w:p>
            <w:pPr>
              <w:ind w:left="20"/>
              <w:spacing w:after="0"/>
              <w:rPr>
                <w:sz w:val="20"/>
                <w:szCs w:val="20"/>
                <w:color w:val="auto"/>
              </w:rPr>
            </w:pPr>
            <w:r>
              <w:rPr>
                <w:rFonts w:ascii="Arial" w:cs="Arial" w:eastAsia="Arial" w:hAnsi="Arial"/>
                <w:sz w:val="18"/>
                <w:szCs w:val="18"/>
                <w:color w:val="242424"/>
              </w:rPr>
              <w:t>Harry L. You</w:t>
            </w:r>
          </w:p>
        </w:tc>
        <w:tc>
          <w:tcPr>
            <w:tcW w:w="1400" w:type="dxa"/>
            <w:vAlign w:val="bottom"/>
          </w:tcPr>
          <w:p>
            <w:pPr>
              <w:jc w:val="center"/>
              <w:ind w:right="13"/>
              <w:spacing w:after="0"/>
              <w:rPr>
                <w:sz w:val="20"/>
                <w:szCs w:val="20"/>
                <w:color w:val="auto"/>
              </w:rPr>
            </w:pPr>
            <w:r>
              <w:rPr>
                <w:rFonts w:ascii="Arial" w:cs="Arial" w:eastAsia="Arial" w:hAnsi="Arial"/>
                <w:sz w:val="18"/>
                <w:szCs w:val="18"/>
                <w:color w:val="CC092F"/>
                <w:w w:val="99"/>
              </w:rPr>
              <w:t>ü</w:t>
            </w:r>
          </w:p>
        </w:tc>
        <w:tc>
          <w:tcPr>
            <w:tcW w:w="1000" w:type="dxa"/>
            <w:vAlign w:val="bottom"/>
          </w:tcPr>
          <w:p>
            <w:pPr>
              <w:jc w:val="center"/>
              <w:spacing w:after="0"/>
              <w:rPr>
                <w:sz w:val="20"/>
                <w:szCs w:val="20"/>
                <w:color w:val="auto"/>
              </w:rPr>
            </w:pPr>
            <w:r>
              <w:rPr>
                <w:rFonts w:ascii="Arial" w:cs="Arial" w:eastAsia="Arial" w:hAnsi="Arial"/>
                <w:sz w:val="18"/>
                <w:szCs w:val="18"/>
                <w:color w:val="CC092F"/>
                <w:w w:val="99"/>
              </w:rPr>
              <w:t>u</w:t>
            </w:r>
          </w:p>
        </w:tc>
        <w:tc>
          <w:tcPr>
            <w:tcW w:w="1880" w:type="dxa"/>
            <w:vAlign w:val="bottom"/>
          </w:tcPr>
          <w:p>
            <w:pPr>
              <w:jc w:val="center"/>
              <w:ind w:right="156"/>
              <w:spacing w:after="0"/>
              <w:rPr>
                <w:sz w:val="20"/>
                <w:szCs w:val="20"/>
                <w:color w:val="auto"/>
              </w:rPr>
            </w:pPr>
            <w:r>
              <w:rPr>
                <w:rFonts w:ascii="Arial" w:cs="Arial" w:eastAsia="Arial" w:hAnsi="Arial"/>
                <w:sz w:val="18"/>
                <w:szCs w:val="18"/>
                <w:color w:val="CC092F"/>
                <w:w w:val="88"/>
              </w:rPr>
              <w:t>v</w:t>
            </w:r>
          </w:p>
        </w:tc>
        <w:tc>
          <w:tcPr>
            <w:tcW w:w="7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CC092F"/>
                <w:w w:val="79"/>
              </w:rPr>
              <w:t>u</w:t>
            </w:r>
          </w:p>
        </w:tc>
      </w:tr>
      <w:tr>
        <w:trPr>
          <w:trHeight w:val="351"/>
        </w:trPr>
        <w:tc>
          <w:tcPr>
            <w:tcW w:w="4900" w:type="dxa"/>
            <w:vAlign w:val="bottom"/>
          </w:tcPr>
          <w:p>
            <w:pPr>
              <w:spacing w:after="0"/>
              <w:rPr>
                <w:sz w:val="20"/>
                <w:szCs w:val="20"/>
                <w:color w:val="auto"/>
              </w:rPr>
            </w:pPr>
            <w:r>
              <w:rPr>
                <w:rFonts w:ascii="Arial" w:cs="Arial" w:eastAsia="Arial" w:hAnsi="Arial"/>
                <w:sz w:val="14"/>
                <w:szCs w:val="14"/>
                <w:color w:val="CC092F"/>
              </w:rPr>
              <w:t xml:space="preserve">u </w:t>
            </w:r>
            <w:r>
              <w:rPr>
                <w:rFonts w:ascii="Arial" w:cs="Arial" w:eastAsia="Arial" w:hAnsi="Arial"/>
                <w:sz w:val="15"/>
                <w:szCs w:val="15"/>
                <w:color w:val="242424"/>
              </w:rPr>
              <w:t>Member</w:t>
            </w:r>
            <w:r>
              <w:rPr>
                <w:rFonts w:ascii="Arial" w:cs="Arial" w:eastAsia="Arial" w:hAnsi="Arial"/>
                <w:sz w:val="14"/>
                <w:szCs w:val="14"/>
                <w:color w:val="CC092F"/>
              </w:rPr>
              <w:t xml:space="preserve"> </w:t>
            </w:r>
            <w:r>
              <w:rPr>
                <w:rFonts w:ascii="Arial" w:cs="Arial" w:eastAsia="Arial" w:hAnsi="Arial"/>
                <w:sz w:val="19"/>
                <w:szCs w:val="19"/>
                <w:color w:val="CC092F"/>
              </w:rPr>
              <w:t>v</w:t>
            </w:r>
            <w:r>
              <w:rPr>
                <w:rFonts w:ascii="Arial" w:cs="Arial" w:eastAsia="Arial" w:hAnsi="Arial"/>
                <w:sz w:val="14"/>
                <w:szCs w:val="14"/>
                <w:color w:val="CC092F"/>
              </w:rPr>
              <w:t xml:space="preserve"> </w:t>
            </w:r>
            <w:r>
              <w:rPr>
                <w:rFonts w:ascii="Arial" w:cs="Arial" w:eastAsia="Arial" w:hAnsi="Arial"/>
                <w:sz w:val="15"/>
                <w:szCs w:val="15"/>
                <w:color w:val="242424"/>
              </w:rPr>
              <w:t>Chairperson</w:t>
            </w: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-1861820</wp:posOffset>
            </wp:positionV>
            <wp:extent cx="3197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97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5973445" cy="4105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73445" cy="410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242424"/>
        </w:rPr>
        <w:t>Board Diversity Matrix</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2640" w:type="dxa"/>
            <w:vAlign w:val="bottom"/>
            <w:tcBorders>
              <w:top w:val="single" w:sz="8" w:color="CC092F"/>
            </w:tcBorders>
            <w:shd w:val="clear" w:color="auto" w:fill="B8B8B8"/>
          </w:tcPr>
          <w:p>
            <w:pPr>
              <w:ind w:left="20"/>
              <w:spacing w:after="0"/>
              <w:rPr>
                <w:sz w:val="20"/>
                <w:szCs w:val="20"/>
                <w:color w:val="auto"/>
              </w:rPr>
            </w:pPr>
            <w:r>
              <w:rPr>
                <w:rFonts w:ascii="Arial" w:cs="Arial" w:eastAsia="Arial" w:hAnsi="Arial"/>
                <w:sz w:val="16"/>
                <w:szCs w:val="16"/>
                <w:b w:val="1"/>
                <w:bCs w:val="1"/>
                <w:color w:val="FFFFFF"/>
              </w:rPr>
              <w:t>Total Number of Directors</w:t>
            </w:r>
          </w:p>
        </w:tc>
        <w:tc>
          <w:tcPr>
            <w:tcW w:w="980" w:type="dxa"/>
            <w:vAlign w:val="bottom"/>
            <w:tcBorders>
              <w:top w:val="single" w:sz="8" w:color="CC092F"/>
            </w:tcBorders>
            <w:shd w:val="clear" w:color="auto" w:fill="B8B8B8"/>
          </w:tcPr>
          <w:p>
            <w:pPr>
              <w:spacing w:after="0"/>
              <w:rPr>
                <w:sz w:val="24"/>
                <w:szCs w:val="24"/>
                <w:color w:val="auto"/>
              </w:rPr>
            </w:pPr>
          </w:p>
        </w:tc>
        <w:tc>
          <w:tcPr>
            <w:tcW w:w="720" w:type="dxa"/>
            <w:vAlign w:val="bottom"/>
            <w:tcBorders>
              <w:top w:val="single" w:sz="8" w:color="CC092F"/>
            </w:tcBorders>
            <w:shd w:val="clear" w:color="auto" w:fill="B8B8B8"/>
          </w:tcPr>
          <w:p>
            <w:pPr>
              <w:spacing w:after="0"/>
              <w:rPr>
                <w:sz w:val="24"/>
                <w:szCs w:val="24"/>
                <w:color w:val="auto"/>
              </w:rPr>
            </w:pPr>
          </w:p>
        </w:tc>
        <w:tc>
          <w:tcPr>
            <w:tcW w:w="1180" w:type="dxa"/>
            <w:vAlign w:val="bottom"/>
            <w:tcBorders>
              <w:top w:val="single" w:sz="8" w:color="CC092F"/>
            </w:tcBorders>
            <w:shd w:val="clear" w:color="auto" w:fill="B8B8B8"/>
          </w:tcPr>
          <w:p>
            <w:pPr>
              <w:jc w:val="center"/>
              <w:ind w:right="681"/>
              <w:spacing w:after="0"/>
              <w:rPr>
                <w:sz w:val="20"/>
                <w:szCs w:val="20"/>
                <w:color w:val="auto"/>
              </w:rPr>
            </w:pPr>
            <w:r>
              <w:rPr>
                <w:rFonts w:ascii="Arial" w:cs="Arial" w:eastAsia="Arial" w:hAnsi="Arial"/>
                <w:sz w:val="16"/>
                <w:szCs w:val="16"/>
                <w:b w:val="1"/>
                <w:bCs w:val="1"/>
                <w:color w:val="FFFFFF"/>
              </w:rPr>
              <w:t>9</w:t>
            </w:r>
          </w:p>
        </w:tc>
        <w:tc>
          <w:tcPr>
            <w:tcW w:w="940" w:type="dxa"/>
            <w:vAlign w:val="bottom"/>
            <w:tcBorders>
              <w:top w:val="single" w:sz="8" w:color="CC092F"/>
            </w:tcBorders>
            <w:shd w:val="clear" w:color="auto" w:fill="B8B8B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40" w:type="dxa"/>
            <w:vAlign w:val="bottom"/>
            <w:vMerge w:val="restart"/>
            <w:shd w:val="clear" w:color="auto" w:fill="B8B8B8"/>
          </w:tcPr>
          <w:p>
            <w:pPr>
              <w:ind w:left="20"/>
              <w:spacing w:after="0"/>
              <w:rPr>
                <w:sz w:val="20"/>
                <w:szCs w:val="20"/>
                <w:color w:val="auto"/>
              </w:rPr>
            </w:pPr>
            <w:r>
              <w:rPr>
                <w:rFonts w:ascii="Arial" w:cs="Arial" w:eastAsia="Arial" w:hAnsi="Arial"/>
                <w:sz w:val="16"/>
                <w:szCs w:val="16"/>
                <w:b w:val="1"/>
                <w:bCs w:val="1"/>
                <w:color w:val="FFFFFF"/>
              </w:rPr>
              <w:t>Gender Diversity</w:t>
            </w:r>
          </w:p>
        </w:tc>
        <w:tc>
          <w:tcPr>
            <w:tcW w:w="980" w:type="dxa"/>
            <w:vAlign w:val="bottom"/>
            <w:vMerge w:val="restart"/>
            <w:shd w:val="clear" w:color="auto" w:fill="B8B8B8"/>
          </w:tcPr>
          <w:p>
            <w:pPr>
              <w:ind w:left="200"/>
              <w:spacing w:after="0"/>
              <w:rPr>
                <w:sz w:val="20"/>
                <w:szCs w:val="20"/>
                <w:color w:val="auto"/>
              </w:rPr>
            </w:pPr>
            <w:r>
              <w:rPr>
                <w:rFonts w:ascii="Arial" w:cs="Arial" w:eastAsia="Arial" w:hAnsi="Arial"/>
                <w:sz w:val="16"/>
                <w:szCs w:val="16"/>
                <w:b w:val="1"/>
                <w:bCs w:val="1"/>
                <w:color w:val="FFFFFF"/>
              </w:rPr>
              <w:t>Female</w:t>
            </w:r>
          </w:p>
        </w:tc>
        <w:tc>
          <w:tcPr>
            <w:tcW w:w="720" w:type="dxa"/>
            <w:vAlign w:val="bottom"/>
            <w:vMerge w:val="restart"/>
            <w:shd w:val="clear" w:color="auto" w:fill="B8B8B8"/>
          </w:tcPr>
          <w:p>
            <w:pPr>
              <w:ind w:left="260"/>
              <w:spacing w:after="0"/>
              <w:rPr>
                <w:sz w:val="20"/>
                <w:szCs w:val="20"/>
                <w:color w:val="auto"/>
              </w:rPr>
            </w:pPr>
            <w:r>
              <w:rPr>
                <w:rFonts w:ascii="Arial" w:cs="Arial" w:eastAsia="Arial" w:hAnsi="Arial"/>
                <w:sz w:val="16"/>
                <w:szCs w:val="16"/>
                <w:b w:val="1"/>
                <w:bCs w:val="1"/>
                <w:color w:val="FFFFFF"/>
              </w:rPr>
              <w:t>Male</w:t>
            </w:r>
          </w:p>
        </w:tc>
        <w:tc>
          <w:tcPr>
            <w:tcW w:w="1180" w:type="dxa"/>
            <w:vAlign w:val="bottom"/>
            <w:vMerge w:val="restart"/>
            <w:shd w:val="clear" w:color="auto" w:fill="B8B8B8"/>
          </w:tcPr>
          <w:p>
            <w:pPr>
              <w:jc w:val="center"/>
              <w:ind w:left="21"/>
              <w:spacing w:after="0"/>
              <w:rPr>
                <w:sz w:val="20"/>
                <w:szCs w:val="20"/>
                <w:color w:val="auto"/>
              </w:rPr>
            </w:pPr>
            <w:r>
              <w:rPr>
                <w:rFonts w:ascii="Arial" w:cs="Arial" w:eastAsia="Arial" w:hAnsi="Arial"/>
                <w:sz w:val="16"/>
                <w:szCs w:val="16"/>
                <w:b w:val="1"/>
                <w:bCs w:val="1"/>
                <w:color w:val="FFFFFF"/>
                <w:w w:val="97"/>
              </w:rPr>
              <w:t>Non-Binary</w:t>
            </w:r>
          </w:p>
        </w:tc>
        <w:tc>
          <w:tcPr>
            <w:tcW w:w="940" w:type="dxa"/>
            <w:vAlign w:val="bottom"/>
            <w:shd w:val="clear" w:color="auto" w:fill="B8B8B8"/>
          </w:tcPr>
          <w:p>
            <w:pPr>
              <w:jc w:val="center"/>
              <w:spacing w:after="0"/>
              <w:rPr>
                <w:sz w:val="20"/>
                <w:szCs w:val="20"/>
                <w:color w:val="auto"/>
              </w:rPr>
            </w:pPr>
            <w:r>
              <w:rPr>
                <w:rFonts w:ascii="Arial" w:cs="Arial" w:eastAsia="Arial" w:hAnsi="Arial"/>
                <w:sz w:val="16"/>
                <w:szCs w:val="16"/>
                <w:b w:val="1"/>
                <w:bCs w:val="1"/>
                <w:color w:val="FFFFFF"/>
                <w:w w:val="98"/>
              </w:rPr>
              <w:t>Did Not</w:t>
            </w:r>
          </w:p>
        </w:tc>
        <w:tc>
          <w:tcPr>
            <w:tcW w:w="0" w:type="dxa"/>
            <w:vAlign w:val="bottom"/>
          </w:tcPr>
          <w:p>
            <w:pPr>
              <w:spacing w:after="0"/>
              <w:rPr>
                <w:sz w:val="1"/>
                <w:szCs w:val="1"/>
                <w:color w:val="auto"/>
              </w:rPr>
            </w:pPr>
          </w:p>
        </w:tc>
      </w:tr>
      <w:tr>
        <w:trPr>
          <w:trHeight w:val="128"/>
        </w:trPr>
        <w:tc>
          <w:tcPr>
            <w:tcW w:w="2640" w:type="dxa"/>
            <w:vAlign w:val="bottom"/>
            <w:vMerge w:val="continue"/>
            <w:shd w:val="clear" w:color="auto" w:fill="B8B8B8"/>
          </w:tcPr>
          <w:p>
            <w:pPr>
              <w:spacing w:after="0"/>
              <w:rPr>
                <w:sz w:val="11"/>
                <w:szCs w:val="11"/>
                <w:color w:val="auto"/>
              </w:rPr>
            </w:pPr>
          </w:p>
        </w:tc>
        <w:tc>
          <w:tcPr>
            <w:tcW w:w="980" w:type="dxa"/>
            <w:vAlign w:val="bottom"/>
            <w:vMerge w:val="continue"/>
            <w:shd w:val="clear" w:color="auto" w:fill="B8B8B8"/>
          </w:tcPr>
          <w:p>
            <w:pPr>
              <w:spacing w:after="0"/>
              <w:rPr>
                <w:sz w:val="11"/>
                <w:szCs w:val="11"/>
                <w:color w:val="auto"/>
              </w:rPr>
            </w:pPr>
          </w:p>
        </w:tc>
        <w:tc>
          <w:tcPr>
            <w:tcW w:w="720" w:type="dxa"/>
            <w:vAlign w:val="bottom"/>
            <w:vMerge w:val="continue"/>
            <w:shd w:val="clear" w:color="auto" w:fill="B8B8B8"/>
          </w:tcPr>
          <w:p>
            <w:pPr>
              <w:spacing w:after="0"/>
              <w:rPr>
                <w:sz w:val="11"/>
                <w:szCs w:val="11"/>
                <w:color w:val="auto"/>
              </w:rPr>
            </w:pPr>
          </w:p>
        </w:tc>
        <w:tc>
          <w:tcPr>
            <w:tcW w:w="1180" w:type="dxa"/>
            <w:vAlign w:val="bottom"/>
            <w:vMerge w:val="continue"/>
            <w:shd w:val="clear" w:color="auto" w:fill="B8B8B8"/>
          </w:tcPr>
          <w:p>
            <w:pPr>
              <w:spacing w:after="0"/>
              <w:rPr>
                <w:sz w:val="11"/>
                <w:szCs w:val="11"/>
                <w:color w:val="auto"/>
              </w:rPr>
            </w:pPr>
          </w:p>
        </w:tc>
        <w:tc>
          <w:tcPr>
            <w:tcW w:w="940" w:type="dxa"/>
            <w:vAlign w:val="bottom"/>
            <w:vMerge w:val="restart"/>
            <w:shd w:val="clear" w:color="auto" w:fill="B8B8B8"/>
          </w:tcPr>
          <w:p>
            <w:pPr>
              <w:jc w:val="center"/>
              <w:ind w:right="1"/>
              <w:spacing w:after="0"/>
              <w:rPr>
                <w:sz w:val="20"/>
                <w:szCs w:val="20"/>
                <w:color w:val="auto"/>
              </w:rPr>
            </w:pPr>
            <w:r>
              <w:rPr>
                <w:rFonts w:ascii="Arial" w:cs="Arial" w:eastAsia="Arial" w:hAnsi="Arial"/>
                <w:sz w:val="16"/>
                <w:szCs w:val="16"/>
                <w:b w:val="1"/>
                <w:bCs w:val="1"/>
                <w:color w:val="FFFFFF"/>
              </w:rPr>
              <w:t>Disclose</w:t>
            </w:r>
          </w:p>
        </w:tc>
        <w:tc>
          <w:tcPr>
            <w:tcW w:w="0" w:type="dxa"/>
            <w:vAlign w:val="bottom"/>
          </w:tcPr>
          <w:p>
            <w:pPr>
              <w:spacing w:after="0"/>
              <w:rPr>
                <w:sz w:val="1"/>
                <w:szCs w:val="1"/>
                <w:color w:val="auto"/>
              </w:rPr>
            </w:pPr>
          </w:p>
        </w:tc>
      </w:tr>
      <w:tr>
        <w:trPr>
          <w:trHeight w:val="91"/>
        </w:trPr>
        <w:tc>
          <w:tcPr>
            <w:tcW w:w="2640" w:type="dxa"/>
            <w:vAlign w:val="bottom"/>
            <w:tcBorders>
              <w:bottom w:val="single" w:sz="8" w:color="CC092F"/>
            </w:tcBorders>
            <w:shd w:val="clear" w:color="auto" w:fill="B8B8B8"/>
          </w:tcPr>
          <w:p>
            <w:pPr>
              <w:spacing w:after="0"/>
              <w:rPr>
                <w:sz w:val="7"/>
                <w:szCs w:val="7"/>
                <w:color w:val="auto"/>
              </w:rPr>
            </w:pPr>
          </w:p>
        </w:tc>
        <w:tc>
          <w:tcPr>
            <w:tcW w:w="980" w:type="dxa"/>
            <w:vAlign w:val="bottom"/>
            <w:tcBorders>
              <w:bottom w:val="single" w:sz="8" w:color="CC092F"/>
            </w:tcBorders>
            <w:shd w:val="clear" w:color="auto" w:fill="B8B8B8"/>
          </w:tcPr>
          <w:p>
            <w:pPr>
              <w:spacing w:after="0"/>
              <w:rPr>
                <w:sz w:val="7"/>
                <w:szCs w:val="7"/>
                <w:color w:val="auto"/>
              </w:rPr>
            </w:pPr>
          </w:p>
        </w:tc>
        <w:tc>
          <w:tcPr>
            <w:tcW w:w="720" w:type="dxa"/>
            <w:vAlign w:val="bottom"/>
            <w:tcBorders>
              <w:bottom w:val="single" w:sz="8" w:color="CC092F"/>
            </w:tcBorders>
            <w:shd w:val="clear" w:color="auto" w:fill="B8B8B8"/>
          </w:tcPr>
          <w:p>
            <w:pPr>
              <w:spacing w:after="0"/>
              <w:rPr>
                <w:sz w:val="7"/>
                <w:szCs w:val="7"/>
                <w:color w:val="auto"/>
              </w:rPr>
            </w:pPr>
          </w:p>
        </w:tc>
        <w:tc>
          <w:tcPr>
            <w:tcW w:w="1180" w:type="dxa"/>
            <w:vAlign w:val="bottom"/>
            <w:tcBorders>
              <w:bottom w:val="single" w:sz="8" w:color="CC092F"/>
            </w:tcBorders>
            <w:shd w:val="clear" w:color="auto" w:fill="B8B8B8"/>
          </w:tcPr>
          <w:p>
            <w:pPr>
              <w:spacing w:after="0"/>
              <w:rPr>
                <w:sz w:val="7"/>
                <w:szCs w:val="7"/>
                <w:color w:val="auto"/>
              </w:rPr>
            </w:pPr>
          </w:p>
        </w:tc>
        <w:tc>
          <w:tcPr>
            <w:tcW w:w="940" w:type="dxa"/>
            <w:vAlign w:val="bottom"/>
            <w:tcBorders>
              <w:bottom w:val="single" w:sz="8" w:color="CC092F"/>
            </w:tcBorders>
            <w:vMerge w:val="continue"/>
            <w:shd w:val="clear" w:color="auto" w:fill="B8B8B8"/>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640" w:type="dxa"/>
            <w:vAlign w:val="bottom"/>
            <w:tcBorders>
              <w:bottom w:val="single" w:sz="8" w:color="CC092F"/>
            </w:tcBorders>
          </w:tcPr>
          <w:p>
            <w:pPr>
              <w:ind w:left="100"/>
              <w:spacing w:after="0"/>
              <w:rPr>
                <w:sz w:val="20"/>
                <w:szCs w:val="20"/>
                <w:color w:val="auto"/>
              </w:rPr>
            </w:pPr>
            <w:r>
              <w:rPr>
                <w:rFonts w:ascii="Arial" w:cs="Arial" w:eastAsia="Arial" w:hAnsi="Arial"/>
                <w:sz w:val="16"/>
                <w:szCs w:val="16"/>
                <w:color w:val="242424"/>
              </w:rPr>
              <w:t>Directors</w:t>
            </w:r>
          </w:p>
        </w:tc>
        <w:tc>
          <w:tcPr>
            <w:tcW w:w="980" w:type="dxa"/>
            <w:vAlign w:val="bottom"/>
            <w:tcBorders>
              <w:bottom w:val="single" w:sz="8" w:color="CC092F"/>
            </w:tcBorders>
          </w:tcPr>
          <w:p>
            <w:pPr>
              <w:jc w:val="center"/>
              <w:spacing w:after="0"/>
              <w:rPr>
                <w:sz w:val="20"/>
                <w:szCs w:val="20"/>
                <w:color w:val="auto"/>
              </w:rPr>
            </w:pPr>
            <w:r>
              <w:rPr>
                <w:rFonts w:ascii="Arial" w:cs="Arial" w:eastAsia="Arial" w:hAnsi="Arial"/>
                <w:sz w:val="16"/>
                <w:szCs w:val="16"/>
                <w:color w:val="242424"/>
              </w:rPr>
              <w:t>3</w:t>
            </w:r>
          </w:p>
        </w:tc>
        <w:tc>
          <w:tcPr>
            <w:tcW w:w="720" w:type="dxa"/>
            <w:vAlign w:val="bottom"/>
            <w:tcBorders>
              <w:bottom w:val="single" w:sz="8" w:color="CC092F"/>
            </w:tcBorders>
          </w:tcPr>
          <w:p>
            <w:pPr>
              <w:jc w:val="center"/>
              <w:ind w:left="61"/>
              <w:spacing w:after="0"/>
              <w:rPr>
                <w:sz w:val="20"/>
                <w:szCs w:val="20"/>
                <w:color w:val="auto"/>
              </w:rPr>
            </w:pPr>
            <w:r>
              <w:rPr>
                <w:rFonts w:ascii="Arial" w:cs="Arial" w:eastAsia="Arial" w:hAnsi="Arial"/>
                <w:sz w:val="16"/>
                <w:szCs w:val="16"/>
                <w:color w:val="242424"/>
              </w:rPr>
              <w:t>6</w:t>
            </w:r>
          </w:p>
        </w:tc>
        <w:tc>
          <w:tcPr>
            <w:tcW w:w="1180" w:type="dxa"/>
            <w:vAlign w:val="bottom"/>
            <w:tcBorders>
              <w:bottom w:val="single" w:sz="8" w:color="CC092F"/>
            </w:tcBorders>
          </w:tcPr>
          <w:p>
            <w:pPr>
              <w:jc w:val="center"/>
              <w:ind w:left="21"/>
              <w:spacing w:after="0"/>
              <w:rPr>
                <w:sz w:val="20"/>
                <w:szCs w:val="20"/>
                <w:color w:val="auto"/>
              </w:rPr>
            </w:pPr>
            <w:r>
              <w:rPr>
                <w:rFonts w:ascii="Arial" w:cs="Arial" w:eastAsia="Arial" w:hAnsi="Arial"/>
                <w:sz w:val="16"/>
                <w:szCs w:val="16"/>
                <w:color w:val="242424"/>
                <w:w w:val="99"/>
              </w:rPr>
              <w:t>—</w:t>
            </w:r>
          </w:p>
        </w:tc>
        <w:tc>
          <w:tcPr>
            <w:tcW w:w="940" w:type="dxa"/>
            <w:vAlign w:val="bottom"/>
            <w:tcBorders>
              <w:bottom w:val="single" w:sz="8" w:color="CC092F"/>
            </w:tcBorders>
          </w:tcPr>
          <w:p>
            <w:pPr>
              <w:jc w:val="center"/>
              <w:spacing w:after="0"/>
              <w:rPr>
                <w:sz w:val="20"/>
                <w:szCs w:val="20"/>
                <w:color w:val="auto"/>
              </w:rPr>
            </w:pPr>
            <w:r>
              <w:rPr>
                <w:rFonts w:ascii="Arial" w:cs="Arial" w:eastAsia="Arial" w:hAnsi="Arial"/>
                <w:sz w:val="16"/>
                <w:szCs w:val="16"/>
                <w:color w:val="242424"/>
                <w:w w:val="99"/>
              </w:rPr>
              <w:t>—</w:t>
            </w:r>
          </w:p>
        </w:tc>
        <w:tc>
          <w:tcPr>
            <w:tcW w:w="0" w:type="dxa"/>
            <w:vAlign w:val="bottom"/>
          </w:tcPr>
          <w:p>
            <w:pPr>
              <w:spacing w:after="0"/>
              <w:rPr>
                <w:sz w:val="1"/>
                <w:szCs w:val="1"/>
                <w:color w:val="auto"/>
              </w:rPr>
            </w:pPr>
          </w:p>
        </w:tc>
      </w:tr>
      <w:tr>
        <w:trPr>
          <w:trHeight w:val="300"/>
        </w:trPr>
        <w:tc>
          <w:tcPr>
            <w:tcW w:w="2640" w:type="dxa"/>
            <w:vAlign w:val="bottom"/>
            <w:shd w:val="clear" w:color="auto" w:fill="B8B8B8"/>
          </w:tcPr>
          <w:p>
            <w:pPr>
              <w:ind w:left="20"/>
              <w:spacing w:after="0"/>
              <w:rPr>
                <w:sz w:val="20"/>
                <w:szCs w:val="20"/>
                <w:color w:val="auto"/>
              </w:rPr>
            </w:pPr>
            <w:r>
              <w:rPr>
                <w:rFonts w:ascii="Arial" w:cs="Arial" w:eastAsia="Arial" w:hAnsi="Arial"/>
                <w:sz w:val="16"/>
                <w:szCs w:val="16"/>
                <w:b w:val="1"/>
                <w:bCs w:val="1"/>
                <w:color w:val="FFFFFF"/>
              </w:rPr>
              <w:t>Demographic Background</w:t>
            </w:r>
          </w:p>
        </w:tc>
        <w:tc>
          <w:tcPr>
            <w:tcW w:w="980" w:type="dxa"/>
            <w:vAlign w:val="bottom"/>
            <w:shd w:val="clear" w:color="auto" w:fill="B8B8B8"/>
          </w:tcPr>
          <w:p>
            <w:pPr>
              <w:spacing w:after="0"/>
              <w:rPr>
                <w:sz w:val="24"/>
                <w:szCs w:val="24"/>
                <w:color w:val="auto"/>
              </w:rPr>
            </w:pPr>
          </w:p>
        </w:tc>
        <w:tc>
          <w:tcPr>
            <w:tcW w:w="720" w:type="dxa"/>
            <w:vAlign w:val="bottom"/>
            <w:shd w:val="clear" w:color="auto" w:fill="B8B8B8"/>
          </w:tcPr>
          <w:p>
            <w:pPr>
              <w:spacing w:after="0"/>
              <w:rPr>
                <w:sz w:val="24"/>
                <w:szCs w:val="24"/>
                <w:color w:val="auto"/>
              </w:rPr>
            </w:pPr>
          </w:p>
        </w:tc>
        <w:tc>
          <w:tcPr>
            <w:tcW w:w="1180" w:type="dxa"/>
            <w:vAlign w:val="bottom"/>
            <w:shd w:val="clear" w:color="auto" w:fill="B8B8B8"/>
          </w:tcPr>
          <w:p>
            <w:pPr>
              <w:spacing w:after="0"/>
              <w:rPr>
                <w:sz w:val="24"/>
                <w:szCs w:val="24"/>
                <w:color w:val="auto"/>
              </w:rPr>
            </w:pPr>
          </w:p>
        </w:tc>
        <w:tc>
          <w:tcPr>
            <w:tcW w:w="940" w:type="dxa"/>
            <w:vAlign w:val="bottom"/>
            <w:shd w:val="clear" w:color="auto" w:fill="B8B8B8"/>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640" w:type="dxa"/>
            <w:vAlign w:val="bottom"/>
            <w:tcBorders>
              <w:bottom w:val="single" w:sz="8" w:color="CC092F"/>
            </w:tcBorders>
            <w:shd w:val="clear" w:color="auto" w:fill="B8B8B8"/>
          </w:tcPr>
          <w:p>
            <w:pPr>
              <w:spacing w:after="0"/>
              <w:rPr>
                <w:sz w:val="8"/>
                <w:szCs w:val="8"/>
                <w:color w:val="auto"/>
              </w:rPr>
            </w:pPr>
          </w:p>
        </w:tc>
        <w:tc>
          <w:tcPr>
            <w:tcW w:w="980" w:type="dxa"/>
            <w:vAlign w:val="bottom"/>
            <w:tcBorders>
              <w:bottom w:val="single" w:sz="8" w:color="CC092F"/>
            </w:tcBorders>
            <w:shd w:val="clear" w:color="auto" w:fill="B8B8B8"/>
          </w:tcPr>
          <w:p>
            <w:pPr>
              <w:spacing w:after="0"/>
              <w:rPr>
                <w:sz w:val="8"/>
                <w:szCs w:val="8"/>
                <w:color w:val="auto"/>
              </w:rPr>
            </w:pPr>
          </w:p>
        </w:tc>
        <w:tc>
          <w:tcPr>
            <w:tcW w:w="720" w:type="dxa"/>
            <w:vAlign w:val="bottom"/>
            <w:tcBorders>
              <w:bottom w:val="single" w:sz="8" w:color="CC092F"/>
            </w:tcBorders>
            <w:shd w:val="clear" w:color="auto" w:fill="B8B8B8"/>
          </w:tcPr>
          <w:p>
            <w:pPr>
              <w:spacing w:after="0"/>
              <w:rPr>
                <w:sz w:val="8"/>
                <w:szCs w:val="8"/>
                <w:color w:val="auto"/>
              </w:rPr>
            </w:pPr>
          </w:p>
        </w:tc>
        <w:tc>
          <w:tcPr>
            <w:tcW w:w="1180" w:type="dxa"/>
            <w:vAlign w:val="bottom"/>
            <w:tcBorders>
              <w:bottom w:val="single" w:sz="8" w:color="CC092F"/>
            </w:tcBorders>
            <w:shd w:val="clear" w:color="auto" w:fill="B8B8B8"/>
          </w:tcPr>
          <w:p>
            <w:pPr>
              <w:spacing w:after="0"/>
              <w:rPr>
                <w:sz w:val="8"/>
                <w:szCs w:val="8"/>
                <w:color w:val="auto"/>
              </w:rPr>
            </w:pPr>
          </w:p>
        </w:tc>
        <w:tc>
          <w:tcPr>
            <w:tcW w:w="940" w:type="dxa"/>
            <w:vAlign w:val="bottom"/>
            <w:tcBorders>
              <w:bottom w:val="single" w:sz="8" w:color="CC092F"/>
            </w:tcBorders>
            <w:shd w:val="clear" w:color="auto" w:fill="B8B8B8"/>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640" w:type="dxa"/>
            <w:vAlign w:val="bottom"/>
          </w:tcPr>
          <w:p>
            <w:pPr>
              <w:ind w:left="100"/>
              <w:spacing w:after="0"/>
              <w:rPr>
                <w:sz w:val="20"/>
                <w:szCs w:val="20"/>
                <w:color w:val="auto"/>
              </w:rPr>
            </w:pPr>
            <w:r>
              <w:rPr>
                <w:rFonts w:ascii="Arial" w:cs="Arial" w:eastAsia="Arial" w:hAnsi="Arial"/>
                <w:sz w:val="16"/>
                <w:szCs w:val="16"/>
                <w:color w:val="242424"/>
              </w:rPr>
              <w:t>African American or Black</w:t>
            </w:r>
          </w:p>
        </w:tc>
        <w:tc>
          <w:tcPr>
            <w:tcW w:w="980" w:type="dxa"/>
            <w:vAlign w:val="bottom"/>
          </w:tcPr>
          <w:p>
            <w:pPr>
              <w:jc w:val="center"/>
              <w:spacing w:after="0"/>
              <w:rPr>
                <w:sz w:val="20"/>
                <w:szCs w:val="20"/>
                <w:color w:val="auto"/>
              </w:rPr>
            </w:pPr>
            <w:r>
              <w:rPr>
                <w:rFonts w:ascii="Arial" w:cs="Arial" w:eastAsia="Arial" w:hAnsi="Arial"/>
                <w:sz w:val="16"/>
                <w:szCs w:val="16"/>
                <w:color w:val="242424"/>
                <w:w w:val="99"/>
              </w:rPr>
              <w:t>—</w:t>
            </w:r>
          </w:p>
        </w:tc>
        <w:tc>
          <w:tcPr>
            <w:tcW w:w="720" w:type="dxa"/>
            <w:vAlign w:val="bottom"/>
          </w:tcPr>
          <w:p>
            <w:pPr>
              <w:jc w:val="center"/>
              <w:ind w:left="41"/>
              <w:spacing w:after="0"/>
              <w:rPr>
                <w:sz w:val="20"/>
                <w:szCs w:val="20"/>
                <w:color w:val="auto"/>
              </w:rPr>
            </w:pPr>
            <w:r>
              <w:rPr>
                <w:rFonts w:ascii="Arial" w:cs="Arial" w:eastAsia="Arial" w:hAnsi="Arial"/>
                <w:sz w:val="16"/>
                <w:szCs w:val="16"/>
                <w:color w:val="242424"/>
                <w:w w:val="99"/>
              </w:rPr>
              <w:t>—</w:t>
            </w:r>
          </w:p>
        </w:tc>
        <w:tc>
          <w:tcPr>
            <w:tcW w:w="1180" w:type="dxa"/>
            <w:vAlign w:val="bottom"/>
          </w:tcPr>
          <w:p>
            <w:pPr>
              <w:jc w:val="center"/>
              <w:ind w:left="21"/>
              <w:spacing w:after="0"/>
              <w:rPr>
                <w:sz w:val="20"/>
                <w:szCs w:val="20"/>
                <w:color w:val="auto"/>
              </w:rPr>
            </w:pPr>
            <w:r>
              <w:rPr>
                <w:rFonts w:ascii="Arial" w:cs="Arial" w:eastAsia="Arial" w:hAnsi="Arial"/>
                <w:sz w:val="16"/>
                <w:szCs w:val="16"/>
                <w:color w:val="242424"/>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242424"/>
                <w:w w:val="99"/>
              </w:rPr>
              <w:t>—</w:t>
            </w:r>
          </w:p>
        </w:tc>
        <w:tc>
          <w:tcPr>
            <w:tcW w:w="0" w:type="dxa"/>
            <w:vAlign w:val="bottom"/>
          </w:tcPr>
          <w:p>
            <w:pPr>
              <w:spacing w:after="0"/>
              <w:rPr>
                <w:sz w:val="1"/>
                <w:szCs w:val="1"/>
                <w:color w:val="auto"/>
              </w:rPr>
            </w:pPr>
          </w:p>
        </w:tc>
      </w:tr>
      <w:tr>
        <w:trPr>
          <w:trHeight w:val="234"/>
        </w:trPr>
        <w:tc>
          <w:tcPr>
            <w:tcW w:w="2640" w:type="dxa"/>
            <w:vAlign w:val="bottom"/>
            <w:shd w:val="clear" w:color="auto" w:fill="EAEAEA"/>
          </w:tcPr>
          <w:p>
            <w:pPr>
              <w:ind w:left="100"/>
              <w:spacing w:after="0"/>
              <w:rPr>
                <w:sz w:val="20"/>
                <w:szCs w:val="20"/>
                <w:color w:val="auto"/>
              </w:rPr>
            </w:pPr>
            <w:r>
              <w:rPr>
                <w:rFonts w:ascii="Arial" w:cs="Arial" w:eastAsia="Arial" w:hAnsi="Arial"/>
                <w:sz w:val="16"/>
                <w:szCs w:val="16"/>
                <w:color w:val="242424"/>
              </w:rPr>
              <w:t>Alaskan Native or Native American</w:t>
            </w:r>
          </w:p>
        </w:tc>
        <w:tc>
          <w:tcPr>
            <w:tcW w:w="98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9"/>
              </w:rPr>
              <w:t>—</w:t>
            </w:r>
          </w:p>
        </w:tc>
        <w:tc>
          <w:tcPr>
            <w:tcW w:w="720" w:type="dxa"/>
            <w:vAlign w:val="bottom"/>
            <w:shd w:val="clear" w:color="auto" w:fill="EAEAEA"/>
          </w:tcPr>
          <w:p>
            <w:pPr>
              <w:jc w:val="center"/>
              <w:ind w:left="41"/>
              <w:spacing w:after="0"/>
              <w:rPr>
                <w:sz w:val="20"/>
                <w:szCs w:val="20"/>
                <w:color w:val="auto"/>
              </w:rPr>
            </w:pPr>
            <w:r>
              <w:rPr>
                <w:rFonts w:ascii="Arial" w:cs="Arial" w:eastAsia="Arial" w:hAnsi="Arial"/>
                <w:sz w:val="16"/>
                <w:szCs w:val="16"/>
                <w:color w:val="242424"/>
                <w:w w:val="99"/>
              </w:rPr>
              <w:t>—</w:t>
            </w:r>
          </w:p>
        </w:tc>
        <w:tc>
          <w:tcPr>
            <w:tcW w:w="1180" w:type="dxa"/>
            <w:vAlign w:val="bottom"/>
            <w:shd w:val="clear" w:color="auto" w:fill="EAEAEA"/>
          </w:tcPr>
          <w:p>
            <w:pPr>
              <w:jc w:val="center"/>
              <w:ind w:left="21"/>
              <w:spacing w:after="0"/>
              <w:rPr>
                <w:sz w:val="20"/>
                <w:szCs w:val="20"/>
                <w:color w:val="auto"/>
              </w:rPr>
            </w:pPr>
            <w:r>
              <w:rPr>
                <w:rFonts w:ascii="Arial" w:cs="Arial" w:eastAsia="Arial" w:hAnsi="Arial"/>
                <w:sz w:val="16"/>
                <w:szCs w:val="16"/>
                <w:color w:val="242424"/>
                <w:w w:val="99"/>
              </w:rPr>
              <w:t>—</w:t>
            </w:r>
          </w:p>
        </w:tc>
        <w:tc>
          <w:tcPr>
            <w:tcW w:w="94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9"/>
              </w:rPr>
              <w:t>—</w:t>
            </w:r>
          </w:p>
        </w:tc>
        <w:tc>
          <w:tcPr>
            <w:tcW w:w="0" w:type="dxa"/>
            <w:vAlign w:val="bottom"/>
          </w:tcPr>
          <w:p>
            <w:pPr>
              <w:spacing w:after="0"/>
              <w:rPr>
                <w:sz w:val="1"/>
                <w:szCs w:val="1"/>
                <w:color w:val="auto"/>
              </w:rPr>
            </w:pPr>
          </w:p>
        </w:tc>
      </w:tr>
      <w:tr>
        <w:trPr>
          <w:trHeight w:val="216"/>
        </w:trPr>
        <w:tc>
          <w:tcPr>
            <w:tcW w:w="2640" w:type="dxa"/>
            <w:vAlign w:val="bottom"/>
          </w:tcPr>
          <w:p>
            <w:pPr>
              <w:ind w:left="100"/>
              <w:spacing w:after="0"/>
              <w:rPr>
                <w:sz w:val="20"/>
                <w:szCs w:val="20"/>
                <w:color w:val="auto"/>
              </w:rPr>
            </w:pPr>
            <w:r>
              <w:rPr>
                <w:rFonts w:ascii="Arial" w:cs="Arial" w:eastAsia="Arial" w:hAnsi="Arial"/>
                <w:sz w:val="16"/>
                <w:szCs w:val="16"/>
                <w:color w:val="242424"/>
              </w:rPr>
              <w:t>Asian</w:t>
            </w:r>
          </w:p>
        </w:tc>
        <w:tc>
          <w:tcPr>
            <w:tcW w:w="980" w:type="dxa"/>
            <w:vAlign w:val="bottom"/>
          </w:tcPr>
          <w:p>
            <w:pPr>
              <w:jc w:val="center"/>
              <w:spacing w:after="0"/>
              <w:rPr>
                <w:sz w:val="20"/>
                <w:szCs w:val="20"/>
                <w:color w:val="auto"/>
              </w:rPr>
            </w:pPr>
            <w:r>
              <w:rPr>
                <w:rFonts w:ascii="Arial" w:cs="Arial" w:eastAsia="Arial" w:hAnsi="Arial"/>
                <w:sz w:val="16"/>
                <w:szCs w:val="16"/>
                <w:color w:val="242424"/>
                <w:w w:val="99"/>
              </w:rPr>
              <w:t>—</w:t>
            </w:r>
          </w:p>
        </w:tc>
        <w:tc>
          <w:tcPr>
            <w:tcW w:w="720" w:type="dxa"/>
            <w:vAlign w:val="bottom"/>
          </w:tcPr>
          <w:p>
            <w:pPr>
              <w:jc w:val="center"/>
              <w:ind w:left="61"/>
              <w:spacing w:after="0"/>
              <w:rPr>
                <w:sz w:val="20"/>
                <w:szCs w:val="20"/>
                <w:color w:val="auto"/>
              </w:rPr>
            </w:pPr>
            <w:r>
              <w:rPr>
                <w:rFonts w:ascii="Arial" w:cs="Arial" w:eastAsia="Arial" w:hAnsi="Arial"/>
                <w:sz w:val="16"/>
                <w:szCs w:val="16"/>
                <w:color w:val="242424"/>
              </w:rPr>
              <w:t>3</w:t>
            </w:r>
          </w:p>
        </w:tc>
        <w:tc>
          <w:tcPr>
            <w:tcW w:w="1180" w:type="dxa"/>
            <w:vAlign w:val="bottom"/>
          </w:tcPr>
          <w:p>
            <w:pPr>
              <w:jc w:val="center"/>
              <w:ind w:left="21"/>
              <w:spacing w:after="0"/>
              <w:rPr>
                <w:sz w:val="20"/>
                <w:szCs w:val="20"/>
                <w:color w:val="auto"/>
              </w:rPr>
            </w:pPr>
            <w:r>
              <w:rPr>
                <w:rFonts w:ascii="Arial" w:cs="Arial" w:eastAsia="Arial" w:hAnsi="Arial"/>
                <w:sz w:val="16"/>
                <w:szCs w:val="16"/>
                <w:color w:val="242424"/>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242424"/>
                <w:w w:val="99"/>
              </w:rPr>
              <w:t>—</w:t>
            </w:r>
          </w:p>
        </w:tc>
        <w:tc>
          <w:tcPr>
            <w:tcW w:w="0" w:type="dxa"/>
            <w:vAlign w:val="bottom"/>
          </w:tcPr>
          <w:p>
            <w:pPr>
              <w:spacing w:after="0"/>
              <w:rPr>
                <w:sz w:val="1"/>
                <w:szCs w:val="1"/>
                <w:color w:val="auto"/>
              </w:rPr>
            </w:pPr>
          </w:p>
        </w:tc>
      </w:tr>
      <w:tr>
        <w:trPr>
          <w:trHeight w:val="248"/>
        </w:trPr>
        <w:tc>
          <w:tcPr>
            <w:tcW w:w="2640" w:type="dxa"/>
            <w:vAlign w:val="bottom"/>
            <w:shd w:val="clear" w:color="auto" w:fill="EAEAEA"/>
          </w:tcPr>
          <w:p>
            <w:pPr>
              <w:ind w:left="100"/>
              <w:spacing w:after="0"/>
              <w:rPr>
                <w:sz w:val="20"/>
                <w:szCs w:val="20"/>
                <w:color w:val="auto"/>
              </w:rPr>
            </w:pPr>
            <w:r>
              <w:rPr>
                <w:rFonts w:ascii="Arial" w:cs="Arial" w:eastAsia="Arial" w:hAnsi="Arial"/>
                <w:sz w:val="16"/>
                <w:szCs w:val="16"/>
                <w:color w:val="242424"/>
              </w:rPr>
              <w:t>Hispanic or Latinx</w:t>
            </w:r>
          </w:p>
        </w:tc>
        <w:tc>
          <w:tcPr>
            <w:tcW w:w="98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9"/>
              </w:rPr>
              <w:t>—</w:t>
            </w:r>
          </w:p>
        </w:tc>
        <w:tc>
          <w:tcPr>
            <w:tcW w:w="720" w:type="dxa"/>
            <w:vAlign w:val="bottom"/>
            <w:shd w:val="clear" w:color="auto" w:fill="EAEAEA"/>
          </w:tcPr>
          <w:p>
            <w:pPr>
              <w:jc w:val="center"/>
              <w:ind w:left="61"/>
              <w:spacing w:after="0"/>
              <w:rPr>
                <w:sz w:val="20"/>
                <w:szCs w:val="20"/>
                <w:color w:val="auto"/>
              </w:rPr>
            </w:pPr>
            <w:r>
              <w:rPr>
                <w:rFonts w:ascii="Arial" w:cs="Arial" w:eastAsia="Arial" w:hAnsi="Arial"/>
                <w:sz w:val="16"/>
                <w:szCs w:val="16"/>
                <w:color w:val="242424"/>
              </w:rPr>
              <w:t>1</w:t>
            </w:r>
          </w:p>
        </w:tc>
        <w:tc>
          <w:tcPr>
            <w:tcW w:w="1180" w:type="dxa"/>
            <w:vAlign w:val="bottom"/>
            <w:shd w:val="clear" w:color="auto" w:fill="EAEAEA"/>
          </w:tcPr>
          <w:p>
            <w:pPr>
              <w:jc w:val="center"/>
              <w:ind w:left="21"/>
              <w:spacing w:after="0"/>
              <w:rPr>
                <w:sz w:val="20"/>
                <w:szCs w:val="20"/>
                <w:color w:val="auto"/>
              </w:rPr>
            </w:pPr>
            <w:r>
              <w:rPr>
                <w:rFonts w:ascii="Arial" w:cs="Arial" w:eastAsia="Arial" w:hAnsi="Arial"/>
                <w:sz w:val="16"/>
                <w:szCs w:val="16"/>
                <w:color w:val="242424"/>
                <w:w w:val="99"/>
              </w:rPr>
              <w:t>—</w:t>
            </w:r>
          </w:p>
        </w:tc>
        <w:tc>
          <w:tcPr>
            <w:tcW w:w="94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9"/>
              </w:rPr>
              <w:t>—</w:t>
            </w:r>
          </w:p>
        </w:tc>
        <w:tc>
          <w:tcPr>
            <w:tcW w:w="0" w:type="dxa"/>
            <w:vAlign w:val="bottom"/>
          </w:tcPr>
          <w:p>
            <w:pPr>
              <w:spacing w:after="0"/>
              <w:rPr>
                <w:sz w:val="1"/>
                <w:szCs w:val="1"/>
                <w:color w:val="auto"/>
              </w:rPr>
            </w:pPr>
          </w:p>
        </w:tc>
      </w:tr>
      <w:tr>
        <w:trPr>
          <w:trHeight w:val="216"/>
        </w:trPr>
        <w:tc>
          <w:tcPr>
            <w:tcW w:w="2640" w:type="dxa"/>
            <w:vAlign w:val="bottom"/>
          </w:tcPr>
          <w:p>
            <w:pPr>
              <w:ind w:left="100"/>
              <w:spacing w:after="0"/>
              <w:rPr>
                <w:sz w:val="20"/>
                <w:szCs w:val="20"/>
                <w:color w:val="auto"/>
              </w:rPr>
            </w:pPr>
            <w:r>
              <w:rPr>
                <w:rFonts w:ascii="Arial" w:cs="Arial" w:eastAsia="Arial" w:hAnsi="Arial"/>
                <w:sz w:val="16"/>
                <w:szCs w:val="16"/>
                <w:color w:val="242424"/>
              </w:rPr>
              <w:t>White</w:t>
            </w:r>
          </w:p>
        </w:tc>
        <w:tc>
          <w:tcPr>
            <w:tcW w:w="980" w:type="dxa"/>
            <w:vAlign w:val="bottom"/>
          </w:tcPr>
          <w:p>
            <w:pPr>
              <w:jc w:val="center"/>
              <w:spacing w:after="0"/>
              <w:rPr>
                <w:sz w:val="20"/>
                <w:szCs w:val="20"/>
                <w:color w:val="auto"/>
              </w:rPr>
            </w:pPr>
            <w:r>
              <w:rPr>
                <w:rFonts w:ascii="Arial" w:cs="Arial" w:eastAsia="Arial" w:hAnsi="Arial"/>
                <w:sz w:val="16"/>
                <w:szCs w:val="16"/>
                <w:color w:val="242424"/>
              </w:rPr>
              <w:t>3</w:t>
            </w:r>
          </w:p>
        </w:tc>
        <w:tc>
          <w:tcPr>
            <w:tcW w:w="720" w:type="dxa"/>
            <w:vAlign w:val="bottom"/>
          </w:tcPr>
          <w:p>
            <w:pPr>
              <w:jc w:val="center"/>
              <w:ind w:left="61"/>
              <w:spacing w:after="0"/>
              <w:rPr>
                <w:sz w:val="20"/>
                <w:szCs w:val="20"/>
                <w:color w:val="auto"/>
              </w:rPr>
            </w:pPr>
            <w:r>
              <w:rPr>
                <w:rFonts w:ascii="Arial" w:cs="Arial" w:eastAsia="Arial" w:hAnsi="Arial"/>
                <w:sz w:val="16"/>
                <w:szCs w:val="16"/>
                <w:color w:val="242424"/>
              </w:rPr>
              <w:t>2</w:t>
            </w:r>
          </w:p>
        </w:tc>
        <w:tc>
          <w:tcPr>
            <w:tcW w:w="1180" w:type="dxa"/>
            <w:vAlign w:val="bottom"/>
          </w:tcPr>
          <w:p>
            <w:pPr>
              <w:jc w:val="center"/>
              <w:ind w:left="21"/>
              <w:spacing w:after="0"/>
              <w:rPr>
                <w:sz w:val="20"/>
                <w:szCs w:val="20"/>
                <w:color w:val="auto"/>
              </w:rPr>
            </w:pPr>
            <w:r>
              <w:rPr>
                <w:rFonts w:ascii="Arial" w:cs="Arial" w:eastAsia="Arial" w:hAnsi="Arial"/>
                <w:sz w:val="16"/>
                <w:szCs w:val="16"/>
                <w:color w:val="242424"/>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242424"/>
                <w:w w:val="99"/>
              </w:rPr>
              <w:t>—</w:t>
            </w:r>
          </w:p>
        </w:tc>
        <w:tc>
          <w:tcPr>
            <w:tcW w:w="0" w:type="dxa"/>
            <w:vAlign w:val="bottom"/>
          </w:tcPr>
          <w:p>
            <w:pPr>
              <w:spacing w:after="0"/>
              <w:rPr>
                <w:sz w:val="1"/>
                <w:szCs w:val="1"/>
                <w:color w:val="auto"/>
              </w:rPr>
            </w:pPr>
          </w:p>
        </w:tc>
      </w:tr>
      <w:tr>
        <w:trPr>
          <w:trHeight w:val="228"/>
        </w:trPr>
        <w:tc>
          <w:tcPr>
            <w:tcW w:w="2640" w:type="dxa"/>
            <w:vAlign w:val="bottom"/>
            <w:tcBorders>
              <w:bottom w:val="single" w:sz="8" w:color="CC092F"/>
            </w:tcBorders>
            <w:shd w:val="clear" w:color="auto" w:fill="EAEAEA"/>
          </w:tcPr>
          <w:p>
            <w:pPr>
              <w:ind w:left="100"/>
              <w:spacing w:after="0"/>
              <w:rPr>
                <w:sz w:val="20"/>
                <w:szCs w:val="20"/>
                <w:color w:val="auto"/>
              </w:rPr>
            </w:pPr>
            <w:r>
              <w:rPr>
                <w:rFonts w:ascii="Arial" w:cs="Arial" w:eastAsia="Arial" w:hAnsi="Arial"/>
                <w:sz w:val="16"/>
                <w:szCs w:val="16"/>
                <w:color w:val="242424"/>
              </w:rPr>
              <w:t>Two or More Races or Ethnicities</w:t>
            </w:r>
          </w:p>
        </w:tc>
        <w:tc>
          <w:tcPr>
            <w:tcW w:w="980" w:type="dxa"/>
            <w:vAlign w:val="bottom"/>
            <w:tcBorders>
              <w:bottom w:val="single" w:sz="8" w:color="CC092F"/>
            </w:tcBorders>
            <w:shd w:val="clear" w:color="auto" w:fill="EAEAEA"/>
          </w:tcPr>
          <w:p>
            <w:pPr>
              <w:jc w:val="center"/>
              <w:spacing w:after="0"/>
              <w:rPr>
                <w:sz w:val="20"/>
                <w:szCs w:val="20"/>
                <w:color w:val="auto"/>
              </w:rPr>
            </w:pPr>
            <w:r>
              <w:rPr>
                <w:rFonts w:ascii="Arial" w:cs="Arial" w:eastAsia="Arial" w:hAnsi="Arial"/>
                <w:sz w:val="16"/>
                <w:szCs w:val="16"/>
                <w:color w:val="242424"/>
                <w:w w:val="99"/>
              </w:rPr>
              <w:t>—</w:t>
            </w:r>
          </w:p>
        </w:tc>
        <w:tc>
          <w:tcPr>
            <w:tcW w:w="720" w:type="dxa"/>
            <w:vAlign w:val="bottom"/>
            <w:tcBorders>
              <w:bottom w:val="single" w:sz="8" w:color="CC092F"/>
            </w:tcBorders>
            <w:shd w:val="clear" w:color="auto" w:fill="EAEAEA"/>
          </w:tcPr>
          <w:p>
            <w:pPr>
              <w:jc w:val="center"/>
              <w:ind w:left="41"/>
              <w:spacing w:after="0"/>
              <w:rPr>
                <w:sz w:val="20"/>
                <w:szCs w:val="20"/>
                <w:color w:val="auto"/>
              </w:rPr>
            </w:pPr>
            <w:r>
              <w:rPr>
                <w:rFonts w:ascii="Arial" w:cs="Arial" w:eastAsia="Arial" w:hAnsi="Arial"/>
                <w:sz w:val="16"/>
                <w:szCs w:val="16"/>
                <w:color w:val="242424"/>
                <w:w w:val="99"/>
              </w:rPr>
              <w:t>—</w:t>
            </w:r>
          </w:p>
        </w:tc>
        <w:tc>
          <w:tcPr>
            <w:tcW w:w="1180" w:type="dxa"/>
            <w:vAlign w:val="bottom"/>
            <w:tcBorders>
              <w:bottom w:val="single" w:sz="8" w:color="CC092F"/>
            </w:tcBorders>
            <w:shd w:val="clear" w:color="auto" w:fill="EAEAEA"/>
          </w:tcPr>
          <w:p>
            <w:pPr>
              <w:jc w:val="center"/>
              <w:ind w:left="21"/>
              <w:spacing w:after="0"/>
              <w:rPr>
                <w:sz w:val="20"/>
                <w:szCs w:val="20"/>
                <w:color w:val="auto"/>
              </w:rPr>
            </w:pPr>
            <w:r>
              <w:rPr>
                <w:rFonts w:ascii="Arial" w:cs="Arial" w:eastAsia="Arial" w:hAnsi="Arial"/>
                <w:sz w:val="16"/>
                <w:szCs w:val="16"/>
                <w:color w:val="242424"/>
                <w:w w:val="99"/>
              </w:rPr>
              <w:t>—</w:t>
            </w:r>
          </w:p>
        </w:tc>
        <w:tc>
          <w:tcPr>
            <w:tcW w:w="940" w:type="dxa"/>
            <w:vAlign w:val="bottom"/>
            <w:tcBorders>
              <w:bottom w:val="single" w:sz="8" w:color="CC092F"/>
            </w:tcBorders>
            <w:shd w:val="clear" w:color="auto" w:fill="EAEAEA"/>
          </w:tcPr>
          <w:p>
            <w:pPr>
              <w:jc w:val="center"/>
              <w:spacing w:after="0"/>
              <w:rPr>
                <w:sz w:val="20"/>
                <w:szCs w:val="20"/>
                <w:color w:val="auto"/>
              </w:rPr>
            </w:pPr>
            <w:r>
              <w:rPr>
                <w:rFonts w:ascii="Arial" w:cs="Arial" w:eastAsia="Arial" w:hAnsi="Arial"/>
                <w:sz w:val="16"/>
                <w:szCs w:val="16"/>
                <w:color w:val="242424"/>
                <w:w w:val="99"/>
              </w:rPr>
              <w:t>—</w:t>
            </w:r>
          </w:p>
        </w:tc>
        <w:tc>
          <w:tcPr>
            <w:tcW w:w="0" w:type="dxa"/>
            <w:vAlign w:val="bottom"/>
          </w:tcPr>
          <w:p>
            <w:pPr>
              <w:spacing w:after="0"/>
              <w:rPr>
                <w:sz w:val="1"/>
                <w:szCs w:val="1"/>
                <w:color w:val="auto"/>
              </w:rPr>
            </w:pPr>
          </w:p>
        </w:tc>
      </w:tr>
      <w:tr>
        <w:trPr>
          <w:trHeight w:val="229"/>
        </w:trPr>
        <w:tc>
          <w:tcPr>
            <w:tcW w:w="2640" w:type="dxa"/>
            <w:vAlign w:val="bottom"/>
          </w:tcPr>
          <w:p>
            <w:pPr>
              <w:ind w:left="100"/>
              <w:spacing w:after="0"/>
              <w:rPr>
                <w:sz w:val="20"/>
                <w:szCs w:val="20"/>
                <w:color w:val="auto"/>
              </w:rPr>
            </w:pPr>
            <w:r>
              <w:rPr>
                <w:rFonts w:ascii="Arial" w:cs="Arial" w:eastAsia="Arial" w:hAnsi="Arial"/>
                <w:sz w:val="16"/>
                <w:szCs w:val="16"/>
                <w:color w:val="242424"/>
              </w:rPr>
              <w:t>LGBTQ+</w:t>
            </w: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center"/>
              <w:ind w:right="661"/>
              <w:spacing w:after="0"/>
              <w:rPr>
                <w:sz w:val="20"/>
                <w:szCs w:val="20"/>
                <w:color w:val="auto"/>
              </w:rPr>
            </w:pPr>
            <w:r>
              <w:rPr>
                <w:rFonts w:ascii="Arial" w:cs="Arial" w:eastAsia="Arial" w:hAnsi="Arial"/>
                <w:sz w:val="16"/>
                <w:szCs w:val="16"/>
                <w:color w:val="242424"/>
                <w:w w:val="99"/>
              </w:rPr>
              <w:t>—</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EAEAEA"/>
          </w:tcPr>
          <w:p>
            <w:pPr>
              <w:ind w:left="100"/>
              <w:spacing w:after="0"/>
              <w:rPr>
                <w:sz w:val="20"/>
                <w:szCs w:val="20"/>
                <w:color w:val="auto"/>
              </w:rPr>
            </w:pPr>
            <w:r>
              <w:rPr>
                <w:rFonts w:ascii="Arial" w:cs="Arial" w:eastAsia="Arial" w:hAnsi="Arial"/>
                <w:sz w:val="16"/>
                <w:szCs w:val="16"/>
                <w:color w:val="242424"/>
              </w:rPr>
              <w:t>Did Not Disclose</w:t>
            </w:r>
          </w:p>
        </w:tc>
        <w:tc>
          <w:tcPr>
            <w:tcW w:w="980" w:type="dxa"/>
            <w:vAlign w:val="bottom"/>
            <w:shd w:val="clear" w:color="auto" w:fill="EAEAEA"/>
          </w:tcPr>
          <w:p>
            <w:pPr>
              <w:spacing w:after="0"/>
              <w:rPr>
                <w:sz w:val="20"/>
                <w:szCs w:val="20"/>
                <w:color w:val="auto"/>
              </w:rPr>
            </w:pPr>
          </w:p>
        </w:tc>
        <w:tc>
          <w:tcPr>
            <w:tcW w:w="720" w:type="dxa"/>
            <w:vAlign w:val="bottom"/>
            <w:shd w:val="clear" w:color="auto" w:fill="EAEAEA"/>
          </w:tcPr>
          <w:p>
            <w:pPr>
              <w:spacing w:after="0"/>
              <w:rPr>
                <w:sz w:val="20"/>
                <w:szCs w:val="20"/>
                <w:color w:val="auto"/>
              </w:rPr>
            </w:pPr>
          </w:p>
        </w:tc>
        <w:tc>
          <w:tcPr>
            <w:tcW w:w="1180" w:type="dxa"/>
            <w:vAlign w:val="bottom"/>
            <w:shd w:val="clear" w:color="auto" w:fill="EAEAEA"/>
          </w:tcPr>
          <w:p>
            <w:pPr>
              <w:jc w:val="center"/>
              <w:ind w:right="661"/>
              <w:spacing w:after="0"/>
              <w:rPr>
                <w:sz w:val="20"/>
                <w:szCs w:val="20"/>
                <w:color w:val="auto"/>
              </w:rPr>
            </w:pPr>
            <w:r>
              <w:rPr>
                <w:rFonts w:ascii="Arial" w:cs="Arial" w:eastAsia="Arial" w:hAnsi="Arial"/>
                <w:sz w:val="16"/>
                <w:szCs w:val="16"/>
                <w:color w:val="242424"/>
                <w:w w:val="99"/>
              </w:rPr>
              <w:t>—</w:t>
            </w:r>
          </w:p>
        </w:tc>
        <w:tc>
          <w:tcPr>
            <w:tcW w:w="94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-1850390</wp:posOffset>
            </wp:positionV>
            <wp:extent cx="2423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3160" cy="825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-899795</wp:posOffset>
            </wp:positionV>
            <wp:extent cx="1261745" cy="1245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1745" cy="1245235"/>
                    </a:xfrm>
                    <a:prstGeom prst="rect">
                      <a:avLst/>
                    </a:prstGeom>
                    <a:noFill/>
                  </pic:spPr>
                </pic:pic>
              </a:graphicData>
            </a:graphic>
          </wp:anchor>
        </w:drawing>
      </w:r>
    </w:p>
    <w:p>
      <w:pPr>
        <w:sectPr>
          <w:pgSz w:w="11900" w:h="16838" w:orient="portrait"/>
          <w:cols w:equalWidth="0" w:num="1">
            <w:col w:w="11240"/>
          </w:cols>
          <w:pgMar w:left="320" w:top="1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80" w:hanging="274"/>
        <w:spacing w:after="0"/>
        <w:tabs>
          <w:tab w:leader="none" w:pos="280" w:val="left"/>
        </w:tabs>
        <w:numPr>
          <w:ilvl w:val="0"/>
          <w:numId w:val="5"/>
        </w:numPr>
        <w:rPr>
          <w:rFonts w:ascii="Arial" w:cs="Arial" w:eastAsia="Arial" w:hAnsi="Arial"/>
          <w:sz w:val="15"/>
          <w:szCs w:val="15"/>
          <w:color w:val="242424"/>
        </w:rPr>
      </w:pPr>
      <w:r>
        <w:rPr>
          <w:rFonts w:ascii="Arial" w:cs="Arial" w:eastAsia="Arial" w:hAnsi="Arial"/>
          <w:sz w:val="15"/>
          <w:szCs w:val="15"/>
          <w:color w:val="CC092F"/>
        </w:rPr>
        <w:t>2022 Proxy Statement</w:t>
      </w:r>
    </w:p>
    <w:p>
      <w:pPr>
        <w:sectPr>
          <w:pgSz w:w="11900" w:h="16838" w:orient="portrait"/>
          <w:cols w:equalWidth="0" w:num="1">
            <w:col w:w="11240"/>
          </w:cols>
          <w:pgMar w:left="320" w:top="181" w:right="3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6"/>
          <w:szCs w:val="16"/>
          <w:color w:val="CC092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Corporate Governance</w:t>
      </w:r>
    </w:p>
    <w:p>
      <w:pPr>
        <w:spacing w:after="0" w:line="188"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242424"/>
        </w:rPr>
        <w:t>We are committed to strong corporate governance and have designed our corporate governance framework to support the long-term interests of our stockholders, as well as our workforce, customers and communities. Some of our key governance practices include the following:</w:t>
      </w:r>
    </w:p>
    <w:p>
      <w:pPr>
        <w:sectPr>
          <w:pgSz w:w="11900" w:h="16838" w:orient="portrait"/>
          <w:cols w:equalWidth="0" w:num="1">
            <w:col w:w="11220"/>
          </w:cols>
          <w:pgMar w:left="320" w:top="181" w:right="359" w:bottom="1440" w:gutter="0" w:footer="0" w:header="0"/>
        </w:sectPr>
      </w:pPr>
    </w:p>
    <w:p>
      <w:pPr>
        <w:spacing w:after="0" w:line="113" w:lineRule="exact"/>
        <w:rPr>
          <w:sz w:val="20"/>
          <w:szCs w:val="20"/>
          <w:color w:val="auto"/>
        </w:rPr>
      </w:pPr>
    </w:p>
    <w:p>
      <w:pPr>
        <w:ind w:left="580" w:hanging="315"/>
        <w:spacing w:after="0"/>
        <w:tabs>
          <w:tab w:leader="none" w:pos="580" w:val="left"/>
        </w:tabs>
        <w:numPr>
          <w:ilvl w:val="0"/>
          <w:numId w:val="6"/>
        </w:numPr>
        <w:rPr>
          <w:rFonts w:ascii="Arial" w:cs="Arial" w:eastAsia="Arial" w:hAnsi="Arial"/>
          <w:sz w:val="21"/>
          <w:szCs w:val="21"/>
          <w:color w:val="CC092F"/>
        </w:rPr>
      </w:pPr>
      <w:r>
        <w:rPr>
          <w:rFonts w:ascii="Arial" w:cs="Arial" w:eastAsia="Arial" w:hAnsi="Arial"/>
          <w:sz w:val="16"/>
          <w:szCs w:val="16"/>
          <w:color w:val="242424"/>
        </w:rPr>
        <w:t>Proxy access</w:t>
      </w:r>
    </w:p>
    <w:p>
      <w:pPr>
        <w:spacing w:after="0" w:line="99" w:lineRule="exact"/>
        <w:rPr>
          <w:rFonts w:ascii="Arial" w:cs="Arial" w:eastAsia="Arial" w:hAnsi="Arial"/>
          <w:sz w:val="21"/>
          <w:szCs w:val="21"/>
          <w:color w:val="CC092F"/>
        </w:rPr>
      </w:pPr>
    </w:p>
    <w:p>
      <w:pPr>
        <w:ind w:left="580" w:hanging="315"/>
        <w:spacing w:after="0" w:line="183" w:lineRule="auto"/>
        <w:tabs>
          <w:tab w:leader="none" w:pos="580" w:val="left"/>
        </w:tabs>
        <w:numPr>
          <w:ilvl w:val="0"/>
          <w:numId w:val="6"/>
        </w:numPr>
        <w:rPr>
          <w:rFonts w:ascii="Arial" w:cs="Arial" w:eastAsia="Arial" w:hAnsi="Arial"/>
          <w:sz w:val="27"/>
          <w:szCs w:val="27"/>
          <w:color w:val="CC092F"/>
          <w:vertAlign w:val="subscript"/>
        </w:rPr>
      </w:pPr>
      <w:r>
        <w:rPr>
          <w:rFonts w:ascii="Arial" w:cs="Arial" w:eastAsia="Arial" w:hAnsi="Arial"/>
          <w:sz w:val="13"/>
          <w:szCs w:val="13"/>
          <w:color w:val="242424"/>
        </w:rPr>
        <w:t>Ability to call special meetings by two or more stockholders holding at least 10% of outstanding shares</w:t>
      </w:r>
    </w:p>
    <w:p>
      <w:pPr>
        <w:ind w:left="580" w:hanging="315"/>
        <w:spacing w:after="0" w:line="181" w:lineRule="auto"/>
        <w:tabs>
          <w:tab w:leader="none" w:pos="580" w:val="left"/>
        </w:tabs>
        <w:numPr>
          <w:ilvl w:val="0"/>
          <w:numId w:val="6"/>
        </w:numPr>
        <w:rPr>
          <w:rFonts w:ascii="Arial" w:cs="Arial" w:eastAsia="Arial" w:hAnsi="Arial"/>
          <w:sz w:val="29"/>
          <w:szCs w:val="29"/>
          <w:color w:val="CC092F"/>
          <w:vertAlign w:val="subscript"/>
        </w:rPr>
      </w:pPr>
      <w:r>
        <w:rPr>
          <w:rFonts w:ascii="Arial" w:cs="Arial" w:eastAsia="Arial" w:hAnsi="Arial"/>
          <w:sz w:val="13"/>
          <w:szCs w:val="13"/>
          <w:color w:val="242424"/>
        </w:rPr>
        <w:t>No supermajority voting requirements for bylaw amendments</w:t>
      </w:r>
    </w:p>
    <w:p>
      <w:pPr>
        <w:spacing w:after="0" w:line="182" w:lineRule="exact"/>
        <w:rPr>
          <w:rFonts w:ascii="Arial" w:cs="Arial" w:eastAsia="Arial" w:hAnsi="Arial"/>
          <w:sz w:val="29"/>
          <w:szCs w:val="29"/>
          <w:color w:val="CC092F"/>
          <w:vertAlign w:val="subscript"/>
        </w:rPr>
      </w:pPr>
    </w:p>
    <w:p>
      <w:pPr>
        <w:ind w:left="580" w:hanging="315"/>
        <w:spacing w:after="0"/>
        <w:tabs>
          <w:tab w:leader="none" w:pos="580" w:val="left"/>
        </w:tabs>
        <w:numPr>
          <w:ilvl w:val="0"/>
          <w:numId w:val="6"/>
        </w:numPr>
        <w:rPr>
          <w:rFonts w:ascii="Arial" w:cs="Arial" w:eastAsia="Arial" w:hAnsi="Arial"/>
          <w:sz w:val="21"/>
          <w:szCs w:val="21"/>
          <w:color w:val="CC092F"/>
        </w:rPr>
      </w:pPr>
      <w:r>
        <w:rPr>
          <w:rFonts w:ascii="Arial" w:cs="Arial" w:eastAsia="Arial" w:hAnsi="Arial"/>
          <w:sz w:val="16"/>
          <w:szCs w:val="16"/>
          <w:color w:val="242424"/>
        </w:rPr>
        <w:t>No “poison pill”</w:t>
      </w:r>
    </w:p>
    <w:p>
      <w:pPr>
        <w:spacing w:after="0" w:line="42" w:lineRule="exact"/>
        <w:rPr>
          <w:rFonts w:ascii="Arial" w:cs="Arial" w:eastAsia="Arial" w:hAnsi="Arial"/>
          <w:sz w:val="21"/>
          <w:szCs w:val="21"/>
          <w:color w:val="CC092F"/>
        </w:rPr>
      </w:pPr>
    </w:p>
    <w:p>
      <w:pPr>
        <w:ind w:left="580" w:hanging="315"/>
        <w:spacing w:after="0" w:line="185" w:lineRule="auto"/>
        <w:tabs>
          <w:tab w:leader="none" w:pos="580" w:val="left"/>
        </w:tabs>
        <w:numPr>
          <w:ilvl w:val="0"/>
          <w:numId w:val="6"/>
        </w:numPr>
        <w:rPr>
          <w:rFonts w:ascii="Arial" w:cs="Arial" w:eastAsia="Arial" w:hAnsi="Arial"/>
          <w:sz w:val="28"/>
          <w:szCs w:val="28"/>
          <w:color w:val="CC092F"/>
          <w:vertAlign w:val="subscript"/>
        </w:rPr>
      </w:pPr>
      <w:r>
        <w:rPr>
          <w:rFonts w:ascii="Arial" w:cs="Arial" w:eastAsia="Arial" w:hAnsi="Arial"/>
          <w:sz w:val="13"/>
          <w:szCs w:val="13"/>
          <w:color w:val="242424"/>
        </w:rPr>
        <w:t>Annual say-on-pay vote</w:t>
      </w:r>
    </w:p>
    <w:p>
      <w:pPr>
        <w:spacing w:after="0" w:line="56" w:lineRule="exact"/>
        <w:rPr>
          <w:rFonts w:ascii="Arial" w:cs="Arial" w:eastAsia="Arial" w:hAnsi="Arial"/>
          <w:sz w:val="28"/>
          <w:szCs w:val="28"/>
          <w:color w:val="CC092F"/>
          <w:vertAlign w:val="subscript"/>
        </w:rPr>
      </w:pPr>
    </w:p>
    <w:p>
      <w:pPr>
        <w:ind w:left="580" w:hanging="315"/>
        <w:spacing w:after="0" w:line="185" w:lineRule="auto"/>
        <w:tabs>
          <w:tab w:leader="none" w:pos="580" w:val="left"/>
        </w:tabs>
        <w:numPr>
          <w:ilvl w:val="0"/>
          <w:numId w:val="6"/>
        </w:numPr>
        <w:rPr>
          <w:rFonts w:ascii="Arial" w:cs="Arial" w:eastAsia="Arial" w:hAnsi="Arial"/>
          <w:sz w:val="28"/>
          <w:szCs w:val="28"/>
          <w:color w:val="CC092F"/>
          <w:vertAlign w:val="subscript"/>
        </w:rPr>
      </w:pPr>
      <w:r>
        <w:rPr>
          <w:rFonts w:ascii="Arial" w:cs="Arial" w:eastAsia="Arial" w:hAnsi="Arial"/>
          <w:sz w:val="13"/>
          <w:szCs w:val="13"/>
          <w:color w:val="242424"/>
        </w:rPr>
        <w:t>Anti-hedging and anti-pledging policy for employees and directors</w:t>
      </w:r>
    </w:p>
    <w:p>
      <w:pPr>
        <w:spacing w:after="0" w:line="56" w:lineRule="exact"/>
        <w:rPr>
          <w:rFonts w:ascii="Arial" w:cs="Arial" w:eastAsia="Arial" w:hAnsi="Arial"/>
          <w:sz w:val="28"/>
          <w:szCs w:val="28"/>
          <w:color w:val="CC092F"/>
          <w:vertAlign w:val="subscript"/>
        </w:rPr>
      </w:pPr>
    </w:p>
    <w:p>
      <w:pPr>
        <w:ind w:left="580" w:hanging="315"/>
        <w:spacing w:after="0" w:line="185" w:lineRule="auto"/>
        <w:tabs>
          <w:tab w:leader="none" w:pos="580" w:val="left"/>
        </w:tabs>
        <w:numPr>
          <w:ilvl w:val="0"/>
          <w:numId w:val="6"/>
        </w:numPr>
        <w:rPr>
          <w:rFonts w:ascii="Arial" w:cs="Arial" w:eastAsia="Arial" w:hAnsi="Arial"/>
          <w:sz w:val="28"/>
          <w:szCs w:val="28"/>
          <w:color w:val="CC092F"/>
          <w:vertAlign w:val="subscript"/>
        </w:rPr>
      </w:pPr>
      <w:r>
        <w:rPr>
          <w:rFonts w:ascii="Arial" w:cs="Arial" w:eastAsia="Arial" w:hAnsi="Arial"/>
          <w:sz w:val="13"/>
          <w:szCs w:val="13"/>
          <w:color w:val="242424"/>
        </w:rPr>
        <w:t>Stock ownership guidelines for all executive officers and directors</w:t>
      </w:r>
    </w:p>
    <w:p>
      <w:pPr>
        <w:spacing w:after="0" w:line="183" w:lineRule="exact"/>
        <w:rPr>
          <w:rFonts w:ascii="Arial" w:cs="Arial" w:eastAsia="Arial" w:hAnsi="Arial"/>
          <w:sz w:val="28"/>
          <w:szCs w:val="28"/>
          <w:color w:val="CC092F"/>
          <w:vertAlign w:val="subscript"/>
        </w:rPr>
      </w:pPr>
    </w:p>
    <w:p>
      <w:pPr>
        <w:ind w:left="580" w:hanging="315"/>
        <w:spacing w:after="0"/>
        <w:tabs>
          <w:tab w:leader="none" w:pos="580" w:val="left"/>
        </w:tabs>
        <w:numPr>
          <w:ilvl w:val="0"/>
          <w:numId w:val="6"/>
        </w:numPr>
        <w:rPr>
          <w:rFonts w:ascii="Arial" w:cs="Arial" w:eastAsia="Arial" w:hAnsi="Arial"/>
          <w:sz w:val="21"/>
          <w:szCs w:val="21"/>
          <w:color w:val="CC092F"/>
        </w:rPr>
      </w:pPr>
      <w:r>
        <w:rPr>
          <w:rFonts w:ascii="Arial" w:cs="Arial" w:eastAsia="Arial" w:hAnsi="Arial"/>
          <w:sz w:val="16"/>
          <w:szCs w:val="16"/>
          <w:color w:val="242424"/>
        </w:rPr>
        <w:t>Robust stockholder engagement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-1696085</wp:posOffset>
            </wp:positionV>
            <wp:extent cx="6873875" cy="193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3875" cy="19367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-1241425</wp:posOffset>
            </wp:positionV>
            <wp:extent cx="6873875" cy="260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73875" cy="26098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-787400</wp:posOffset>
            </wp:positionV>
            <wp:extent cx="6873875" cy="193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73875" cy="19367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-400050</wp:posOffset>
            </wp:positionV>
            <wp:extent cx="6873875" cy="260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73875" cy="26098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Our Fiscal Year 2021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Financial Results Highlights</w:t>
      </w:r>
    </w:p>
    <w:p>
      <w:pPr>
        <w:spacing w:after="0" w:line="20" w:lineRule="exact"/>
        <w:rPr>
          <w:sz w:val="20"/>
          <w:szCs w:val="20"/>
          <w:color w:val="auto"/>
        </w:rPr>
      </w:pPr>
      <w:r>
        <w:rPr>
          <w:sz w:val="20"/>
          <w:szCs w:val="20"/>
          <w:color w:val="auto"/>
        </w:rPr>
        <w:br w:type="column"/>
      </w:r>
    </w:p>
    <w:p>
      <w:pPr>
        <w:ind w:left="316" w:hanging="316"/>
        <w:spacing w:after="0" w:line="182" w:lineRule="auto"/>
        <w:tabs>
          <w:tab w:leader="none" w:pos="316" w:val="left"/>
        </w:tabs>
        <w:numPr>
          <w:ilvl w:val="0"/>
          <w:numId w:val="7"/>
        </w:numPr>
        <w:rPr>
          <w:rFonts w:ascii="Arial" w:cs="Arial" w:eastAsia="Arial" w:hAnsi="Arial"/>
          <w:sz w:val="39"/>
          <w:szCs w:val="39"/>
          <w:color w:val="CC092F"/>
          <w:vertAlign w:val="subscript"/>
        </w:rPr>
      </w:pPr>
      <w:r>
        <w:rPr>
          <w:rFonts w:ascii="Arial" w:cs="Arial" w:eastAsia="Arial" w:hAnsi="Arial"/>
          <w:sz w:val="15"/>
          <w:szCs w:val="15"/>
          <w:color w:val="242424"/>
        </w:rPr>
        <w:t>Annual election of directors (no classified Board structure)</w:t>
      </w:r>
    </w:p>
    <w:p>
      <w:pPr>
        <w:spacing w:after="0" w:line="56" w:lineRule="exact"/>
        <w:rPr>
          <w:rFonts w:ascii="Arial" w:cs="Arial" w:eastAsia="Arial" w:hAnsi="Arial"/>
          <w:sz w:val="39"/>
          <w:szCs w:val="39"/>
          <w:color w:val="CC092F"/>
          <w:vertAlign w:val="subscript"/>
        </w:rPr>
      </w:pPr>
    </w:p>
    <w:p>
      <w:pPr>
        <w:ind w:left="316" w:hanging="316"/>
        <w:spacing w:after="0" w:line="185" w:lineRule="auto"/>
        <w:tabs>
          <w:tab w:leader="none" w:pos="316" w:val="left"/>
        </w:tabs>
        <w:numPr>
          <w:ilvl w:val="0"/>
          <w:numId w:val="7"/>
        </w:numPr>
        <w:rPr>
          <w:rFonts w:ascii="Arial" w:cs="Arial" w:eastAsia="Arial" w:hAnsi="Arial"/>
          <w:sz w:val="28"/>
          <w:szCs w:val="28"/>
          <w:color w:val="CC092F"/>
          <w:vertAlign w:val="subscript"/>
        </w:rPr>
      </w:pPr>
      <w:r>
        <w:rPr>
          <w:rFonts w:ascii="Arial" w:cs="Arial" w:eastAsia="Arial" w:hAnsi="Arial"/>
          <w:sz w:val="13"/>
          <w:szCs w:val="13"/>
          <w:color w:val="242424"/>
        </w:rPr>
        <w:t>Majority voting for directors in uncontested election</w:t>
      </w:r>
    </w:p>
    <w:p>
      <w:pPr>
        <w:spacing w:after="0" w:line="219" w:lineRule="exact"/>
        <w:rPr>
          <w:rFonts w:ascii="Arial" w:cs="Arial" w:eastAsia="Arial" w:hAnsi="Arial"/>
          <w:sz w:val="28"/>
          <w:szCs w:val="28"/>
          <w:color w:val="CC092F"/>
          <w:vertAlign w:val="subscript"/>
        </w:rPr>
      </w:pPr>
    </w:p>
    <w:p>
      <w:pPr>
        <w:ind w:left="316" w:right="360" w:hanging="316"/>
        <w:spacing w:after="0" w:line="183" w:lineRule="auto"/>
        <w:tabs>
          <w:tab w:leader="none" w:pos="316" w:val="left"/>
        </w:tabs>
        <w:numPr>
          <w:ilvl w:val="0"/>
          <w:numId w:val="7"/>
        </w:numPr>
        <w:rPr>
          <w:rFonts w:ascii="Arial" w:cs="Arial" w:eastAsia="Arial" w:hAnsi="Arial"/>
          <w:sz w:val="27"/>
          <w:szCs w:val="27"/>
          <w:color w:val="CC092F"/>
          <w:vertAlign w:val="subscript"/>
        </w:rPr>
      </w:pPr>
      <w:r>
        <w:rPr>
          <w:rFonts w:ascii="Arial" w:cs="Arial" w:eastAsia="Arial" w:hAnsi="Arial"/>
          <w:sz w:val="13"/>
          <w:szCs w:val="13"/>
          <w:color w:val="242424"/>
        </w:rPr>
        <w:t>Separate Chairman and Chief Executive Officer (“CEO”) roles, with a Lead Independent Director</w:t>
      </w:r>
    </w:p>
    <w:p>
      <w:pPr>
        <w:ind w:left="316" w:hanging="316"/>
        <w:spacing w:after="0" w:line="181" w:lineRule="auto"/>
        <w:tabs>
          <w:tab w:leader="none" w:pos="316" w:val="left"/>
        </w:tabs>
        <w:numPr>
          <w:ilvl w:val="0"/>
          <w:numId w:val="7"/>
        </w:numPr>
        <w:rPr>
          <w:rFonts w:ascii="Arial" w:cs="Arial" w:eastAsia="Arial" w:hAnsi="Arial"/>
          <w:sz w:val="29"/>
          <w:szCs w:val="29"/>
          <w:color w:val="CC092F"/>
          <w:vertAlign w:val="subscript"/>
        </w:rPr>
      </w:pPr>
      <w:r>
        <w:rPr>
          <w:rFonts w:ascii="Arial" w:cs="Arial" w:eastAsia="Arial" w:hAnsi="Arial"/>
          <w:sz w:val="13"/>
          <w:szCs w:val="13"/>
          <w:color w:val="242424"/>
        </w:rPr>
        <w:t>Strong independent Board — 7 of 9 directors are independent</w:t>
      </w:r>
    </w:p>
    <w:p>
      <w:pPr>
        <w:spacing w:after="0" w:line="56" w:lineRule="exact"/>
        <w:rPr>
          <w:rFonts w:ascii="Arial" w:cs="Arial" w:eastAsia="Arial" w:hAnsi="Arial"/>
          <w:sz w:val="29"/>
          <w:szCs w:val="29"/>
          <w:color w:val="CC092F"/>
          <w:vertAlign w:val="subscript"/>
        </w:rPr>
      </w:pPr>
    </w:p>
    <w:p>
      <w:pPr>
        <w:ind w:left="316" w:hanging="316"/>
        <w:spacing w:after="0" w:line="185" w:lineRule="auto"/>
        <w:tabs>
          <w:tab w:leader="none" w:pos="316" w:val="left"/>
        </w:tabs>
        <w:numPr>
          <w:ilvl w:val="0"/>
          <w:numId w:val="7"/>
        </w:numPr>
        <w:rPr>
          <w:rFonts w:ascii="Arial" w:cs="Arial" w:eastAsia="Arial" w:hAnsi="Arial"/>
          <w:sz w:val="28"/>
          <w:szCs w:val="28"/>
          <w:color w:val="CC092F"/>
          <w:vertAlign w:val="subscript"/>
        </w:rPr>
      </w:pPr>
      <w:r>
        <w:rPr>
          <w:rFonts w:ascii="Arial" w:cs="Arial" w:eastAsia="Arial" w:hAnsi="Arial"/>
          <w:sz w:val="13"/>
          <w:szCs w:val="13"/>
          <w:color w:val="242424"/>
        </w:rPr>
        <w:t>Annual Board and committee evaluations</w:t>
      </w:r>
    </w:p>
    <w:p>
      <w:pPr>
        <w:spacing w:after="0" w:line="56" w:lineRule="exact"/>
        <w:rPr>
          <w:rFonts w:ascii="Arial" w:cs="Arial" w:eastAsia="Arial" w:hAnsi="Arial"/>
          <w:sz w:val="28"/>
          <w:szCs w:val="28"/>
          <w:color w:val="CC092F"/>
          <w:vertAlign w:val="subscript"/>
        </w:rPr>
      </w:pPr>
    </w:p>
    <w:p>
      <w:pPr>
        <w:ind w:left="316" w:hanging="316"/>
        <w:spacing w:after="0" w:line="185" w:lineRule="auto"/>
        <w:tabs>
          <w:tab w:leader="none" w:pos="316" w:val="left"/>
        </w:tabs>
        <w:numPr>
          <w:ilvl w:val="0"/>
          <w:numId w:val="7"/>
        </w:numPr>
        <w:rPr>
          <w:rFonts w:ascii="Arial" w:cs="Arial" w:eastAsia="Arial" w:hAnsi="Arial"/>
          <w:sz w:val="28"/>
          <w:szCs w:val="28"/>
          <w:color w:val="CC092F"/>
          <w:vertAlign w:val="subscript"/>
        </w:rPr>
      </w:pPr>
      <w:r>
        <w:rPr>
          <w:rFonts w:ascii="Arial" w:cs="Arial" w:eastAsia="Arial" w:hAnsi="Arial"/>
          <w:sz w:val="13"/>
          <w:szCs w:val="13"/>
          <w:color w:val="242424"/>
        </w:rPr>
        <w:t>Independent directors meet in executive session regularly</w:t>
      </w:r>
    </w:p>
    <w:p>
      <w:pPr>
        <w:spacing w:after="0" w:line="113" w:lineRule="exact"/>
        <w:rPr>
          <w:rFonts w:ascii="Arial" w:cs="Arial" w:eastAsia="Arial" w:hAnsi="Arial"/>
          <w:sz w:val="28"/>
          <w:szCs w:val="28"/>
          <w:color w:val="CC092F"/>
          <w:vertAlign w:val="subscript"/>
        </w:rPr>
      </w:pPr>
    </w:p>
    <w:p>
      <w:pPr>
        <w:ind w:left="316" w:right="460" w:hanging="316"/>
        <w:spacing w:after="0" w:line="183" w:lineRule="auto"/>
        <w:tabs>
          <w:tab w:leader="none" w:pos="316" w:val="left"/>
        </w:tabs>
        <w:numPr>
          <w:ilvl w:val="0"/>
          <w:numId w:val="7"/>
        </w:numPr>
        <w:rPr>
          <w:rFonts w:ascii="Arial" w:cs="Arial" w:eastAsia="Arial" w:hAnsi="Arial"/>
          <w:sz w:val="27"/>
          <w:szCs w:val="27"/>
          <w:color w:val="CC092F"/>
          <w:vertAlign w:val="subscript"/>
        </w:rPr>
      </w:pPr>
      <w:r>
        <w:rPr>
          <w:rFonts w:ascii="Arial" w:cs="Arial" w:eastAsia="Arial" w:hAnsi="Arial"/>
          <w:sz w:val="13"/>
          <w:szCs w:val="13"/>
          <w:color w:val="242424"/>
        </w:rPr>
        <w:t>Active board refreshment process, adding 2 women directors and 2 ethnically diverse directors since 2018</w:t>
      </w:r>
    </w:p>
    <w:p>
      <w:pPr>
        <w:ind w:left="316" w:hanging="316"/>
        <w:spacing w:after="0" w:line="181" w:lineRule="auto"/>
        <w:tabs>
          <w:tab w:leader="none" w:pos="316" w:val="left"/>
        </w:tabs>
        <w:numPr>
          <w:ilvl w:val="0"/>
          <w:numId w:val="7"/>
        </w:numPr>
        <w:rPr>
          <w:rFonts w:ascii="Arial" w:cs="Arial" w:eastAsia="Arial" w:hAnsi="Arial"/>
          <w:sz w:val="29"/>
          <w:szCs w:val="29"/>
          <w:color w:val="CC092F"/>
          <w:vertAlign w:val="subscript"/>
        </w:rPr>
      </w:pPr>
      <w:r>
        <w:rPr>
          <w:rFonts w:ascii="Arial" w:cs="Arial" w:eastAsia="Arial" w:hAnsi="Arial"/>
          <w:sz w:val="13"/>
          <w:szCs w:val="13"/>
          <w:color w:val="242424"/>
        </w:rPr>
        <w:t>Active CEO and senior leadership succession review</w:t>
      </w:r>
    </w:p>
    <w:p>
      <w:pPr>
        <w:spacing w:after="0" w:line="1196" w:lineRule="exact"/>
        <w:rPr>
          <w:sz w:val="20"/>
          <w:szCs w:val="20"/>
          <w:color w:val="auto"/>
        </w:rPr>
      </w:pPr>
    </w:p>
    <w:p>
      <w:pPr>
        <w:sectPr>
          <w:pgSz w:w="11900" w:h="16838" w:orient="portrait"/>
          <w:cols w:equalWidth="0" w:num="2">
            <w:col w:w="5460" w:space="244"/>
            <w:col w:w="5516"/>
          </w:cols>
          <w:pgMar w:left="320" w:top="181" w:right="359" w:bottom="1440" w:gutter="0" w:footer="0" w:header="0"/>
          <w:type w:val="continuous"/>
        </w:sectPr>
      </w:pPr>
    </w:p>
    <w:p>
      <w:pPr>
        <w:ind w:right="720"/>
        <w:spacing w:after="0" w:line="251" w:lineRule="auto"/>
        <w:rPr>
          <w:sz w:val="20"/>
          <w:szCs w:val="20"/>
          <w:color w:val="auto"/>
        </w:rPr>
      </w:pPr>
      <w:r>
        <w:rPr>
          <w:rFonts w:ascii="Arial" w:cs="Arial" w:eastAsia="Arial" w:hAnsi="Arial"/>
          <w:sz w:val="18"/>
          <w:szCs w:val="18"/>
          <w:color w:val="242424"/>
        </w:rPr>
        <w:t>Our Fiscal Year 2021 performance continued to be strong despite the on-going COVID-19 pandemic and disruption in normal business activities. Our financial results highlights* for Fiscal Year 2021 include increases in:</w:t>
      </w:r>
    </w:p>
    <w:p>
      <w:pPr>
        <w:spacing w:after="0" w:line="107" w:lineRule="exact"/>
        <w:rPr>
          <w:sz w:val="20"/>
          <w:szCs w:val="20"/>
          <w:color w:val="auto"/>
        </w:rPr>
      </w:pPr>
    </w:p>
    <w:p>
      <w:pPr>
        <w:ind w:left="520" w:hanging="276"/>
        <w:spacing w:after="0"/>
        <w:tabs>
          <w:tab w:leader="none" w:pos="520" w:val="left"/>
        </w:tabs>
        <w:numPr>
          <w:ilvl w:val="0"/>
          <w:numId w:val="8"/>
        </w:numPr>
        <w:rPr>
          <w:rFonts w:ascii="Arial" w:cs="Arial" w:eastAsia="Arial" w:hAnsi="Arial"/>
          <w:sz w:val="21"/>
          <w:szCs w:val="21"/>
          <w:color w:val="242424"/>
        </w:rPr>
      </w:pPr>
      <w:r>
        <w:rPr>
          <w:rFonts w:ascii="Arial" w:cs="Arial" w:eastAsia="Arial" w:hAnsi="Arial"/>
          <w:sz w:val="18"/>
          <w:szCs w:val="18"/>
          <w:color w:val="242424"/>
        </w:rPr>
        <w:t>Year-over-year revenue to $27,450 million, 15% above our fiscal year ended November 1, 2020 (“Fiscal Year 2020”).</w:t>
      </w:r>
    </w:p>
    <w:p>
      <w:pPr>
        <w:spacing w:after="0" w:line="145" w:lineRule="exact"/>
        <w:rPr>
          <w:rFonts w:ascii="Arial" w:cs="Arial" w:eastAsia="Arial" w:hAnsi="Arial"/>
          <w:sz w:val="21"/>
          <w:szCs w:val="21"/>
          <w:color w:val="242424"/>
        </w:rPr>
      </w:pPr>
    </w:p>
    <w:p>
      <w:pPr>
        <w:ind w:left="560" w:right="460" w:hanging="316"/>
        <w:spacing w:after="0" w:line="226" w:lineRule="auto"/>
        <w:tabs>
          <w:tab w:leader="none" w:pos="512" w:val="left"/>
        </w:tabs>
        <w:numPr>
          <w:ilvl w:val="0"/>
          <w:numId w:val="8"/>
        </w:numPr>
        <w:rPr>
          <w:rFonts w:ascii="Arial" w:cs="Arial" w:eastAsia="Arial" w:hAnsi="Arial"/>
          <w:sz w:val="21"/>
          <w:szCs w:val="21"/>
          <w:color w:val="242424"/>
        </w:rPr>
      </w:pPr>
      <w:r>
        <w:rPr>
          <w:rFonts w:ascii="Arial" w:cs="Arial" w:eastAsia="Arial" w:hAnsi="Arial"/>
          <w:sz w:val="18"/>
          <w:szCs w:val="18"/>
          <w:color w:val="242424"/>
        </w:rPr>
        <w:t>GAAP operating income to $8,519 million, 112% above Fiscal Year 2020; and non-GAAP operating income to $15,912 million, 23% above Fiscal Year 2020.</w:t>
      </w:r>
    </w:p>
    <w:p>
      <w:pPr>
        <w:spacing w:after="0" w:line="147" w:lineRule="exact"/>
        <w:rPr>
          <w:rFonts w:ascii="Arial" w:cs="Arial" w:eastAsia="Arial" w:hAnsi="Arial"/>
          <w:sz w:val="21"/>
          <w:szCs w:val="21"/>
          <w:color w:val="242424"/>
        </w:rPr>
      </w:pPr>
    </w:p>
    <w:p>
      <w:pPr>
        <w:ind w:left="560" w:right="340" w:hanging="316"/>
        <w:spacing w:after="0" w:line="226" w:lineRule="auto"/>
        <w:tabs>
          <w:tab w:leader="none" w:pos="512" w:val="left"/>
        </w:tabs>
        <w:numPr>
          <w:ilvl w:val="0"/>
          <w:numId w:val="8"/>
        </w:numPr>
        <w:rPr>
          <w:rFonts w:ascii="Arial" w:cs="Arial" w:eastAsia="Arial" w:hAnsi="Arial"/>
          <w:sz w:val="21"/>
          <w:szCs w:val="21"/>
          <w:color w:val="242424"/>
        </w:rPr>
      </w:pPr>
      <w:r>
        <w:rPr>
          <w:rFonts w:ascii="Arial" w:cs="Arial" w:eastAsia="Arial" w:hAnsi="Arial"/>
          <w:sz w:val="18"/>
          <w:szCs w:val="18"/>
          <w:color w:val="242424"/>
        </w:rPr>
        <w:t>Net cash provided by operating activities to $13,764 million, 14% above Fiscal Year 2020; and free cash flow to $13,321 million, 15% above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153035</wp:posOffset>
            </wp:positionV>
            <wp:extent cx="4358005" cy="2313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58005" cy="231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40" w:hanging="78"/>
        <w:spacing w:after="0"/>
        <w:tabs>
          <w:tab w:leader="none" w:pos="640" w:val="left"/>
        </w:tabs>
        <w:numPr>
          <w:ilvl w:val="0"/>
          <w:numId w:val="9"/>
        </w:numPr>
        <w:rPr>
          <w:rFonts w:ascii="Arial" w:cs="Arial" w:eastAsia="Arial" w:hAnsi="Arial"/>
          <w:sz w:val="9"/>
          <w:szCs w:val="9"/>
          <w:color w:val="242424"/>
        </w:rPr>
      </w:pPr>
      <w:r>
        <w:rPr>
          <w:rFonts w:ascii="Arial" w:cs="Arial" w:eastAsia="Arial" w:hAnsi="Arial"/>
          <w:sz w:val="14"/>
          <w:szCs w:val="14"/>
          <w:color w:val="242424"/>
        </w:rPr>
        <w:t>See Appendix A for a reconciliation of non-GAAP financial measures to the most directly comparable GAAP measures.</w:t>
      </w:r>
    </w:p>
    <w:p>
      <w:pPr>
        <w:spacing w:after="0" w:line="200" w:lineRule="exact"/>
        <w:rPr>
          <w:sz w:val="20"/>
          <w:szCs w:val="20"/>
          <w:color w:val="auto"/>
        </w:rPr>
      </w:pPr>
    </w:p>
    <w:p>
      <w:pPr>
        <w:spacing w:after="0" w:line="246"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3</w:t>
      </w:r>
    </w:p>
    <w:p>
      <w:pPr>
        <w:sectPr>
          <w:pgSz w:w="11900" w:h="16838" w:orient="portrait"/>
          <w:cols w:equalWidth="0" w:num="1">
            <w:col w:w="11220"/>
          </w:cols>
          <w:pgMar w:left="320" w:top="181" w:right="35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6"/>
          <w:szCs w:val="16"/>
          <w:color w:val="CC092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Return of Capital to Stockholders</w:t>
      </w:r>
    </w:p>
    <w:p>
      <w:pPr>
        <w:spacing w:after="0" w:line="192"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242424"/>
        </w:rPr>
        <w:t>Our strong cash flow in Fiscal Year 2020 enabled us to return an aggregate of $7,511 million to our stockholders during Fiscal Year 2021, consisting of $6,212 million in cash dividends and $1,299 million in eliminations of shares withheld to cover employee withholding taxes due upon the vesting of net settled equity awards. In addition, our strong free cash flow in Fiscal Year 2021 enabled us to increase our quarterly common stock dividend to $4.10 per share in our first quarter of our fiscal year ending October 30, 2022 (“Fiscal Year 2022”), an increase of 14% over the quarterly dividend paid in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31115</wp:posOffset>
            </wp:positionV>
            <wp:extent cx="2322195" cy="2153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22195" cy="2153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3480" w:type="dxa"/>
        <w:tblCellMar>
          <w:top w:w="0" w:type="dxa"/>
          <w:left w:w="0" w:type="dxa"/>
          <w:bottom w:w="0" w:type="dxa"/>
          <w:right w:w="0" w:type="dxa"/>
        </w:tblCellMar>
      </w:tblPr>
      <w:tr>
        <w:trPr>
          <w:trHeight w:val="248"/>
        </w:trPr>
        <w:tc>
          <w:tcPr>
            <w:tcW w:w="2220" w:type="dxa"/>
            <w:vAlign w:val="bottom"/>
          </w:tcPr>
          <w:p>
            <w:pPr>
              <w:spacing w:after="0"/>
              <w:rPr>
                <w:sz w:val="20"/>
                <w:szCs w:val="20"/>
                <w:color w:val="auto"/>
              </w:rPr>
            </w:pPr>
            <w:r>
              <w:rPr>
                <w:rFonts w:ascii="Arial" w:cs="Arial" w:eastAsia="Arial" w:hAnsi="Arial"/>
                <w:sz w:val="12"/>
                <w:szCs w:val="12"/>
                <w:b w:val="1"/>
                <w:bCs w:val="1"/>
                <w:color w:val="FFFFFF"/>
              </w:rPr>
              <w:t>Dividend Increase YoY% 23%</w:t>
            </w:r>
          </w:p>
        </w:tc>
        <w:tc>
          <w:tcPr>
            <w:tcW w:w="1460" w:type="dxa"/>
            <w:vAlign w:val="bottom"/>
          </w:tcPr>
          <w:p>
            <w:pPr>
              <w:jc w:val="right"/>
              <w:ind w:right="638"/>
              <w:spacing w:after="0"/>
              <w:rPr>
                <w:sz w:val="20"/>
                <w:szCs w:val="20"/>
                <w:color w:val="auto"/>
              </w:rPr>
            </w:pPr>
            <w:r>
              <w:rPr>
                <w:rFonts w:ascii="Arial" w:cs="Arial" w:eastAsia="Arial" w:hAnsi="Arial"/>
                <w:sz w:val="12"/>
                <w:szCs w:val="12"/>
                <w:b w:val="1"/>
                <w:bCs w:val="1"/>
                <w:color w:val="FFFFFF"/>
              </w:rPr>
              <w:t>11%</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Total Stockholder Return</w:t>
      </w:r>
    </w:p>
    <w:p>
      <w:pPr>
        <w:spacing w:after="0" w:line="192" w:lineRule="exact"/>
        <w:rPr>
          <w:sz w:val="20"/>
          <w:szCs w:val="20"/>
          <w:color w:val="auto"/>
        </w:rPr>
      </w:pPr>
    </w:p>
    <w:p>
      <w:pPr>
        <w:spacing w:after="0" w:line="247" w:lineRule="auto"/>
        <w:rPr>
          <w:sz w:val="20"/>
          <w:szCs w:val="20"/>
          <w:color w:val="auto"/>
        </w:rPr>
      </w:pPr>
      <w:r>
        <w:rPr>
          <w:rFonts w:ascii="Arial" w:cs="Arial" w:eastAsia="Arial" w:hAnsi="Arial"/>
          <w:sz w:val="18"/>
          <w:szCs w:val="18"/>
          <w:color w:val="242424"/>
        </w:rPr>
        <w:t>Our five-year total stockholder return (“TSR”) performance, based on an investment of $100 in Broadcom common stock on the last trading day of our fiscal year 2016, has been very strong on both an absolute and relative basis. Although our one-year TSR increased significantly, we believe long-term TSR is a more relevant measure, as our stock price over short periods is impacted by market volatility and macroeconomic events unrelated to our underlying performance.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42424"/>
        </w:rPr>
        <w:t>As illustrated in the graph below:</w:t>
      </w:r>
    </w:p>
    <w:p>
      <w:pPr>
        <w:spacing w:after="0" w:line="121" w:lineRule="exact"/>
        <w:rPr>
          <w:sz w:val="20"/>
          <w:szCs w:val="20"/>
          <w:color w:val="auto"/>
        </w:rPr>
      </w:pPr>
    </w:p>
    <w:p>
      <w:pPr>
        <w:ind w:left="520" w:hanging="276"/>
        <w:spacing w:after="0"/>
        <w:tabs>
          <w:tab w:leader="none" w:pos="520" w:val="left"/>
        </w:tabs>
        <w:numPr>
          <w:ilvl w:val="0"/>
          <w:numId w:val="10"/>
        </w:numPr>
        <w:rPr>
          <w:rFonts w:ascii="Arial" w:cs="Arial" w:eastAsia="Arial" w:hAnsi="Arial"/>
          <w:sz w:val="21"/>
          <w:szCs w:val="21"/>
          <w:color w:val="242424"/>
        </w:rPr>
      </w:pPr>
      <w:r>
        <w:rPr>
          <w:rFonts w:ascii="Arial" w:cs="Arial" w:eastAsia="Arial" w:hAnsi="Arial"/>
          <w:sz w:val="18"/>
          <w:szCs w:val="18"/>
          <w:color w:val="242424"/>
        </w:rPr>
        <w:t>Our one-year TSR increased by 56.8% in Fiscal Year 2021.</w:t>
      </w:r>
    </w:p>
    <w:p>
      <w:pPr>
        <w:spacing w:after="0" w:line="145" w:lineRule="exact"/>
        <w:rPr>
          <w:rFonts w:ascii="Arial" w:cs="Arial" w:eastAsia="Arial" w:hAnsi="Arial"/>
          <w:sz w:val="21"/>
          <w:szCs w:val="21"/>
          <w:color w:val="242424"/>
        </w:rPr>
      </w:pPr>
    </w:p>
    <w:p>
      <w:pPr>
        <w:ind w:left="560" w:right="60" w:hanging="316"/>
        <w:spacing w:after="0" w:line="226" w:lineRule="auto"/>
        <w:tabs>
          <w:tab w:leader="none" w:pos="512" w:val="left"/>
        </w:tabs>
        <w:numPr>
          <w:ilvl w:val="0"/>
          <w:numId w:val="10"/>
        </w:numPr>
        <w:rPr>
          <w:rFonts w:ascii="Arial" w:cs="Arial" w:eastAsia="Arial" w:hAnsi="Arial"/>
          <w:sz w:val="21"/>
          <w:szCs w:val="21"/>
          <w:color w:val="242424"/>
        </w:rPr>
      </w:pPr>
      <w:r>
        <w:rPr>
          <w:rFonts w:ascii="Arial" w:cs="Arial" w:eastAsia="Arial" w:hAnsi="Arial"/>
          <w:sz w:val="18"/>
          <w:szCs w:val="18"/>
          <w:color w:val="242424"/>
        </w:rPr>
        <w:t>Our TSR increased by 34.0% annually on average over the past three fiscal years, and by 25.7% annually on average over the past five fiscal years.</w:t>
      </w:r>
    </w:p>
    <w:p>
      <w:pPr>
        <w:spacing w:after="0" w:line="117" w:lineRule="exact"/>
        <w:rPr>
          <w:rFonts w:ascii="Arial" w:cs="Arial" w:eastAsia="Arial" w:hAnsi="Arial"/>
          <w:sz w:val="21"/>
          <w:szCs w:val="21"/>
          <w:color w:val="242424"/>
        </w:rPr>
      </w:pPr>
    </w:p>
    <w:p>
      <w:pPr>
        <w:ind w:left="520" w:hanging="276"/>
        <w:spacing w:after="0"/>
        <w:tabs>
          <w:tab w:leader="none" w:pos="520" w:val="left"/>
        </w:tabs>
        <w:numPr>
          <w:ilvl w:val="0"/>
          <w:numId w:val="10"/>
        </w:numPr>
        <w:rPr>
          <w:rFonts w:ascii="Arial" w:cs="Arial" w:eastAsia="Arial" w:hAnsi="Arial"/>
          <w:sz w:val="21"/>
          <w:szCs w:val="21"/>
          <w:color w:val="242424"/>
        </w:rPr>
      </w:pPr>
      <w:r>
        <w:rPr>
          <w:rFonts w:ascii="Arial" w:cs="Arial" w:eastAsia="Arial" w:hAnsi="Arial"/>
          <w:sz w:val="18"/>
          <w:szCs w:val="18"/>
          <w:color w:val="242424"/>
        </w:rPr>
        <w:t>Our TSR for all three of these periods outperformed our peer group median and the S&amp;P 500 Index.</w:t>
      </w:r>
    </w:p>
    <w:p>
      <w:pPr>
        <w:spacing w:after="0" w:line="145" w:lineRule="exact"/>
        <w:rPr>
          <w:rFonts w:ascii="Arial" w:cs="Arial" w:eastAsia="Arial" w:hAnsi="Arial"/>
          <w:sz w:val="21"/>
          <w:szCs w:val="21"/>
          <w:color w:val="242424"/>
        </w:rPr>
      </w:pPr>
    </w:p>
    <w:p>
      <w:pPr>
        <w:ind w:left="560" w:right="100" w:hanging="316"/>
        <w:spacing w:after="0" w:line="226" w:lineRule="auto"/>
        <w:tabs>
          <w:tab w:leader="none" w:pos="512" w:val="left"/>
        </w:tabs>
        <w:numPr>
          <w:ilvl w:val="0"/>
          <w:numId w:val="10"/>
        </w:numPr>
        <w:rPr>
          <w:rFonts w:ascii="Arial" w:cs="Arial" w:eastAsia="Arial" w:hAnsi="Arial"/>
          <w:sz w:val="21"/>
          <w:szCs w:val="21"/>
          <w:color w:val="242424"/>
        </w:rPr>
      </w:pPr>
      <w:r>
        <w:rPr>
          <w:rFonts w:ascii="Arial" w:cs="Arial" w:eastAsia="Arial" w:hAnsi="Arial"/>
          <w:sz w:val="18"/>
          <w:szCs w:val="18"/>
          <w:color w:val="242424"/>
        </w:rPr>
        <w:t>We significantly increased our absolute TSR since our initial public offering in 2009 by over 4,000%, with an annual average increase of 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2124075</wp:posOffset>
            </wp:positionH>
            <wp:positionV relativeFrom="paragraph">
              <wp:posOffset>1905</wp:posOffset>
            </wp:positionV>
            <wp:extent cx="2902585" cy="2103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02585" cy="2103120"/>
                    </a:xfrm>
                    <a:prstGeom prst="rect">
                      <a:avLst/>
                    </a:prstGeom>
                    <a:noFill/>
                  </pic:spPr>
                </pic:pic>
              </a:graphicData>
            </a:graphic>
          </wp:anchor>
        </w:drawing>
      </w:r>
    </w:p>
    <w:p>
      <w:pPr>
        <w:sectPr>
          <w:pgSz w:w="11900" w:h="16838" w:orient="portrait"/>
          <w:cols w:equalWidth="0" w:num="1">
            <w:col w:w="11180"/>
          </w:cols>
          <w:pgMar w:left="320" w:top="18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80" w:hanging="274"/>
        <w:spacing w:after="0"/>
        <w:tabs>
          <w:tab w:leader="none" w:pos="280" w:val="left"/>
        </w:tabs>
        <w:numPr>
          <w:ilvl w:val="0"/>
          <w:numId w:val="11"/>
        </w:numPr>
        <w:rPr>
          <w:rFonts w:ascii="Arial" w:cs="Arial" w:eastAsia="Arial" w:hAnsi="Arial"/>
          <w:sz w:val="15"/>
          <w:szCs w:val="15"/>
          <w:color w:val="242424"/>
        </w:rPr>
      </w:pPr>
      <w:r>
        <w:rPr>
          <w:rFonts w:ascii="Arial" w:cs="Arial" w:eastAsia="Arial" w:hAnsi="Arial"/>
          <w:sz w:val="15"/>
          <w:szCs w:val="15"/>
          <w:color w:val="CC092F"/>
        </w:rPr>
        <w:t>2022 Proxy Statement</w:t>
      </w:r>
    </w:p>
    <w:p>
      <w:pPr>
        <w:sectPr>
          <w:pgSz w:w="11900" w:h="16838" w:orient="portrait"/>
          <w:cols w:equalWidth="0" w:num="1">
            <w:col w:w="11180"/>
          </w:cols>
          <w:pgMar w:left="320" w:top="181" w:right="39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6"/>
          <w:szCs w:val="16"/>
          <w:color w:val="CC092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Executive Compensation</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Executive Compensation Program Governance</w:t>
      </w:r>
    </w:p>
    <w:p>
      <w:pPr>
        <w:spacing w:after="0" w:line="11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242424"/>
        </w:rPr>
        <w:t>Our executive compensation program is designed to reward our executive officers for producing sustainable growth in share value, to align the interests of our executive officers with the interests of our stockholders, and to attract and retain top talent. The table below highlights our key executive compensation program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7134860" cy="219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219075"/>
                    </a:xfrm>
                    <a:prstGeom prst="rect">
                      <a:avLst/>
                    </a:prstGeom>
                    <a:noFill/>
                  </pic:spPr>
                </pic:pic>
              </a:graphicData>
            </a:graphic>
          </wp:anchor>
        </w:drawing>
      </w:r>
    </w:p>
    <w:p>
      <w:pPr>
        <w:spacing w:after="0" w:line="164" w:lineRule="exact"/>
        <w:rPr>
          <w:sz w:val="20"/>
          <w:szCs w:val="20"/>
          <w:color w:val="auto"/>
        </w:rPr>
      </w:pPr>
    </w:p>
    <w:p>
      <w:pPr>
        <w:ind w:left="1740"/>
        <w:spacing w:after="0"/>
        <w:tabs>
          <w:tab w:leader="none" w:pos="7240" w:val="left"/>
        </w:tabs>
        <w:rPr>
          <w:sz w:val="20"/>
          <w:szCs w:val="20"/>
          <w:color w:val="auto"/>
        </w:rPr>
      </w:pPr>
      <w:r>
        <w:rPr>
          <w:rFonts w:ascii="Arial" w:cs="Arial" w:eastAsia="Arial" w:hAnsi="Arial"/>
          <w:sz w:val="18"/>
          <w:szCs w:val="18"/>
          <w:b w:val="1"/>
          <w:bCs w:val="1"/>
          <w:color w:val="FFFFFF"/>
        </w:rPr>
        <w:t>Best Practices We Employ</w:t>
      </w:r>
      <w:r>
        <w:rPr>
          <w:sz w:val="20"/>
          <w:szCs w:val="20"/>
          <w:color w:val="auto"/>
        </w:rPr>
        <w:tab/>
      </w:r>
      <w:r>
        <w:rPr>
          <w:rFonts w:ascii="Arial" w:cs="Arial" w:eastAsia="Arial" w:hAnsi="Arial"/>
          <w:sz w:val="17"/>
          <w:szCs w:val="17"/>
          <w:b w:val="1"/>
          <w:bCs w:val="1"/>
          <w:color w:val="FFFFFF"/>
        </w:rPr>
        <w:t>Practices We Do Not Employ</w:t>
      </w:r>
    </w:p>
    <w:p>
      <w:pPr>
        <w:sectPr>
          <w:pgSz w:w="11900" w:h="16838" w:orient="portrait"/>
          <w:cols w:equalWidth="0" w:num="1">
            <w:col w:w="11220"/>
          </w:cols>
          <w:pgMar w:left="320" w:top="181" w:right="359" w:bottom="1440" w:gutter="0" w:footer="0" w:header="0"/>
        </w:sectPr>
      </w:pPr>
    </w:p>
    <w:p>
      <w:pPr>
        <w:spacing w:after="0" w:line="162" w:lineRule="exact"/>
        <w:rPr>
          <w:sz w:val="20"/>
          <w:szCs w:val="20"/>
          <w:color w:val="auto"/>
        </w:rPr>
      </w:pPr>
    </w:p>
    <w:p>
      <w:pPr>
        <w:ind w:left="620" w:right="20" w:hanging="435"/>
        <w:spacing w:after="0"/>
        <w:tabs>
          <w:tab w:leader="none" w:pos="620" w:val="left"/>
        </w:tabs>
        <w:numPr>
          <w:ilvl w:val="0"/>
          <w:numId w:val="12"/>
        </w:numPr>
        <w:rPr>
          <w:rFonts w:ascii="Arial" w:cs="Arial" w:eastAsia="Arial" w:hAnsi="Arial"/>
          <w:sz w:val="30"/>
          <w:szCs w:val="30"/>
          <w:color w:val="CC092F"/>
          <w:vertAlign w:val="subscript"/>
        </w:rPr>
      </w:pPr>
      <w:r>
        <w:rPr>
          <w:rFonts w:ascii="Arial" w:cs="Arial" w:eastAsia="Arial" w:hAnsi="Arial"/>
          <w:sz w:val="13"/>
          <w:szCs w:val="13"/>
          <w:color w:val="242424"/>
        </w:rPr>
        <w:t>Majority of named executive officer compensation tied to long-term performance</w:t>
      </w:r>
    </w:p>
    <w:p>
      <w:pPr>
        <w:spacing w:after="0" w:line="54" w:lineRule="exact"/>
        <w:rPr>
          <w:rFonts w:ascii="Arial" w:cs="Arial" w:eastAsia="Arial" w:hAnsi="Arial"/>
          <w:sz w:val="30"/>
          <w:szCs w:val="30"/>
          <w:color w:val="CC092F"/>
          <w:vertAlign w:val="subscript"/>
        </w:rPr>
      </w:pPr>
    </w:p>
    <w:p>
      <w:pPr>
        <w:ind w:left="620" w:hanging="435"/>
        <w:spacing w:after="0"/>
        <w:tabs>
          <w:tab w:leader="none" w:pos="620" w:val="left"/>
        </w:tabs>
        <w:numPr>
          <w:ilvl w:val="0"/>
          <w:numId w:val="12"/>
        </w:numPr>
        <w:rPr>
          <w:rFonts w:ascii="Arial" w:cs="Arial" w:eastAsia="Arial" w:hAnsi="Arial"/>
          <w:sz w:val="20"/>
          <w:szCs w:val="20"/>
          <w:color w:val="CC092F"/>
        </w:rPr>
      </w:pPr>
      <w:r>
        <w:rPr>
          <w:rFonts w:ascii="Arial" w:cs="Arial" w:eastAsia="Arial" w:hAnsi="Arial"/>
          <w:sz w:val="15"/>
          <w:szCs w:val="15"/>
          <w:color w:val="242424"/>
        </w:rPr>
        <w:t>Performance metrics directly tied to value creation for stockholders</w:t>
      </w:r>
    </w:p>
    <w:p>
      <w:pPr>
        <w:spacing w:after="0" w:line="36" w:lineRule="exact"/>
        <w:rPr>
          <w:rFonts w:ascii="Arial" w:cs="Arial" w:eastAsia="Arial" w:hAnsi="Arial"/>
          <w:sz w:val="20"/>
          <w:szCs w:val="20"/>
          <w:color w:val="CC092F"/>
        </w:rPr>
      </w:pPr>
    </w:p>
    <w:p>
      <w:pPr>
        <w:ind w:left="620" w:hanging="435"/>
        <w:spacing w:after="0"/>
        <w:tabs>
          <w:tab w:leader="none" w:pos="620" w:val="left"/>
        </w:tabs>
        <w:numPr>
          <w:ilvl w:val="0"/>
          <w:numId w:val="12"/>
        </w:numPr>
        <w:rPr>
          <w:rFonts w:ascii="Arial" w:cs="Arial" w:eastAsia="Arial" w:hAnsi="Arial"/>
          <w:sz w:val="21"/>
          <w:szCs w:val="21"/>
          <w:color w:val="CC092F"/>
        </w:rPr>
      </w:pPr>
      <w:r>
        <w:rPr>
          <w:rFonts w:ascii="Arial" w:cs="Arial" w:eastAsia="Arial" w:hAnsi="Arial"/>
          <w:sz w:val="16"/>
          <w:szCs w:val="16"/>
          <w:color w:val="242424"/>
        </w:rPr>
        <w:t>Caps on cash and equity incentive plan payouts</w:t>
      </w:r>
    </w:p>
    <w:p>
      <w:pPr>
        <w:spacing w:after="0" w:line="36" w:lineRule="exact"/>
        <w:rPr>
          <w:rFonts w:ascii="Arial" w:cs="Arial" w:eastAsia="Arial" w:hAnsi="Arial"/>
          <w:sz w:val="21"/>
          <w:szCs w:val="21"/>
          <w:color w:val="CC092F"/>
        </w:rPr>
      </w:pPr>
    </w:p>
    <w:p>
      <w:pPr>
        <w:ind w:left="620" w:hanging="435"/>
        <w:spacing w:after="0"/>
        <w:tabs>
          <w:tab w:leader="none" w:pos="620" w:val="left"/>
        </w:tabs>
        <w:numPr>
          <w:ilvl w:val="0"/>
          <w:numId w:val="12"/>
        </w:numPr>
        <w:rPr>
          <w:rFonts w:ascii="Arial" w:cs="Arial" w:eastAsia="Arial" w:hAnsi="Arial"/>
          <w:sz w:val="21"/>
          <w:szCs w:val="21"/>
          <w:color w:val="CC092F"/>
        </w:rPr>
      </w:pPr>
      <w:r>
        <w:rPr>
          <w:rFonts w:ascii="Arial" w:cs="Arial" w:eastAsia="Arial" w:hAnsi="Arial"/>
          <w:sz w:val="16"/>
          <w:szCs w:val="16"/>
          <w:color w:val="242424"/>
        </w:rPr>
        <w:t>Annual risk assessment of compensation program</w:t>
      </w:r>
    </w:p>
    <w:p>
      <w:pPr>
        <w:spacing w:after="0" w:line="36" w:lineRule="exact"/>
        <w:rPr>
          <w:rFonts w:ascii="Arial" w:cs="Arial" w:eastAsia="Arial" w:hAnsi="Arial"/>
          <w:sz w:val="21"/>
          <w:szCs w:val="21"/>
          <w:color w:val="CC092F"/>
        </w:rPr>
      </w:pPr>
    </w:p>
    <w:p>
      <w:pPr>
        <w:ind w:left="620" w:hanging="435"/>
        <w:spacing w:after="0"/>
        <w:tabs>
          <w:tab w:leader="none" w:pos="620" w:val="left"/>
        </w:tabs>
        <w:numPr>
          <w:ilvl w:val="0"/>
          <w:numId w:val="12"/>
        </w:numPr>
        <w:rPr>
          <w:rFonts w:ascii="Arial" w:cs="Arial" w:eastAsia="Arial" w:hAnsi="Arial"/>
          <w:sz w:val="21"/>
          <w:szCs w:val="21"/>
          <w:color w:val="CC092F"/>
        </w:rPr>
      </w:pPr>
      <w:r>
        <w:rPr>
          <w:rFonts w:ascii="Arial" w:cs="Arial" w:eastAsia="Arial" w:hAnsi="Arial"/>
          <w:sz w:val="16"/>
          <w:szCs w:val="16"/>
          <w:color w:val="242424"/>
        </w:rPr>
        <w:t>Engagement of an independent compensation consultant</w:t>
      </w:r>
    </w:p>
    <w:p>
      <w:pPr>
        <w:spacing w:after="0" w:line="59" w:lineRule="exact"/>
        <w:rPr>
          <w:rFonts w:ascii="Arial" w:cs="Arial" w:eastAsia="Arial" w:hAnsi="Arial"/>
          <w:sz w:val="21"/>
          <w:szCs w:val="21"/>
          <w:color w:val="CC092F"/>
        </w:rPr>
      </w:pPr>
    </w:p>
    <w:p>
      <w:pPr>
        <w:ind w:left="620" w:right="220" w:hanging="435"/>
        <w:spacing w:after="0"/>
        <w:tabs>
          <w:tab w:leader="none" w:pos="620" w:val="left"/>
        </w:tabs>
        <w:numPr>
          <w:ilvl w:val="0"/>
          <w:numId w:val="12"/>
        </w:numPr>
        <w:rPr>
          <w:rFonts w:ascii="Arial" w:cs="Arial" w:eastAsia="Arial" w:hAnsi="Arial"/>
          <w:sz w:val="30"/>
          <w:szCs w:val="30"/>
          <w:color w:val="CC092F"/>
          <w:vertAlign w:val="subscript"/>
        </w:rPr>
      </w:pPr>
      <w:r>
        <w:rPr>
          <w:rFonts w:ascii="Arial" w:cs="Arial" w:eastAsia="Arial" w:hAnsi="Arial"/>
          <w:sz w:val="13"/>
          <w:szCs w:val="13"/>
          <w:color w:val="242424"/>
        </w:rPr>
        <w:t>CEO compensation reviewed and approved by the independent directors</w:t>
      </w:r>
    </w:p>
    <w:p>
      <w:pPr>
        <w:spacing w:after="0" w:line="42" w:lineRule="exact"/>
        <w:rPr>
          <w:rFonts w:ascii="Arial" w:cs="Arial" w:eastAsia="Arial" w:hAnsi="Arial"/>
          <w:sz w:val="30"/>
          <w:szCs w:val="30"/>
          <w:color w:val="CC092F"/>
          <w:vertAlign w:val="subscript"/>
        </w:rPr>
      </w:pPr>
    </w:p>
    <w:p>
      <w:pPr>
        <w:ind w:left="620" w:hanging="435"/>
        <w:spacing w:after="0"/>
        <w:tabs>
          <w:tab w:leader="none" w:pos="620" w:val="left"/>
        </w:tabs>
        <w:numPr>
          <w:ilvl w:val="0"/>
          <w:numId w:val="12"/>
        </w:numPr>
        <w:rPr>
          <w:rFonts w:ascii="Arial" w:cs="Arial" w:eastAsia="Arial" w:hAnsi="Arial"/>
          <w:sz w:val="21"/>
          <w:szCs w:val="21"/>
          <w:color w:val="CC092F"/>
        </w:rPr>
      </w:pPr>
      <w:r>
        <w:rPr>
          <w:rFonts w:ascii="Arial" w:cs="Arial" w:eastAsia="Arial" w:hAnsi="Arial"/>
          <w:sz w:val="16"/>
          <w:szCs w:val="16"/>
          <w:color w:val="242424"/>
        </w:rPr>
        <w:t>Stock ownership guidelines for executive officers and directors</w:t>
      </w:r>
    </w:p>
    <w:p>
      <w:pPr>
        <w:spacing w:after="0" w:line="29" w:lineRule="exact"/>
        <w:rPr>
          <w:rFonts w:ascii="Arial" w:cs="Arial" w:eastAsia="Arial" w:hAnsi="Arial"/>
          <w:sz w:val="21"/>
          <w:szCs w:val="21"/>
          <w:color w:val="CC092F"/>
        </w:rPr>
      </w:pPr>
    </w:p>
    <w:p>
      <w:pPr>
        <w:ind w:left="620" w:hanging="435"/>
        <w:spacing w:after="0" w:line="234" w:lineRule="auto"/>
        <w:tabs>
          <w:tab w:leader="none" w:pos="620" w:val="left"/>
        </w:tabs>
        <w:numPr>
          <w:ilvl w:val="0"/>
          <w:numId w:val="12"/>
        </w:numPr>
        <w:rPr>
          <w:rFonts w:ascii="Arial" w:cs="Arial" w:eastAsia="Arial" w:hAnsi="Arial"/>
          <w:sz w:val="21"/>
          <w:szCs w:val="21"/>
          <w:color w:val="CC092F"/>
        </w:rPr>
      </w:pPr>
      <w:r>
        <w:rPr>
          <w:rFonts w:ascii="Arial" w:cs="Arial" w:eastAsia="Arial" w:hAnsi="Arial"/>
          <w:sz w:val="16"/>
          <w:szCs w:val="16"/>
          <w:color w:val="242424"/>
        </w:rPr>
        <w:t>Anti-hedging and anti-pledging policy for employees and directors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488" w:hanging="488"/>
        <w:spacing w:after="0"/>
        <w:tabs>
          <w:tab w:leader="none" w:pos="488" w:val="left"/>
        </w:tabs>
        <w:numPr>
          <w:ilvl w:val="0"/>
          <w:numId w:val="13"/>
        </w:numPr>
        <w:rPr>
          <w:rFonts w:ascii="Arial" w:cs="Arial" w:eastAsia="Arial" w:hAnsi="Arial"/>
          <w:sz w:val="19"/>
          <w:szCs w:val="19"/>
          <w:color w:val="CC092F"/>
        </w:rPr>
      </w:pPr>
      <w:r>
        <w:rPr>
          <w:rFonts w:ascii="Arial" w:cs="Arial" w:eastAsia="Arial" w:hAnsi="Arial"/>
          <w:sz w:val="16"/>
          <w:szCs w:val="16"/>
          <w:color w:val="242424"/>
        </w:rPr>
        <w:t>No excessive risk taking in incentive plan design</w:t>
      </w:r>
    </w:p>
    <w:p>
      <w:pPr>
        <w:spacing w:after="0" w:line="126" w:lineRule="exact"/>
        <w:rPr>
          <w:rFonts w:ascii="Arial" w:cs="Arial" w:eastAsia="Arial" w:hAnsi="Arial"/>
          <w:sz w:val="19"/>
          <w:szCs w:val="19"/>
          <w:color w:val="CC092F"/>
        </w:rPr>
      </w:pPr>
    </w:p>
    <w:p>
      <w:pPr>
        <w:ind w:left="488" w:hanging="488"/>
        <w:spacing w:after="0"/>
        <w:tabs>
          <w:tab w:leader="none" w:pos="488" w:val="left"/>
        </w:tabs>
        <w:numPr>
          <w:ilvl w:val="0"/>
          <w:numId w:val="13"/>
        </w:numPr>
        <w:rPr>
          <w:rFonts w:ascii="Arial" w:cs="Arial" w:eastAsia="Arial" w:hAnsi="Arial"/>
          <w:sz w:val="19"/>
          <w:szCs w:val="19"/>
          <w:color w:val="CC092F"/>
        </w:rPr>
      </w:pPr>
      <w:r>
        <w:rPr>
          <w:rFonts w:ascii="Arial" w:cs="Arial" w:eastAsia="Arial" w:hAnsi="Arial"/>
          <w:sz w:val="16"/>
          <w:szCs w:val="16"/>
          <w:color w:val="242424"/>
        </w:rPr>
        <w:t>No re-pricing of underwater stock options</w:t>
      </w:r>
    </w:p>
    <w:p>
      <w:pPr>
        <w:spacing w:after="0" w:line="59" w:lineRule="exact"/>
        <w:rPr>
          <w:rFonts w:ascii="Arial" w:cs="Arial" w:eastAsia="Arial" w:hAnsi="Arial"/>
          <w:sz w:val="19"/>
          <w:szCs w:val="19"/>
          <w:color w:val="CC092F"/>
        </w:rPr>
      </w:pPr>
    </w:p>
    <w:p>
      <w:pPr>
        <w:ind w:left="488" w:hanging="488"/>
        <w:spacing w:after="0"/>
        <w:tabs>
          <w:tab w:leader="none" w:pos="488" w:val="left"/>
        </w:tabs>
        <w:numPr>
          <w:ilvl w:val="0"/>
          <w:numId w:val="13"/>
        </w:numPr>
        <w:rPr>
          <w:rFonts w:ascii="Arial" w:cs="Arial" w:eastAsia="Arial" w:hAnsi="Arial"/>
          <w:sz w:val="19"/>
          <w:szCs w:val="19"/>
          <w:color w:val="CC092F"/>
        </w:rPr>
      </w:pPr>
      <w:r>
        <w:rPr>
          <w:rFonts w:ascii="Arial" w:cs="Arial" w:eastAsia="Arial" w:hAnsi="Arial"/>
          <w:sz w:val="16"/>
          <w:szCs w:val="16"/>
          <w:color w:val="242424"/>
        </w:rPr>
        <w:t>No excise tax gross-ups</w:t>
      </w:r>
    </w:p>
    <w:p>
      <w:pPr>
        <w:spacing w:after="0" w:line="59" w:lineRule="exact"/>
        <w:rPr>
          <w:rFonts w:ascii="Arial" w:cs="Arial" w:eastAsia="Arial" w:hAnsi="Arial"/>
          <w:sz w:val="19"/>
          <w:szCs w:val="19"/>
          <w:color w:val="CC092F"/>
        </w:rPr>
      </w:pPr>
    </w:p>
    <w:p>
      <w:pPr>
        <w:ind w:left="488" w:hanging="488"/>
        <w:spacing w:after="0"/>
        <w:tabs>
          <w:tab w:leader="none" w:pos="488" w:val="left"/>
        </w:tabs>
        <w:numPr>
          <w:ilvl w:val="0"/>
          <w:numId w:val="13"/>
        </w:numPr>
        <w:rPr>
          <w:rFonts w:ascii="Arial" w:cs="Arial" w:eastAsia="Arial" w:hAnsi="Arial"/>
          <w:sz w:val="19"/>
          <w:szCs w:val="19"/>
          <w:color w:val="CC092F"/>
        </w:rPr>
      </w:pPr>
      <w:r>
        <w:rPr>
          <w:rFonts w:ascii="Arial" w:cs="Arial" w:eastAsia="Arial" w:hAnsi="Arial"/>
          <w:sz w:val="16"/>
          <w:szCs w:val="16"/>
          <w:color w:val="242424"/>
        </w:rPr>
        <w:t>No supplemental retirement and pension benefits</w:t>
      </w:r>
    </w:p>
    <w:p>
      <w:pPr>
        <w:spacing w:after="0" w:line="59" w:lineRule="exact"/>
        <w:rPr>
          <w:rFonts w:ascii="Arial" w:cs="Arial" w:eastAsia="Arial" w:hAnsi="Arial"/>
          <w:sz w:val="19"/>
          <w:szCs w:val="19"/>
          <w:color w:val="CC092F"/>
        </w:rPr>
      </w:pPr>
    </w:p>
    <w:p>
      <w:pPr>
        <w:ind w:left="488" w:hanging="488"/>
        <w:spacing w:after="0"/>
        <w:tabs>
          <w:tab w:leader="none" w:pos="488" w:val="left"/>
        </w:tabs>
        <w:numPr>
          <w:ilvl w:val="0"/>
          <w:numId w:val="13"/>
        </w:numPr>
        <w:rPr>
          <w:rFonts w:ascii="Arial" w:cs="Arial" w:eastAsia="Arial" w:hAnsi="Arial"/>
          <w:sz w:val="19"/>
          <w:szCs w:val="19"/>
          <w:color w:val="CC092F"/>
        </w:rPr>
      </w:pPr>
      <w:r>
        <w:rPr>
          <w:rFonts w:ascii="Arial" w:cs="Arial" w:eastAsia="Arial" w:hAnsi="Arial"/>
          <w:sz w:val="16"/>
          <w:szCs w:val="16"/>
          <w:color w:val="242424"/>
        </w:rPr>
        <w:t>No guaranteed bonuses</w:t>
      </w:r>
    </w:p>
    <w:p>
      <w:pPr>
        <w:spacing w:after="0" w:line="137" w:lineRule="exact"/>
        <w:rPr>
          <w:rFonts w:ascii="Arial" w:cs="Arial" w:eastAsia="Arial" w:hAnsi="Arial"/>
          <w:sz w:val="19"/>
          <w:szCs w:val="19"/>
          <w:color w:val="CC092F"/>
        </w:rPr>
      </w:pPr>
    </w:p>
    <w:p>
      <w:pPr>
        <w:ind w:left="488" w:hanging="488"/>
        <w:spacing w:after="0"/>
        <w:tabs>
          <w:tab w:leader="none" w:pos="488" w:val="left"/>
        </w:tabs>
        <w:numPr>
          <w:ilvl w:val="0"/>
          <w:numId w:val="13"/>
        </w:numPr>
        <w:rPr>
          <w:rFonts w:ascii="Arial" w:cs="Arial" w:eastAsia="Arial" w:hAnsi="Arial"/>
          <w:sz w:val="18"/>
          <w:szCs w:val="18"/>
          <w:color w:val="CC092F"/>
        </w:rPr>
      </w:pPr>
      <w:r>
        <w:rPr>
          <w:rFonts w:ascii="Arial" w:cs="Arial" w:eastAsia="Arial" w:hAnsi="Arial"/>
          <w:sz w:val="15"/>
          <w:szCs w:val="15"/>
          <w:color w:val="242424"/>
        </w:rPr>
        <w:t>No “single trigger” change in control payments or benefits</w:t>
      </w:r>
    </w:p>
    <w:p>
      <w:pPr>
        <w:spacing w:after="0" w:line="126" w:lineRule="exact"/>
        <w:rPr>
          <w:rFonts w:ascii="Arial" w:cs="Arial" w:eastAsia="Arial" w:hAnsi="Arial"/>
          <w:sz w:val="18"/>
          <w:szCs w:val="18"/>
          <w:color w:val="CC092F"/>
        </w:rPr>
      </w:pPr>
    </w:p>
    <w:p>
      <w:pPr>
        <w:ind w:left="488" w:hanging="488"/>
        <w:spacing w:after="0"/>
        <w:tabs>
          <w:tab w:leader="none" w:pos="488" w:val="left"/>
        </w:tabs>
        <w:numPr>
          <w:ilvl w:val="0"/>
          <w:numId w:val="13"/>
        </w:numPr>
        <w:rPr>
          <w:rFonts w:ascii="Arial" w:cs="Arial" w:eastAsia="Arial" w:hAnsi="Arial"/>
          <w:sz w:val="19"/>
          <w:szCs w:val="19"/>
          <w:color w:val="CC092F"/>
        </w:rPr>
      </w:pPr>
      <w:r>
        <w:rPr>
          <w:rFonts w:ascii="Arial" w:cs="Arial" w:eastAsia="Arial" w:hAnsi="Arial"/>
          <w:sz w:val="16"/>
          <w:szCs w:val="16"/>
          <w:color w:val="242424"/>
        </w:rPr>
        <w:t>No perquisites, other than in modest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-1106805</wp:posOffset>
            </wp:positionV>
            <wp:extent cx="7134860" cy="176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-753745</wp:posOffset>
            </wp:positionV>
            <wp:extent cx="7134860" cy="176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-400050</wp:posOffset>
            </wp:positionV>
            <wp:extent cx="7134860" cy="260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36830</wp:posOffset>
            </wp:positionV>
            <wp:extent cx="7134860" cy="168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-1409700</wp:posOffset>
            </wp:positionV>
            <wp:extent cx="7134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477" w:lineRule="exact"/>
        <w:rPr>
          <w:sz w:val="20"/>
          <w:szCs w:val="20"/>
          <w:color w:val="auto"/>
        </w:rPr>
      </w:pPr>
    </w:p>
    <w:p>
      <w:pPr>
        <w:sectPr>
          <w:pgSz w:w="11900" w:h="16838" w:orient="portrait"/>
          <w:cols w:equalWidth="0" w:num="2">
            <w:col w:w="5320" w:space="392"/>
            <w:col w:w="5508"/>
          </w:cols>
          <w:pgMar w:left="320" w:top="181" w:right="35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Fiscal Year 2021 Named Executive Officer Pay Mix</w:t>
      </w:r>
    </w:p>
    <w:p>
      <w:pPr>
        <w:spacing w:after="0" w:line="12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242424"/>
        </w:rPr>
        <w:t>The following charts compare the Fiscal Year 2021 target total direct compensation for our CEO and our other named executive officers (“NEOs”). Target total direct compensation consists of (i) base salary, (ii) target short-term incentives (“STI”) through our annual performance cash bonus plan (the “APB Plan”) and (iii) target long-term incentives (“LTI”) in the form of equity awards comprised of service-based restricted stock unit (“RSU”) awards and performance-based stock unit (“PSU”) awards based on the fair market value of the awards on the grant date or effective date, as the case may be. About half of our NEOs’, and more for our CEO’s, target total direct compensation in Fiscal Year 2021 was dependent upon our financial performance.</w:t>
      </w:r>
    </w:p>
    <w:p>
      <w:pPr>
        <w:spacing w:after="0" w:line="105"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242424"/>
        </w:rPr>
        <w:t>The CEO chart includes an annual PSU award granted in Fiscal Year 2021 based on its fair market value on the December 15, 2020 effective date and assuming target performance.</w:t>
      </w:r>
    </w:p>
    <w:p>
      <w:pPr>
        <w:spacing w:after="0" w:line="97"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242424"/>
        </w:rPr>
        <w:t>The Other NEO chart includes the equity awards granted in connection with the promotion of three NEOs: (i) the service-based RSU awards and PSU awards granted to Ms. Spears, assuming target performance, and (ii) the annualized value of the service-based RSU awards and PSU awards, which vests over three years, granted to Dr. Kawwas and Mr. Krause, in each case based on the fair market value on the December 15, 2020 effective date and assuming target performance. In addition, the Other NEO chart includes the portion of the multi-year equity awards of service-based RSU awards and PSU awards (“PSU Multi-Year Awards”) granted to our NEOs in January 2019 (the “2019 Multi-Year Equity Awards”) that began vesting in March 2021, based on the January 2019 grant date fair market value and assuming target performance. The 2019 Multi-Year Equity Awards vest on the same basis as if four annual equity grants were made on March 15 each year, beginning in 2019 for four successive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33655</wp:posOffset>
            </wp:positionV>
            <wp:extent cx="5081905" cy="21031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81905" cy="2103120"/>
                    </a:xfrm>
                    <a:prstGeom prst="rect">
                      <a:avLst/>
                    </a:prstGeom>
                    <a:noFill/>
                  </pic:spPr>
                </pic:pic>
              </a:graphicData>
            </a:graphic>
          </wp:anchor>
        </w:drawing>
      </w:r>
    </w:p>
    <w:p>
      <w:pPr>
        <w:sectPr>
          <w:pgSz w:w="11900" w:h="16838" w:orient="portrait"/>
          <w:cols w:equalWidth="0" w:num="1">
            <w:col w:w="11220"/>
          </w:cols>
          <w:pgMar w:left="320" w:top="18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5</w:t>
      </w:r>
    </w:p>
    <w:p>
      <w:pPr>
        <w:sectPr>
          <w:pgSz w:w="11900" w:h="16838" w:orient="portrait"/>
          <w:cols w:equalWidth="0" w:num="1">
            <w:col w:w="11220"/>
          </w:cols>
          <w:pgMar w:left="320" w:top="181" w:right="35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6"/>
          <w:szCs w:val="16"/>
          <w:color w:val="CC092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00"/>
        <w:spacing w:after="0"/>
        <w:rPr>
          <w:sz w:val="20"/>
          <w:szCs w:val="20"/>
          <w:color w:val="auto"/>
        </w:rPr>
      </w:pPr>
      <w:r>
        <w:rPr>
          <w:rFonts w:ascii="Arial" w:cs="Arial" w:eastAsia="Arial" w:hAnsi="Arial"/>
          <w:sz w:val="28"/>
          <w:szCs w:val="28"/>
          <w:color w:val="CC092F"/>
        </w:rPr>
        <w:t>CORPORATE GOVERNANCE</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Code of Ethics and Business Conduct</w:t>
      </w:r>
    </w:p>
    <w:p>
      <w:pPr>
        <w:spacing w:after="0" w:line="18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242424"/>
        </w:rPr>
        <w:t>We are committed to strong corporate governance. Our Board has adopted a Code of Ethics and Business Conduct (the “Code of Ethics”) that is applicable to all members of our Board, employees, including our President and CEO and Chief Financial Officer (“CFO”), and contractors. Our Code of Ethics guides us in how we conduct our business and work with each other, and reflects our values, standards and expectations. Any amendments to or waivers given to our executive officers or directors under the Code of Ethics will be disclosed on our website to the extent required under the applicable Securities and Exchange Commission (“SEC”) rules.</w:t>
      </w:r>
    </w:p>
    <w:p>
      <w:pPr>
        <w:spacing w:after="0" w:line="15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242424"/>
        </w:rPr>
        <w:t>A copy of the Code of Ethics is available in the “Investor Center—Corporate Governance—Documents” section of our website or upon request to: Investor Relations, Broadcom Inc., 1320 Ridder Park Drive, San Jose, California 95131</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Corporate Governance Guidelines</w:t>
      </w:r>
    </w:p>
    <w:p>
      <w:pPr>
        <w:spacing w:after="0" w:line="188"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242424"/>
        </w:rPr>
        <w:t>Our Board has adopted the Corporate Governance Guidelines that covers various topics relating to our Board and its activities. A copy of the Corporate Governance Guidelines is available in the “Investor Center—Corporate Governance—Documents” section of our website or upon request to: Investor Relations, Broadcom Inc., 1320 Ridder Park Drive, San Jose, California 95131.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242424"/>
        </w:rPr>
        <w:t>Some of the governance best practices included in the Corporate Governance Guidelines are as follows:</w:t>
      </w:r>
    </w:p>
    <w:p>
      <w:pPr>
        <w:spacing w:after="0" w:line="146"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i w:val="1"/>
          <w:iCs w:val="1"/>
          <w:color w:val="CC092F"/>
        </w:rPr>
      </w:pPr>
      <w:r>
        <w:rPr>
          <w:rFonts w:ascii="Arial" w:cs="Arial" w:eastAsia="Arial" w:hAnsi="Arial"/>
          <w:sz w:val="18"/>
          <w:szCs w:val="18"/>
          <w:i w:val="1"/>
          <w:iCs w:val="1"/>
          <w:color w:val="CC092F"/>
        </w:rPr>
        <w:t>Protections Against Director Overboarding</w:t>
      </w:r>
    </w:p>
    <w:p>
      <w:pPr>
        <w:spacing w:after="0" w:line="182" w:lineRule="exact"/>
        <w:rPr>
          <w:rFonts w:ascii="Arial" w:cs="Arial" w:eastAsia="Arial" w:hAnsi="Arial"/>
          <w:sz w:val="18"/>
          <w:szCs w:val="18"/>
          <w:i w:val="1"/>
          <w:iCs w:val="1"/>
          <w:color w:val="CC092F"/>
        </w:rPr>
      </w:pPr>
    </w:p>
    <w:p>
      <w:pPr>
        <w:ind w:left="640" w:right="80"/>
        <w:spacing w:after="0" w:line="246" w:lineRule="auto"/>
        <w:rPr>
          <w:rFonts w:ascii="Arial" w:cs="Arial" w:eastAsia="Arial" w:hAnsi="Arial"/>
          <w:sz w:val="18"/>
          <w:szCs w:val="18"/>
          <w:i w:val="1"/>
          <w:iCs w:val="1"/>
          <w:color w:val="CC092F"/>
        </w:rPr>
      </w:pPr>
      <w:r>
        <w:rPr>
          <w:rFonts w:ascii="Arial" w:cs="Arial" w:eastAsia="Arial" w:hAnsi="Arial"/>
          <w:sz w:val="18"/>
          <w:szCs w:val="18"/>
          <w:color w:val="242424"/>
        </w:rPr>
        <w:t>To ensure that our directors are not over-committed and have adequate time to fulfill their duties on our Board, directors may not serve on more than four other public company boards without prior approval, except that a director who also serves as the chief executive officer of a public company should not serve on more than two public company boards in addition to our Board. When considering any such requests, our Board carefully takes into consideration such director’s prior dedication of, and ability to continue to dedicate, sufficient time to fulfill the responsibilities required as a member of our Board and that the service with other public company boards does not and will not impact service on our Board.</w:t>
      </w:r>
    </w:p>
    <w:p>
      <w:pPr>
        <w:spacing w:after="0" w:line="140" w:lineRule="exact"/>
        <w:rPr>
          <w:rFonts w:ascii="Arial" w:cs="Arial" w:eastAsia="Arial" w:hAnsi="Arial"/>
          <w:sz w:val="18"/>
          <w:szCs w:val="18"/>
          <w:i w:val="1"/>
          <w:iCs w:val="1"/>
          <w:color w:val="CC092F"/>
        </w:rPr>
      </w:pPr>
    </w:p>
    <w:p>
      <w:pPr>
        <w:ind w:left="640" w:hanging="316"/>
        <w:spacing w:after="0"/>
        <w:tabs>
          <w:tab w:leader="none" w:pos="640" w:val="left"/>
        </w:tabs>
        <w:numPr>
          <w:ilvl w:val="0"/>
          <w:numId w:val="14"/>
        </w:numPr>
        <w:rPr>
          <w:rFonts w:ascii="Arial" w:cs="Arial" w:eastAsia="Arial" w:hAnsi="Arial"/>
          <w:sz w:val="18"/>
          <w:szCs w:val="18"/>
          <w:i w:val="1"/>
          <w:iCs w:val="1"/>
          <w:color w:val="CC092F"/>
        </w:rPr>
      </w:pPr>
      <w:r>
        <w:rPr>
          <w:rFonts w:ascii="Arial" w:cs="Arial" w:eastAsia="Arial" w:hAnsi="Arial"/>
          <w:sz w:val="18"/>
          <w:szCs w:val="18"/>
          <w:i w:val="1"/>
          <w:iCs w:val="1"/>
          <w:color w:val="CC092F"/>
        </w:rPr>
        <w:t>Resignation Offered with Significant Job Change</w:t>
      </w:r>
    </w:p>
    <w:p>
      <w:pPr>
        <w:spacing w:after="0" w:line="182" w:lineRule="exact"/>
        <w:rPr>
          <w:rFonts w:ascii="Arial" w:cs="Arial" w:eastAsia="Arial" w:hAnsi="Arial"/>
          <w:sz w:val="18"/>
          <w:szCs w:val="18"/>
          <w:i w:val="1"/>
          <w:iCs w:val="1"/>
          <w:color w:val="CC092F"/>
        </w:rPr>
      </w:pPr>
    </w:p>
    <w:p>
      <w:pPr>
        <w:ind w:left="640"/>
        <w:spacing w:after="0" w:line="247" w:lineRule="auto"/>
        <w:rPr>
          <w:rFonts w:ascii="Arial" w:cs="Arial" w:eastAsia="Arial" w:hAnsi="Arial"/>
          <w:sz w:val="18"/>
          <w:szCs w:val="18"/>
          <w:i w:val="1"/>
          <w:iCs w:val="1"/>
          <w:color w:val="CC092F"/>
        </w:rPr>
      </w:pPr>
      <w:r>
        <w:rPr>
          <w:rFonts w:ascii="Arial" w:cs="Arial" w:eastAsia="Arial" w:hAnsi="Arial"/>
          <w:sz w:val="18"/>
          <w:szCs w:val="18"/>
          <w:color w:val="242424"/>
        </w:rPr>
        <w:t>Any director who retires from or terminates his or her present employment, or who materially changes his or her position, is required to submit an offer of resignation as a director of our Board. This provides our Board the opportunity to evaluate whether the individual should continue to sit on our Board in light of the director’s new occupational status. Our Board may invite any such director to remain a director if our Board determines that continued access to such director’s knowledge, skills and experience is in the best interests of Broadcom and our stockholders.</w:t>
      </w:r>
    </w:p>
    <w:p>
      <w:pPr>
        <w:spacing w:after="0" w:line="135" w:lineRule="exact"/>
        <w:rPr>
          <w:rFonts w:ascii="Arial" w:cs="Arial" w:eastAsia="Arial" w:hAnsi="Arial"/>
          <w:sz w:val="18"/>
          <w:szCs w:val="18"/>
          <w:i w:val="1"/>
          <w:iCs w:val="1"/>
          <w:color w:val="CC092F"/>
        </w:rPr>
      </w:pPr>
    </w:p>
    <w:p>
      <w:pPr>
        <w:ind w:left="640" w:hanging="316"/>
        <w:spacing w:after="0"/>
        <w:tabs>
          <w:tab w:leader="none" w:pos="640" w:val="left"/>
        </w:tabs>
        <w:numPr>
          <w:ilvl w:val="0"/>
          <w:numId w:val="14"/>
        </w:numPr>
        <w:rPr>
          <w:rFonts w:ascii="Arial" w:cs="Arial" w:eastAsia="Arial" w:hAnsi="Arial"/>
          <w:sz w:val="18"/>
          <w:szCs w:val="18"/>
          <w:i w:val="1"/>
          <w:iCs w:val="1"/>
          <w:color w:val="CC092F"/>
        </w:rPr>
      </w:pPr>
      <w:r>
        <w:rPr>
          <w:rFonts w:ascii="Arial" w:cs="Arial" w:eastAsia="Arial" w:hAnsi="Arial"/>
          <w:sz w:val="18"/>
          <w:szCs w:val="18"/>
          <w:i w:val="1"/>
          <w:iCs w:val="1"/>
          <w:color w:val="CC092F"/>
        </w:rPr>
        <w:t>Resignation Offered at Age 75</w:t>
      </w:r>
    </w:p>
    <w:p>
      <w:pPr>
        <w:spacing w:after="0" w:line="182" w:lineRule="exact"/>
        <w:rPr>
          <w:rFonts w:ascii="Arial" w:cs="Arial" w:eastAsia="Arial" w:hAnsi="Arial"/>
          <w:sz w:val="18"/>
          <w:szCs w:val="18"/>
          <w:i w:val="1"/>
          <w:iCs w:val="1"/>
          <w:color w:val="CC092F"/>
        </w:rPr>
      </w:pPr>
    </w:p>
    <w:p>
      <w:pPr>
        <w:ind w:left="640"/>
        <w:spacing w:after="0" w:line="247" w:lineRule="auto"/>
        <w:rPr>
          <w:rFonts w:ascii="Arial" w:cs="Arial" w:eastAsia="Arial" w:hAnsi="Arial"/>
          <w:sz w:val="18"/>
          <w:szCs w:val="18"/>
          <w:i w:val="1"/>
          <w:iCs w:val="1"/>
          <w:color w:val="CC092F"/>
        </w:rPr>
      </w:pPr>
      <w:r>
        <w:rPr>
          <w:rFonts w:ascii="Arial" w:cs="Arial" w:eastAsia="Arial" w:hAnsi="Arial"/>
          <w:sz w:val="18"/>
          <w:szCs w:val="18"/>
          <w:color w:val="242424"/>
        </w:rPr>
        <w:t>Our Board does not currently believe that a mandatory retirement age for non-employee directors is necessary, and that continued service by a particular director may be in the best interests of Broadcom and our stockholders. However, when a non-employee director reaches the age of 75 years, the director is required to offer such director’s resignation to our Board, to be effective as of the next annual meeting of stockholders. This allows our Board to evaluate the composition and needs of our Board and the interests of Broadcom and our stockholders.</w:t>
      </w:r>
    </w:p>
    <w:p>
      <w:pPr>
        <w:spacing w:after="0" w:line="200" w:lineRule="exact"/>
        <w:rPr>
          <w:sz w:val="20"/>
          <w:szCs w:val="20"/>
          <w:color w:val="auto"/>
        </w:rPr>
      </w:pPr>
    </w:p>
    <w:p>
      <w:pPr>
        <w:spacing w:after="0" w:line="248" w:lineRule="exact"/>
        <w:rPr>
          <w:sz w:val="20"/>
          <w:szCs w:val="20"/>
          <w:color w:val="auto"/>
        </w:rPr>
      </w:pPr>
    </w:p>
    <w:p>
      <w:pPr>
        <w:ind w:left="280" w:hanging="274"/>
        <w:spacing w:after="0"/>
        <w:tabs>
          <w:tab w:leader="none" w:pos="280" w:val="left"/>
        </w:tabs>
        <w:numPr>
          <w:ilvl w:val="0"/>
          <w:numId w:val="15"/>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00"/>
          </w:cols>
          <w:pgMar w:left="320" w:top="181" w:right="379" w:bottom="1440" w:gutter="0" w:footer="0" w:header="0"/>
        </w:sectPr>
      </w:pPr>
    </w:p>
    <w:bookmarkStart w:id="9" w:name="page10"/>
    <w:bookmarkEnd w:id="9"/>
    <w:p>
      <w:pPr>
        <w:ind w:left="9060"/>
        <w:spacing w:after="0"/>
        <w:rPr>
          <w:sz w:val="20"/>
          <w:szCs w:val="20"/>
          <w:color w:val="auto"/>
        </w:rPr>
      </w:pPr>
      <w:r>
        <w:rPr>
          <w:rFonts w:ascii="Arial" w:cs="Arial" w:eastAsia="Arial" w:hAnsi="Arial"/>
          <w:sz w:val="15"/>
          <w:szCs w:val="15"/>
          <w:color w:val="CC092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Stock Ownership Guidelines</w:t>
      </w:r>
    </w:p>
    <w:p>
      <w:pPr>
        <w:spacing w:after="0" w:line="18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242424"/>
        </w:rPr>
        <w:t>Based on competitive market data and after consultation with the Compensation Committee’s independent compensation consultants, the stock ownership guidelines for our non-employee directors and executive officers are as follows:</w:t>
      </w:r>
    </w:p>
    <w:p>
      <w:pPr>
        <w:spacing w:after="0" w:line="91" w:lineRule="exact"/>
        <w:rPr>
          <w:sz w:val="20"/>
          <w:szCs w:val="20"/>
          <w:color w:val="auto"/>
        </w:rPr>
      </w:pPr>
    </w:p>
    <w:tbl>
      <w:tblPr>
        <w:tblLayout w:type="fixed"/>
        <w:tblInd w:w="400" w:type="dxa"/>
        <w:tblCellMar>
          <w:top w:w="0" w:type="dxa"/>
          <w:left w:w="0" w:type="dxa"/>
          <w:bottom w:w="0" w:type="dxa"/>
          <w:right w:w="0" w:type="dxa"/>
        </w:tblCellMar>
      </w:tblPr>
      <w:tr>
        <w:trPr>
          <w:trHeight w:val="249"/>
        </w:trPr>
        <w:tc>
          <w:tcPr>
            <w:tcW w:w="4100" w:type="dxa"/>
            <w:vAlign w:val="bottom"/>
            <w:tcBorders>
              <w:top w:val="single" w:sz="8" w:color="CC092F"/>
              <w:bottom w:val="single" w:sz="8" w:color="CC092F"/>
            </w:tcBorders>
            <w:shd w:val="clear" w:color="auto" w:fill="B8B8B8"/>
          </w:tcPr>
          <w:p>
            <w:pPr>
              <w:ind w:left="20"/>
              <w:spacing w:after="0"/>
              <w:rPr>
                <w:sz w:val="20"/>
                <w:szCs w:val="20"/>
                <w:color w:val="auto"/>
              </w:rPr>
            </w:pPr>
            <w:r>
              <w:rPr>
                <w:rFonts w:ascii="Arial" w:cs="Arial" w:eastAsia="Arial" w:hAnsi="Arial"/>
                <w:sz w:val="18"/>
                <w:szCs w:val="18"/>
                <w:b w:val="1"/>
                <w:bCs w:val="1"/>
                <w:color w:val="FFFFFF"/>
              </w:rPr>
              <w:t>Position</w:t>
            </w:r>
          </w:p>
        </w:tc>
        <w:tc>
          <w:tcPr>
            <w:tcW w:w="5640" w:type="dxa"/>
            <w:vAlign w:val="bottom"/>
            <w:tcBorders>
              <w:top w:val="single" w:sz="8" w:color="CC092F"/>
              <w:bottom w:val="single" w:sz="8" w:color="CC092F"/>
            </w:tcBorders>
            <w:shd w:val="clear" w:color="auto" w:fill="B8B8B8"/>
          </w:tcPr>
          <w:p>
            <w:pPr>
              <w:jc w:val="center"/>
              <w:ind w:left="632"/>
              <w:spacing w:after="0"/>
              <w:rPr>
                <w:sz w:val="20"/>
                <w:szCs w:val="20"/>
                <w:color w:val="auto"/>
              </w:rPr>
            </w:pPr>
            <w:r>
              <w:rPr>
                <w:rFonts w:ascii="Arial" w:cs="Arial" w:eastAsia="Arial" w:hAnsi="Arial"/>
                <w:sz w:val="18"/>
                <w:szCs w:val="18"/>
                <w:b w:val="1"/>
                <w:bCs w:val="1"/>
                <w:color w:val="FFFFFF"/>
                <w:w w:val="96"/>
              </w:rPr>
              <w:t>Aggregate Value*</w:t>
            </w:r>
          </w:p>
        </w:tc>
      </w:tr>
      <w:tr>
        <w:trPr>
          <w:trHeight w:val="220"/>
        </w:trPr>
        <w:tc>
          <w:tcPr>
            <w:tcW w:w="4100" w:type="dxa"/>
            <w:vAlign w:val="bottom"/>
          </w:tcPr>
          <w:p>
            <w:pPr>
              <w:ind w:left="20"/>
              <w:spacing w:after="0"/>
              <w:rPr>
                <w:sz w:val="20"/>
                <w:szCs w:val="20"/>
                <w:color w:val="auto"/>
              </w:rPr>
            </w:pPr>
            <w:r>
              <w:rPr>
                <w:rFonts w:ascii="Arial" w:cs="Arial" w:eastAsia="Arial" w:hAnsi="Arial"/>
                <w:sz w:val="18"/>
                <w:szCs w:val="18"/>
                <w:color w:val="242424"/>
              </w:rPr>
              <w:t>Non-employee Director</w:t>
            </w:r>
          </w:p>
        </w:tc>
        <w:tc>
          <w:tcPr>
            <w:tcW w:w="5640" w:type="dxa"/>
            <w:vAlign w:val="bottom"/>
          </w:tcPr>
          <w:p>
            <w:pPr>
              <w:jc w:val="center"/>
              <w:ind w:left="632"/>
              <w:spacing w:after="0"/>
              <w:rPr>
                <w:sz w:val="20"/>
                <w:szCs w:val="20"/>
                <w:color w:val="auto"/>
              </w:rPr>
            </w:pPr>
            <w:r>
              <w:rPr>
                <w:rFonts w:ascii="Arial" w:cs="Arial" w:eastAsia="Arial" w:hAnsi="Arial"/>
                <w:sz w:val="18"/>
                <w:szCs w:val="18"/>
                <w:color w:val="242424"/>
                <w:w w:val="98"/>
              </w:rPr>
              <w:t>5x annual cash retainer</w:t>
            </w:r>
          </w:p>
        </w:tc>
      </w:tr>
      <w:tr>
        <w:trPr>
          <w:trHeight w:val="226"/>
        </w:trPr>
        <w:tc>
          <w:tcPr>
            <w:tcW w:w="4100" w:type="dxa"/>
            <w:vAlign w:val="bottom"/>
            <w:shd w:val="clear" w:color="auto" w:fill="EAEAEA"/>
          </w:tcPr>
          <w:p>
            <w:pPr>
              <w:ind w:left="20"/>
              <w:spacing w:after="0"/>
              <w:rPr>
                <w:sz w:val="20"/>
                <w:szCs w:val="20"/>
                <w:color w:val="auto"/>
              </w:rPr>
            </w:pPr>
            <w:r>
              <w:rPr>
                <w:rFonts w:ascii="Arial" w:cs="Arial" w:eastAsia="Arial" w:hAnsi="Arial"/>
                <w:sz w:val="18"/>
                <w:szCs w:val="18"/>
                <w:color w:val="242424"/>
              </w:rPr>
              <w:t>CEO</w:t>
            </w:r>
          </w:p>
        </w:tc>
        <w:tc>
          <w:tcPr>
            <w:tcW w:w="5640" w:type="dxa"/>
            <w:vAlign w:val="bottom"/>
            <w:shd w:val="clear" w:color="auto" w:fill="EAEAEA"/>
          </w:tcPr>
          <w:p>
            <w:pPr>
              <w:jc w:val="center"/>
              <w:ind w:left="612"/>
              <w:spacing w:after="0"/>
              <w:rPr>
                <w:sz w:val="20"/>
                <w:szCs w:val="20"/>
                <w:color w:val="auto"/>
              </w:rPr>
            </w:pPr>
            <w:r>
              <w:rPr>
                <w:rFonts w:ascii="Arial" w:cs="Arial" w:eastAsia="Arial" w:hAnsi="Arial"/>
                <w:sz w:val="18"/>
                <w:szCs w:val="18"/>
                <w:color w:val="242424"/>
                <w:w w:val="98"/>
              </w:rPr>
              <w:t>6x base salary</w:t>
            </w:r>
          </w:p>
        </w:tc>
      </w:tr>
      <w:tr>
        <w:trPr>
          <w:trHeight w:val="224"/>
        </w:trPr>
        <w:tc>
          <w:tcPr>
            <w:tcW w:w="4100" w:type="dxa"/>
            <w:vAlign w:val="bottom"/>
          </w:tcPr>
          <w:p>
            <w:pPr>
              <w:ind w:left="20"/>
              <w:spacing w:after="0"/>
              <w:rPr>
                <w:sz w:val="20"/>
                <w:szCs w:val="20"/>
                <w:color w:val="auto"/>
              </w:rPr>
            </w:pPr>
            <w:r>
              <w:rPr>
                <w:rFonts w:ascii="Arial" w:cs="Arial" w:eastAsia="Arial" w:hAnsi="Arial"/>
                <w:sz w:val="18"/>
                <w:szCs w:val="18"/>
                <w:color w:val="242424"/>
              </w:rPr>
              <w:t>Executive Officer</w:t>
            </w:r>
          </w:p>
        </w:tc>
        <w:tc>
          <w:tcPr>
            <w:tcW w:w="5640" w:type="dxa"/>
            <w:vAlign w:val="bottom"/>
          </w:tcPr>
          <w:p>
            <w:pPr>
              <w:jc w:val="center"/>
              <w:ind w:left="612"/>
              <w:spacing w:after="0"/>
              <w:rPr>
                <w:sz w:val="20"/>
                <w:szCs w:val="20"/>
                <w:color w:val="auto"/>
              </w:rPr>
            </w:pPr>
            <w:r>
              <w:rPr>
                <w:rFonts w:ascii="Arial" w:cs="Arial" w:eastAsia="Arial" w:hAnsi="Arial"/>
                <w:sz w:val="18"/>
                <w:szCs w:val="18"/>
                <w:color w:val="242424"/>
                <w:w w:val="98"/>
              </w:rPr>
              <w:t>3x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143510</wp:posOffset>
            </wp:positionV>
            <wp:extent cx="1993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77" w:lineRule="exact"/>
        <w:rPr>
          <w:sz w:val="20"/>
          <w:szCs w:val="20"/>
          <w:color w:val="auto"/>
        </w:rPr>
      </w:pPr>
    </w:p>
    <w:p>
      <w:pPr>
        <w:ind w:left="480"/>
        <w:spacing w:after="0"/>
        <w:rPr>
          <w:sz w:val="20"/>
          <w:szCs w:val="20"/>
          <w:color w:val="auto"/>
        </w:rPr>
      </w:pPr>
      <w:r>
        <w:rPr>
          <w:rFonts w:ascii="Arial" w:cs="Arial" w:eastAsia="Arial" w:hAnsi="Arial"/>
          <w:sz w:val="14"/>
          <w:szCs w:val="14"/>
          <w:color w:val="242424"/>
        </w:rPr>
        <w:t>*Fair market value of common stock based on the closing price per share as quoted on the Nasdaq Global Select Market on the date of valuation.</w:t>
      </w:r>
    </w:p>
    <w:p>
      <w:pPr>
        <w:spacing w:after="0" w:line="15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242424"/>
        </w:rPr>
        <w:t>Our non-employee directors and executive officers are expected to satisfy the applicable guidelines within five years of the date on which they become a director or an executive officer and to hold at least such minimum value in shares of common stock while they remain a director or an executive officer.</w:t>
      </w:r>
    </w:p>
    <w:p>
      <w:pPr>
        <w:spacing w:after="0" w:line="15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242424"/>
        </w:rPr>
        <w:t>Shares of common stock held in a trust or other estate-planning vehicle established by a non-employee director or an executive officer, which they beneficially own under SEC rules, count toward achieving the applicable level of stock ownership. Outstanding service-based RSU awards and PSU awards for which the performance criteria have been met count toward achieving the applicable level of stock ownership at a rate of 100%. Shares subject to outstanding stock options awards do not count towards achieving the applicable stock ownership level.</w:t>
      </w:r>
    </w:p>
    <w:p>
      <w:pPr>
        <w:spacing w:after="0" w:line="140"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242424"/>
        </w:rPr>
        <w:t>As of the Record Date, all of our executive officers and non-employee directors had achieved the level of stock ownership set forth under the guidelines.</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Anti-Hedging and Trading Restrictions</w:t>
      </w:r>
    </w:p>
    <w:p>
      <w:pPr>
        <w:spacing w:after="0" w:line="188" w:lineRule="exact"/>
        <w:rPr>
          <w:sz w:val="20"/>
          <w:szCs w:val="20"/>
          <w:color w:val="auto"/>
        </w:rPr>
      </w:pPr>
    </w:p>
    <w:p>
      <w:pPr>
        <w:ind w:right="560"/>
        <w:spacing w:after="0" w:line="251" w:lineRule="auto"/>
        <w:rPr>
          <w:sz w:val="20"/>
          <w:szCs w:val="20"/>
          <w:color w:val="auto"/>
        </w:rPr>
      </w:pPr>
      <w:r>
        <w:rPr>
          <w:rFonts w:ascii="Arial" w:cs="Arial" w:eastAsia="Arial" w:hAnsi="Arial"/>
          <w:sz w:val="18"/>
          <w:szCs w:val="18"/>
          <w:color w:val="242424"/>
        </w:rPr>
        <w:t>Our insider trading policy prohibits our directors and employees, including our executive officers, from hedging or pledging our securities, making short sales or trading in derivative securities related to our securities.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CEO and Management Succession Planning</w:t>
      </w:r>
    </w:p>
    <w:p>
      <w:pPr>
        <w:spacing w:after="0" w:line="188"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242424"/>
        </w:rPr>
        <w:t>Our Board is actively involved in the CEO and senior management succession planning. Our Board reviews the succession plan and potential successors to the CEO and senior management at least bi-annually. Our Board, with our CEO and Vice President of Human Resources, regularly discuss and review the composition of senior management, the qualifications and experience of the potential successors, and the development priorities and achievements of the potential successors. Our Board also engages with the potential internal candidates at least annually at Board meetings and in less formal settings.</w:t>
      </w:r>
    </w:p>
    <w:p>
      <w:pPr>
        <w:spacing w:after="0" w:line="154" w:lineRule="exact"/>
        <w:rPr>
          <w:sz w:val="20"/>
          <w:szCs w:val="20"/>
          <w:color w:val="auto"/>
        </w:rPr>
      </w:pPr>
    </w:p>
    <w:p>
      <w:pPr>
        <w:spacing w:after="0" w:line="247" w:lineRule="auto"/>
        <w:rPr>
          <w:sz w:val="20"/>
          <w:szCs w:val="20"/>
          <w:color w:val="auto"/>
        </w:rPr>
      </w:pPr>
      <w:r>
        <w:rPr>
          <w:rFonts w:ascii="Arial" w:cs="Arial" w:eastAsia="Arial" w:hAnsi="Arial"/>
          <w:sz w:val="18"/>
          <w:szCs w:val="18"/>
          <w:color w:val="242424"/>
        </w:rPr>
        <w:t>Our Board has developed a CEO succession plan, both on an interim and a longer-term basis. The interim plan would utilize internal candidates and become effective in the event our CEO unexpectedly becomes unable to perform his duties, in order to minimize potential disruption or loss of continuity to the business and operations. The longer-term CEO succession plan is also currently focused on the development of internal candidates, as well as on maintaining business and operational continuity.</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Corporate Social Responsibility</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242424"/>
        </w:rPr>
        <w:t>Our Board, through the Nominating, Environmental, Social and Governance Committee (“NESG Committee”), oversees our environment, climate, diversity and inclusion, human rights and governance (“ESG”) matters, including our corporate social responsibility and sustainability program and initiatives. The NESG Committee receives quarterly updates from management on ESG matters and regularly updates the Board.</w:t>
      </w:r>
    </w:p>
    <w:p>
      <w:pPr>
        <w:spacing w:after="0" w:line="13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242424"/>
        </w:rPr>
        <w:t>In February 2022, we published our annual Environmental, Social and Governance Report for Fiscal Year 2021 (the “ESG Report”). In our ESG Report, we discuss our Fiscal Year 2021 ESG program and initiatives, including our products that help our customers with sustainability, our human rights program within our supply chain, our talented and dedicated workforce, and our environmental impact. We prepared our ESG Report leveraging the Global Reporting Initiative (GRI) Sustainability Reporting Standards (core option), the Sustainability Accounting Standards Board (SASB) Semiconductors and Software &amp; IT Services Industry Standards and the framework developed by the Task Force on Climate-Related</w:t>
      </w:r>
    </w:p>
    <w:p>
      <w:pPr>
        <w:spacing w:after="0" w:line="200" w:lineRule="exact"/>
        <w:rPr>
          <w:sz w:val="20"/>
          <w:szCs w:val="20"/>
          <w:color w:val="auto"/>
        </w:rPr>
      </w:pPr>
    </w:p>
    <w:p>
      <w:pPr>
        <w:spacing w:after="0" w:line="252"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7</w:t>
      </w:r>
    </w:p>
    <w:p>
      <w:pPr>
        <w:sectPr>
          <w:pgSz w:w="11900" w:h="16838" w:orient="portrait"/>
          <w:cols w:equalWidth="0" w:num="1">
            <w:col w:w="11220"/>
          </w:cols>
          <w:pgMar w:left="320" w:top="181"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16"/>
          <w:szCs w:val="16"/>
          <w:color w:val="CC092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242424"/>
        </w:rPr>
        <w:t>Financial Disclosures (TCFD). Our ESG Report is reviewed by the full Board. For more information regarding our corporate social responsibility and sustainability program and initiatives, see our ESG Report on the Citizenship and the Investor Center sections of our website. Our ESG Report and website are not part of or incorporated by reference into the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Stockholder Engagement</w:t>
      </w:r>
    </w:p>
    <w:p>
      <w:pPr>
        <w:spacing w:after="0" w:line="188"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242424"/>
        </w:rPr>
        <w:t>We recognize the importance of actively engaging with and understanding the concerns of our stockholders. Our Lead Independent Director and chairperson of the Compensation Committee, together with members of management, annually engage with our stockholders in a robust stockholder engagement program.</w:t>
      </w:r>
    </w:p>
    <w:p>
      <w:pPr>
        <w:spacing w:after="0" w:line="153" w:lineRule="exact"/>
        <w:rPr>
          <w:sz w:val="20"/>
          <w:szCs w:val="20"/>
          <w:color w:val="auto"/>
        </w:rPr>
      </w:pPr>
    </w:p>
    <w:p>
      <w:pPr>
        <w:spacing w:after="0" w:line="247" w:lineRule="auto"/>
        <w:rPr>
          <w:sz w:val="20"/>
          <w:szCs w:val="20"/>
          <w:color w:val="auto"/>
        </w:rPr>
      </w:pPr>
      <w:r>
        <w:rPr>
          <w:rFonts w:ascii="Arial" w:cs="Arial" w:eastAsia="Arial" w:hAnsi="Arial"/>
          <w:sz w:val="18"/>
          <w:szCs w:val="18"/>
          <w:color w:val="242424"/>
        </w:rPr>
        <w:t>In Fiscal Year 2021, we contacted stockholders beneficially owning over 60% of our then outstanding shares of common stock and engaged with stockholders owning over 57% of our then outstanding stock. Our Lead Independent Director and chairperson of the Compensation Committee, along with our Chairman of the Board and members of management, participated in these engagements and discussed a variety of topics, including the proposed amendment and restatement of our 2012 Stock Incentive Plan (the “2012 Plan”), executive management promotions, executive compensation, equity compensation, and ESG corporate social responsibility and sustainability.</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242424"/>
        </w:rPr>
        <w:t>Following the 2021 annual meeting and continuing into Fiscal Year 2022, we continued to meet with our stockholders to discuss the progress of our ESG corporate social responsibility and sustainability program and initiatives.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Stockholder Communications With Our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242424"/>
        </w:rPr>
        <w:t>You may communicate with our Board at the following address: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242424"/>
        </w:rPr>
        <w:t>The Board of Directors</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8"/>
          <w:szCs w:val="18"/>
          <w:color w:val="242424"/>
        </w:rPr>
        <w:t>Broadcom Inc.</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8"/>
          <w:szCs w:val="18"/>
          <w:color w:val="242424"/>
        </w:rPr>
        <w:t>c/o Chief Legal and Corporate Affairs Officer</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8"/>
          <w:szCs w:val="18"/>
          <w:color w:val="242424"/>
        </w:rPr>
        <w:t>1320 Ridder Park Drive</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8"/>
          <w:szCs w:val="18"/>
          <w:color w:val="242424"/>
        </w:rPr>
        <w:t>San Jose, California 95131</w:t>
      </w:r>
    </w:p>
    <w:p>
      <w:pPr>
        <w:spacing w:after="0" w:line="16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242424"/>
        </w:rPr>
        <w:t>Communications are distributed to our Board or to any individual director, as appropriate, depending on the facts and circumstances outlined in the communication. Communications that are unduly hostile, threatening, illegal or similarly unsuitable will be excluded, but will be made available to any director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80" w:hanging="274"/>
        <w:spacing w:after="0"/>
        <w:tabs>
          <w:tab w:leader="none" w:pos="280" w:val="left"/>
        </w:tabs>
        <w:numPr>
          <w:ilvl w:val="0"/>
          <w:numId w:val="16"/>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180"/>
          </w:cols>
          <w:pgMar w:left="320" w:top="181" w:right="399" w:bottom="1440" w:gutter="0" w:footer="0" w:header="0"/>
        </w:sectPr>
      </w:pPr>
    </w:p>
    <w:bookmarkStart w:id="11" w:name="page12"/>
    <w:bookmarkEnd w:id="11"/>
    <w:p>
      <w:pPr>
        <w:ind w:left="9420"/>
        <w:spacing w:after="0"/>
        <w:rPr>
          <w:sz w:val="20"/>
          <w:szCs w:val="20"/>
          <w:color w:val="auto"/>
        </w:rPr>
      </w:pPr>
      <w:r>
        <w:rPr>
          <w:rFonts w:ascii="Arial" w:cs="Arial" w:eastAsia="Arial" w:hAnsi="Arial"/>
          <w:sz w:val="15"/>
          <w:szCs w:val="15"/>
          <w:color w:val="CC092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CC092F"/>
        </w:rPr>
        <w:t>BOARD OF DIRECTORS</w:t>
      </w:r>
    </w:p>
    <w:p>
      <w:pPr>
        <w:spacing w:after="0" w:line="224"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242424"/>
        </w:rPr>
        <w:t>Our Board oversees the conduct of our business by our senior management, provides guidance on our strategic and business planning processes, is principally responsible for the succession planning for our key executives, including our CEO, and ensures that the long-term interests of stockholders are being served.</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Director Independence</w:t>
      </w:r>
    </w:p>
    <w:p>
      <w:pPr>
        <w:spacing w:after="0" w:line="18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242424"/>
        </w:rPr>
        <w:t>Our Board annually reviews the independence of each director and nominee and considers whether such individual has a material relationship with Broadcom that could compromise their ability to exercise independent judgment in carrying out their responsibilities. For the purposes of assessing a director’s independence, our Board reviewed transactions and relationships between Broadcom and an entity where a director or nominee serves as a director and/or is the beneficial owner, directly or indirectly, of such entity, or where a director or nominee for director serves on a non-employee advisory board of, or in a non-employee advisory capacity to, such an entity.</w:t>
      </w:r>
    </w:p>
    <w:p>
      <w:pPr>
        <w:spacing w:after="0" w:line="15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242424"/>
        </w:rPr>
        <w:t>While Dr. Samueli is now considered independent under the Nasdaq Stock Market (“Nasdaq”) listing standards, Dr. Samueli would not be deemed independent until December 2023 under Institutional Shareholder Services (ISS) and Glass Lewis proxy voting policies. Accordingly, our Board has determined that Messrs. Fernandez, Hartenstein, Low and You and Mses. Bryant, Delly and Page, representing seven of our nine director nominees, are currently “independent directors.”</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Board Leadership Structure</w:t>
      </w:r>
    </w:p>
    <w:p>
      <w:pPr>
        <w:spacing w:after="0" w:line="188" w:lineRule="exact"/>
        <w:rPr>
          <w:sz w:val="20"/>
          <w:szCs w:val="20"/>
          <w:color w:val="auto"/>
        </w:rPr>
      </w:pPr>
    </w:p>
    <w:p>
      <w:pPr>
        <w:spacing w:after="0" w:line="262" w:lineRule="auto"/>
        <w:rPr>
          <w:sz w:val="20"/>
          <w:szCs w:val="20"/>
          <w:color w:val="auto"/>
        </w:rPr>
      </w:pPr>
      <w:r>
        <w:rPr>
          <w:rFonts w:ascii="Arial" w:cs="Arial" w:eastAsia="Arial" w:hAnsi="Arial"/>
          <w:sz w:val="17"/>
          <w:szCs w:val="17"/>
          <w:color w:val="242424"/>
        </w:rPr>
        <w:t>Our Board currently believes that Broadcom and its stockholders are best served by a Board leadership structure in which the roles of the CEO and the Chairman of the Board are held by different individuals, and that there be a Lead Independent Director if the Chairman is not independent. Under this structure our CEO is generally responsible for setting the strategic direction of Broadcom and for the day-to-day management of our operations. The independent Chairman or the Lead Independent Director, as applicable, provides strong independent leadership to assist our Board in fulfilling its oversight role of management and our risk management practices, approves the agenda for Board meetings and presides over Board meetings and over the meetings of our independent directors in executive session. Our Board annually reviews its leadership structure to determine whether it continues to best serve Broadcom and its stockholders. Currently, Mr. Tan serves as our President and CEO, Dr. Samueli serves as our Chairman of the Board and Mr. Hartenstein serves as our Lead Independent Director. As a result of the review, our Board has decided that the current leadership structure and division of responsibilities should be continued.</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Director Nominations</w:t>
      </w:r>
    </w:p>
    <w:p>
      <w:pPr>
        <w:spacing w:after="0" w:line="18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242424"/>
        </w:rPr>
        <w:t>In accordance with our Corporate Governance Guidelines, our Board seeks individuals to serve as directors who have the highest personal and professional integrity, demonstrated exceptional ability and judgment, and diversity of skills, experience and background appropriate for the business and operations of Broadcom.</w:t>
      </w:r>
    </w:p>
    <w:p>
      <w:pPr>
        <w:spacing w:after="0" w:line="153"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242424"/>
        </w:rPr>
        <w:t>When evaluating director candidates, the NESG Committee seeks to ensure that our Board has the requisite skills, experience and expertise, and that our Board consist of persons with appropriately diverse and independent backgrounds.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242424"/>
        </w:rPr>
        <w:t>The NESG Committee will consider all aspects of a candidate’s qualifications in the context of the needs of Broadcom, including:</w:t>
      </w:r>
    </w:p>
    <w:p>
      <w:pPr>
        <w:spacing w:after="0" w:line="68" w:lineRule="exact"/>
        <w:rPr>
          <w:sz w:val="20"/>
          <w:szCs w:val="20"/>
          <w:color w:val="auto"/>
        </w:rPr>
      </w:pPr>
    </w:p>
    <w:p>
      <w:pPr>
        <w:ind w:left="520" w:hanging="276"/>
        <w:spacing w:after="0"/>
        <w:tabs>
          <w:tab w:leader="none" w:pos="520" w:val="left"/>
        </w:tabs>
        <w:numPr>
          <w:ilvl w:val="0"/>
          <w:numId w:val="17"/>
        </w:numPr>
        <w:rPr>
          <w:rFonts w:ascii="Arial" w:cs="Arial" w:eastAsia="Arial" w:hAnsi="Arial"/>
          <w:sz w:val="21"/>
          <w:szCs w:val="21"/>
          <w:color w:val="242424"/>
        </w:rPr>
      </w:pPr>
      <w:r>
        <w:rPr>
          <w:rFonts w:ascii="Arial" w:cs="Arial" w:eastAsia="Arial" w:hAnsi="Arial"/>
          <w:sz w:val="18"/>
          <w:szCs w:val="18"/>
          <w:color w:val="242424"/>
        </w:rPr>
        <w:t>personal and professional integrity, ethics and values</w:t>
      </w:r>
    </w:p>
    <w:p>
      <w:pPr>
        <w:spacing w:after="0" w:line="63" w:lineRule="exact"/>
        <w:rPr>
          <w:rFonts w:ascii="Arial" w:cs="Arial" w:eastAsia="Arial" w:hAnsi="Arial"/>
          <w:sz w:val="21"/>
          <w:szCs w:val="21"/>
          <w:color w:val="242424"/>
        </w:rPr>
      </w:pPr>
    </w:p>
    <w:p>
      <w:pPr>
        <w:ind w:left="520" w:hanging="276"/>
        <w:spacing w:after="0"/>
        <w:tabs>
          <w:tab w:leader="none" w:pos="520" w:val="left"/>
        </w:tabs>
        <w:numPr>
          <w:ilvl w:val="0"/>
          <w:numId w:val="17"/>
        </w:numPr>
        <w:rPr>
          <w:rFonts w:ascii="Arial" w:cs="Arial" w:eastAsia="Arial" w:hAnsi="Arial"/>
          <w:sz w:val="21"/>
          <w:szCs w:val="21"/>
          <w:color w:val="242424"/>
        </w:rPr>
      </w:pPr>
      <w:r>
        <w:rPr>
          <w:rFonts w:ascii="Arial" w:cs="Arial" w:eastAsia="Arial" w:hAnsi="Arial"/>
          <w:sz w:val="18"/>
          <w:szCs w:val="18"/>
          <w:color w:val="242424"/>
        </w:rPr>
        <w:t>experience as an officer in corporate management</w:t>
      </w:r>
    </w:p>
    <w:p>
      <w:pPr>
        <w:spacing w:after="0" w:line="63" w:lineRule="exact"/>
        <w:rPr>
          <w:rFonts w:ascii="Arial" w:cs="Arial" w:eastAsia="Arial" w:hAnsi="Arial"/>
          <w:sz w:val="21"/>
          <w:szCs w:val="21"/>
          <w:color w:val="242424"/>
        </w:rPr>
      </w:pPr>
    </w:p>
    <w:p>
      <w:pPr>
        <w:ind w:left="520" w:hanging="276"/>
        <w:spacing w:after="0"/>
        <w:tabs>
          <w:tab w:leader="none" w:pos="520" w:val="left"/>
        </w:tabs>
        <w:numPr>
          <w:ilvl w:val="0"/>
          <w:numId w:val="17"/>
        </w:numPr>
        <w:rPr>
          <w:rFonts w:ascii="Arial" w:cs="Arial" w:eastAsia="Arial" w:hAnsi="Arial"/>
          <w:sz w:val="21"/>
          <w:szCs w:val="21"/>
          <w:color w:val="242424"/>
        </w:rPr>
      </w:pPr>
      <w:r>
        <w:rPr>
          <w:rFonts w:ascii="Arial" w:cs="Arial" w:eastAsia="Arial" w:hAnsi="Arial"/>
          <w:sz w:val="18"/>
          <w:szCs w:val="18"/>
          <w:color w:val="242424"/>
        </w:rPr>
        <w:t>experience and expertise in our industry and international business and familiarity with Broadcom</w:t>
      </w:r>
    </w:p>
    <w:p>
      <w:pPr>
        <w:spacing w:after="0" w:line="63" w:lineRule="exact"/>
        <w:rPr>
          <w:rFonts w:ascii="Arial" w:cs="Arial" w:eastAsia="Arial" w:hAnsi="Arial"/>
          <w:sz w:val="21"/>
          <w:szCs w:val="21"/>
          <w:color w:val="242424"/>
        </w:rPr>
      </w:pPr>
    </w:p>
    <w:p>
      <w:pPr>
        <w:ind w:left="520" w:hanging="276"/>
        <w:spacing w:after="0"/>
        <w:tabs>
          <w:tab w:leader="none" w:pos="520" w:val="left"/>
        </w:tabs>
        <w:numPr>
          <w:ilvl w:val="0"/>
          <w:numId w:val="17"/>
        </w:numPr>
        <w:rPr>
          <w:rFonts w:ascii="Arial" w:cs="Arial" w:eastAsia="Arial" w:hAnsi="Arial"/>
          <w:sz w:val="21"/>
          <w:szCs w:val="21"/>
          <w:color w:val="242424"/>
        </w:rPr>
      </w:pPr>
      <w:r>
        <w:rPr>
          <w:rFonts w:ascii="Arial" w:cs="Arial" w:eastAsia="Arial" w:hAnsi="Arial"/>
          <w:sz w:val="18"/>
          <w:szCs w:val="18"/>
          <w:color w:val="242424"/>
        </w:rPr>
        <w:t>experience as a board member of another public company</w:t>
      </w:r>
    </w:p>
    <w:p>
      <w:pPr>
        <w:spacing w:after="0" w:line="63" w:lineRule="exact"/>
        <w:rPr>
          <w:rFonts w:ascii="Arial" w:cs="Arial" w:eastAsia="Arial" w:hAnsi="Arial"/>
          <w:sz w:val="21"/>
          <w:szCs w:val="21"/>
          <w:color w:val="242424"/>
        </w:rPr>
      </w:pPr>
    </w:p>
    <w:p>
      <w:pPr>
        <w:ind w:left="520" w:hanging="276"/>
        <w:spacing w:after="0"/>
        <w:tabs>
          <w:tab w:leader="none" w:pos="520" w:val="left"/>
        </w:tabs>
        <w:numPr>
          <w:ilvl w:val="0"/>
          <w:numId w:val="17"/>
        </w:numPr>
        <w:rPr>
          <w:rFonts w:ascii="Arial" w:cs="Arial" w:eastAsia="Arial" w:hAnsi="Arial"/>
          <w:sz w:val="21"/>
          <w:szCs w:val="21"/>
          <w:color w:val="242424"/>
        </w:rPr>
      </w:pPr>
      <w:r>
        <w:rPr>
          <w:rFonts w:ascii="Arial" w:cs="Arial" w:eastAsia="Arial" w:hAnsi="Arial"/>
          <w:sz w:val="18"/>
          <w:szCs w:val="18"/>
          <w:color w:val="242424"/>
        </w:rPr>
        <w:t>practical and mature business judgment</w:t>
      </w:r>
    </w:p>
    <w:p>
      <w:pPr>
        <w:spacing w:after="0" w:line="63" w:lineRule="exact"/>
        <w:rPr>
          <w:rFonts w:ascii="Arial" w:cs="Arial" w:eastAsia="Arial" w:hAnsi="Arial"/>
          <w:sz w:val="21"/>
          <w:szCs w:val="21"/>
          <w:color w:val="242424"/>
        </w:rPr>
      </w:pPr>
    </w:p>
    <w:p>
      <w:pPr>
        <w:ind w:left="520" w:hanging="276"/>
        <w:spacing w:after="0"/>
        <w:tabs>
          <w:tab w:leader="none" w:pos="520" w:val="left"/>
        </w:tabs>
        <w:numPr>
          <w:ilvl w:val="0"/>
          <w:numId w:val="17"/>
        </w:numPr>
        <w:rPr>
          <w:rFonts w:ascii="Arial" w:cs="Arial" w:eastAsia="Arial" w:hAnsi="Arial"/>
          <w:sz w:val="21"/>
          <w:szCs w:val="21"/>
          <w:color w:val="242424"/>
        </w:rPr>
      </w:pPr>
      <w:r>
        <w:rPr>
          <w:rFonts w:ascii="Arial" w:cs="Arial" w:eastAsia="Arial" w:hAnsi="Arial"/>
          <w:sz w:val="18"/>
          <w:szCs w:val="18"/>
          <w:color w:val="242424"/>
        </w:rPr>
        <w:t>diversity of background and perspective (inclusive of age, ethnicity, experience, gender and race)</w:t>
      </w:r>
    </w:p>
    <w:p>
      <w:pPr>
        <w:spacing w:after="0" w:line="63" w:lineRule="exact"/>
        <w:rPr>
          <w:rFonts w:ascii="Arial" w:cs="Arial" w:eastAsia="Arial" w:hAnsi="Arial"/>
          <w:sz w:val="21"/>
          <w:szCs w:val="21"/>
          <w:color w:val="242424"/>
        </w:rPr>
      </w:pPr>
    </w:p>
    <w:p>
      <w:pPr>
        <w:ind w:left="520" w:hanging="276"/>
        <w:spacing w:after="0"/>
        <w:tabs>
          <w:tab w:leader="none" w:pos="520" w:val="left"/>
        </w:tabs>
        <w:numPr>
          <w:ilvl w:val="0"/>
          <w:numId w:val="17"/>
        </w:numPr>
        <w:rPr>
          <w:rFonts w:ascii="Arial" w:cs="Arial" w:eastAsia="Arial" w:hAnsi="Arial"/>
          <w:sz w:val="21"/>
          <w:szCs w:val="21"/>
          <w:color w:val="242424"/>
        </w:rPr>
      </w:pPr>
      <w:r>
        <w:rPr>
          <w:rFonts w:ascii="Arial" w:cs="Arial" w:eastAsia="Arial" w:hAnsi="Arial"/>
          <w:sz w:val="18"/>
          <w:szCs w:val="18"/>
          <w:color w:val="242424"/>
        </w:rPr>
        <w:t>current Board size and composition and the extent to which a candidate would fill a present need on our Board</w:t>
      </w:r>
    </w:p>
    <w:p>
      <w:pPr>
        <w:spacing w:after="0" w:line="63" w:lineRule="exact"/>
        <w:rPr>
          <w:rFonts w:ascii="Arial" w:cs="Arial" w:eastAsia="Arial" w:hAnsi="Arial"/>
          <w:sz w:val="21"/>
          <w:szCs w:val="21"/>
          <w:color w:val="242424"/>
        </w:rPr>
      </w:pPr>
    </w:p>
    <w:p>
      <w:pPr>
        <w:ind w:left="520" w:hanging="276"/>
        <w:spacing w:after="0"/>
        <w:tabs>
          <w:tab w:leader="none" w:pos="520" w:val="left"/>
        </w:tabs>
        <w:numPr>
          <w:ilvl w:val="0"/>
          <w:numId w:val="17"/>
        </w:numPr>
        <w:rPr>
          <w:rFonts w:ascii="Arial" w:cs="Arial" w:eastAsia="Arial" w:hAnsi="Arial"/>
          <w:sz w:val="21"/>
          <w:szCs w:val="21"/>
          <w:color w:val="242424"/>
        </w:rPr>
      </w:pPr>
      <w:r>
        <w:rPr>
          <w:rFonts w:ascii="Arial" w:cs="Arial" w:eastAsia="Arial" w:hAnsi="Arial"/>
          <w:sz w:val="18"/>
          <w:szCs w:val="18"/>
          <w:color w:val="242424"/>
        </w:rPr>
        <w:t>other ongoing commitments and obligations of the candidate</w:t>
      </w:r>
    </w:p>
    <w:p>
      <w:pPr>
        <w:spacing w:after="0" w:line="63" w:lineRule="exact"/>
        <w:rPr>
          <w:rFonts w:ascii="Arial" w:cs="Arial" w:eastAsia="Arial" w:hAnsi="Arial"/>
          <w:sz w:val="21"/>
          <w:szCs w:val="21"/>
          <w:color w:val="242424"/>
        </w:rPr>
      </w:pPr>
    </w:p>
    <w:p>
      <w:pPr>
        <w:ind w:left="520" w:hanging="276"/>
        <w:spacing w:after="0"/>
        <w:tabs>
          <w:tab w:leader="none" w:pos="520" w:val="left"/>
        </w:tabs>
        <w:numPr>
          <w:ilvl w:val="0"/>
          <w:numId w:val="17"/>
        </w:numPr>
        <w:rPr>
          <w:rFonts w:ascii="Arial" w:cs="Arial" w:eastAsia="Arial" w:hAnsi="Arial"/>
          <w:sz w:val="21"/>
          <w:szCs w:val="21"/>
          <w:color w:val="242424"/>
        </w:rPr>
      </w:pPr>
      <w:r>
        <w:rPr>
          <w:rFonts w:ascii="Arial" w:cs="Arial" w:eastAsia="Arial" w:hAnsi="Arial"/>
          <w:sz w:val="18"/>
          <w:szCs w:val="18"/>
          <w:color w:val="242424"/>
        </w:rPr>
        <w:t>independence from management</w:t>
      </w:r>
    </w:p>
    <w:p>
      <w:pPr>
        <w:spacing w:after="0" w:line="200" w:lineRule="exact"/>
        <w:rPr>
          <w:sz w:val="20"/>
          <w:szCs w:val="20"/>
          <w:color w:val="auto"/>
        </w:rPr>
      </w:pPr>
    </w:p>
    <w:p>
      <w:pPr>
        <w:spacing w:after="0" w:line="253"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9</w:t>
      </w:r>
    </w:p>
    <w:p>
      <w:pPr>
        <w:sectPr>
          <w:pgSz w:w="11900" w:h="16838" w:orient="portrait"/>
          <w:cols w:equalWidth="0" w:num="1">
            <w:col w:w="11240"/>
          </w:cols>
          <w:pgMar w:left="320" w:top="340" w:right="339" w:bottom="1440" w:gutter="0" w:footer="0" w:header="0"/>
        </w:sectPr>
      </w:pPr>
    </w:p>
    <w:bookmarkStart w:id="12" w:name="page13"/>
    <w:bookmarkEnd w:id="12"/>
    <w:p>
      <w:pPr>
        <w:ind w:left="100"/>
        <w:spacing w:after="0"/>
        <w:rPr>
          <w:sz w:val="20"/>
          <w:szCs w:val="20"/>
          <w:color w:val="auto"/>
        </w:rPr>
      </w:pPr>
      <w:r>
        <w:rPr>
          <w:rFonts w:ascii="Arial" w:cs="Arial" w:eastAsia="Arial" w:hAnsi="Arial"/>
          <w:sz w:val="16"/>
          <w:szCs w:val="16"/>
          <w:color w:val="CC092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8255</wp:posOffset>
            </wp:positionV>
            <wp:extent cx="7134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0"/>
        <w:spacing w:after="0" w:line="248" w:lineRule="auto"/>
        <w:rPr>
          <w:sz w:val="20"/>
          <w:szCs w:val="20"/>
          <w:color w:val="auto"/>
        </w:rPr>
      </w:pPr>
      <w:r>
        <w:rPr>
          <w:rFonts w:ascii="Arial" w:cs="Arial" w:eastAsia="Arial" w:hAnsi="Arial"/>
          <w:sz w:val="18"/>
          <w:szCs w:val="18"/>
          <w:color w:val="242424"/>
        </w:rPr>
        <w:t>The NESG Committee will consider nominee recommendations from its members, other Board members and members of our management, as well as nominees recommended by our stockholders. The NESG Committee has from time to time also engaged third-party search firms to assist in identifying and evaluating possible candidates.</w:t>
      </w:r>
    </w:p>
    <w:p>
      <w:pPr>
        <w:spacing w:after="0" w:line="135" w:lineRule="exact"/>
        <w:rPr>
          <w:sz w:val="20"/>
          <w:szCs w:val="20"/>
          <w:color w:val="auto"/>
        </w:rPr>
      </w:pPr>
    </w:p>
    <w:p>
      <w:pPr>
        <w:ind w:left="80" w:right="800"/>
        <w:spacing w:after="0" w:line="272" w:lineRule="auto"/>
        <w:rPr>
          <w:sz w:val="20"/>
          <w:szCs w:val="20"/>
          <w:color w:val="auto"/>
        </w:rPr>
      </w:pPr>
      <w:r>
        <w:rPr>
          <w:rFonts w:ascii="Arial" w:cs="Arial" w:eastAsia="Arial" w:hAnsi="Arial"/>
          <w:sz w:val="18"/>
          <w:szCs w:val="18"/>
          <w:color w:val="242424"/>
        </w:rPr>
        <w:t>See “</w:t>
      </w:r>
      <w:r>
        <w:rPr>
          <w:rFonts w:ascii="Arial" w:cs="Arial" w:eastAsia="Arial" w:hAnsi="Arial"/>
          <w:sz w:val="18"/>
          <w:szCs w:val="18"/>
          <w:i w:val="1"/>
          <w:iCs w:val="1"/>
          <w:color w:val="242424"/>
        </w:rPr>
        <w:t>Other Information – Stockholder Proposals and Director Nominations for the 2023 Annual Meeting</w:t>
      </w:r>
      <w:r>
        <w:rPr>
          <w:rFonts w:ascii="Arial" w:cs="Arial" w:eastAsia="Arial" w:hAnsi="Arial"/>
          <w:sz w:val="18"/>
          <w:szCs w:val="18"/>
          <w:color w:val="242424"/>
        </w:rPr>
        <w:t>” below for information on the requirements for director nominations, including nominations using proxy access.</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CC092F"/>
        </w:rPr>
        <w:t>Director Attendance and Meetings</w:t>
      </w:r>
    </w:p>
    <w:p>
      <w:pPr>
        <w:spacing w:after="0" w:line="188" w:lineRule="exact"/>
        <w:rPr>
          <w:sz w:val="20"/>
          <w:szCs w:val="20"/>
          <w:color w:val="auto"/>
        </w:rPr>
      </w:pPr>
    </w:p>
    <w:p>
      <w:pPr>
        <w:ind w:left="80" w:right="80"/>
        <w:spacing w:after="0" w:line="247" w:lineRule="auto"/>
        <w:rPr>
          <w:sz w:val="20"/>
          <w:szCs w:val="20"/>
          <w:color w:val="auto"/>
        </w:rPr>
      </w:pPr>
      <w:r>
        <w:rPr>
          <w:rFonts w:ascii="Arial" w:cs="Arial" w:eastAsia="Arial" w:hAnsi="Arial"/>
          <w:sz w:val="18"/>
          <w:szCs w:val="18"/>
          <w:color w:val="242424"/>
        </w:rPr>
        <w:t>Our Board held 11 meetings during Fiscal Year 2021 and our independent directors met at regularly scheduled executive sessions without management present. Each director attended at least 75% of the aggregate number of meetings of our Board and all committees of our Board on which the director served during Fiscal Year 2021. Our Corporate Governance Guidelines provide that each director is expected to attend the annual meetings of our stockholders. All of our directors attended the annual meeting in April 2021.</w:t>
      </w:r>
    </w:p>
    <w:p>
      <w:pPr>
        <w:spacing w:after="0" w:line="190"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CC092F"/>
        </w:rPr>
        <w:t>Board Evaluations</w:t>
      </w:r>
    </w:p>
    <w:p>
      <w:pPr>
        <w:spacing w:after="0" w:line="188" w:lineRule="exact"/>
        <w:rPr>
          <w:sz w:val="20"/>
          <w:szCs w:val="20"/>
          <w:color w:val="auto"/>
        </w:rPr>
      </w:pPr>
    </w:p>
    <w:p>
      <w:pPr>
        <w:ind w:left="80" w:right="80"/>
        <w:spacing w:after="0" w:line="247" w:lineRule="auto"/>
        <w:rPr>
          <w:sz w:val="20"/>
          <w:szCs w:val="20"/>
          <w:color w:val="auto"/>
        </w:rPr>
      </w:pPr>
      <w:r>
        <w:rPr>
          <w:rFonts w:ascii="Arial" w:cs="Arial" w:eastAsia="Arial" w:hAnsi="Arial"/>
          <w:sz w:val="18"/>
          <w:szCs w:val="18"/>
          <w:color w:val="242424"/>
        </w:rPr>
        <w:t>Our Board is committed to reviewing its performance through an annual evaluation process, which is overseen by the NESG Committee. Through the evaluations, our directors provide feedback on our Board and its committees and our Board assesses its processes and overall effectiveness. The Chairman of the Board and the Lead Independent Director report the results to our full Board and the Chairpersons of each committee report the results to their respective committees.</w:t>
      </w:r>
    </w:p>
    <w:p>
      <w:pPr>
        <w:spacing w:after="0" w:line="190"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CC092F"/>
        </w:rPr>
        <w:t>Board Risk Oversight</w:t>
      </w:r>
    </w:p>
    <w:p>
      <w:pPr>
        <w:spacing w:after="0" w:line="188" w:lineRule="exact"/>
        <w:rPr>
          <w:sz w:val="20"/>
          <w:szCs w:val="20"/>
          <w:color w:val="auto"/>
        </w:rPr>
      </w:pPr>
    </w:p>
    <w:p>
      <w:pPr>
        <w:ind w:left="80" w:right="180"/>
        <w:spacing w:after="0" w:line="248" w:lineRule="auto"/>
        <w:rPr>
          <w:sz w:val="20"/>
          <w:szCs w:val="20"/>
          <w:color w:val="auto"/>
        </w:rPr>
      </w:pPr>
      <w:r>
        <w:rPr>
          <w:rFonts w:ascii="Arial" w:cs="Arial" w:eastAsia="Arial" w:hAnsi="Arial"/>
          <w:sz w:val="18"/>
          <w:szCs w:val="18"/>
          <w:color w:val="242424"/>
        </w:rPr>
        <w:t>Our Board believes that evaluating Broadcom’s most critical risks is one of its most important areas of oversight. Our Board regularly reviews and discusses with management risks related to operations, liquidity, credit, cybersecurity, climate/environment, compensation programs, workforce retention and senior management succession.</w:t>
      </w:r>
    </w:p>
    <w:p>
      <w:pPr>
        <w:spacing w:after="0" w:line="153" w:lineRule="exact"/>
        <w:rPr>
          <w:sz w:val="20"/>
          <w:szCs w:val="20"/>
          <w:color w:val="auto"/>
        </w:rPr>
      </w:pPr>
    </w:p>
    <w:p>
      <w:pPr>
        <w:ind w:left="80" w:right="100"/>
        <w:spacing w:after="0" w:line="280" w:lineRule="auto"/>
        <w:rPr>
          <w:sz w:val="20"/>
          <w:szCs w:val="20"/>
          <w:color w:val="auto"/>
        </w:rPr>
      </w:pPr>
      <w:r>
        <w:rPr>
          <w:rFonts w:ascii="Arial" w:cs="Arial" w:eastAsia="Arial" w:hAnsi="Arial"/>
          <w:sz w:val="17"/>
          <w:szCs w:val="17"/>
          <w:color w:val="242424"/>
        </w:rPr>
        <w:t>In addition, each committee is responsible for the oversight of specific areas of risk and report regularly to our Board on matters relating to those risks. Management reports, at least annually, on our risks and risk management practices to the relevant committees and the full Board.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0" w:type="dxa"/>
            <w:vAlign w:val="bottom"/>
          </w:tcPr>
          <w:p>
            <w:pPr>
              <w:spacing w:after="0"/>
              <w:rPr>
                <w:sz w:val="23"/>
                <w:szCs w:val="23"/>
                <w:color w:val="auto"/>
              </w:rPr>
            </w:pPr>
          </w:p>
        </w:tc>
        <w:tc>
          <w:tcPr>
            <w:tcW w:w="1360" w:type="dxa"/>
            <w:vAlign w:val="bottom"/>
            <w:tcBorders>
              <w:top w:val="single" w:sz="8" w:color="CC092F"/>
              <w:bottom w:val="single" w:sz="8" w:color="B8B8B8"/>
            </w:tcBorders>
            <w:shd w:val="clear" w:color="auto" w:fill="B8B8B8"/>
          </w:tcPr>
          <w:p>
            <w:pPr>
              <w:spacing w:after="0"/>
              <w:rPr>
                <w:sz w:val="20"/>
                <w:szCs w:val="20"/>
                <w:color w:val="auto"/>
              </w:rPr>
            </w:pPr>
            <w:r>
              <w:rPr>
                <w:rFonts w:ascii="Arial" w:cs="Arial" w:eastAsia="Arial" w:hAnsi="Arial"/>
                <w:sz w:val="18"/>
                <w:szCs w:val="18"/>
                <w:b w:val="1"/>
                <w:bCs w:val="1"/>
                <w:color w:val="FFFFFF"/>
              </w:rPr>
              <w:t>mmittee</w:t>
            </w:r>
          </w:p>
        </w:tc>
        <w:tc>
          <w:tcPr>
            <w:tcW w:w="9000" w:type="dxa"/>
            <w:vAlign w:val="bottom"/>
            <w:tcBorders>
              <w:top w:val="single" w:sz="8" w:color="CC092F"/>
              <w:bottom w:val="single" w:sz="8" w:color="B8B8B8"/>
            </w:tcBorders>
            <w:shd w:val="clear" w:color="auto" w:fill="B8B8B8"/>
          </w:tcPr>
          <w:p>
            <w:pPr>
              <w:ind w:left="540"/>
              <w:spacing w:after="0"/>
              <w:rPr>
                <w:sz w:val="20"/>
                <w:szCs w:val="20"/>
                <w:color w:val="auto"/>
              </w:rPr>
            </w:pPr>
            <w:r>
              <w:rPr>
                <w:rFonts w:ascii="Arial" w:cs="Arial" w:eastAsia="Arial" w:hAnsi="Arial"/>
                <w:sz w:val="18"/>
                <w:szCs w:val="18"/>
                <w:b w:val="1"/>
                <w:bCs w:val="1"/>
                <w:color w:val="FFFFFF"/>
              </w:rPr>
              <w:t>Primary Areas of Risk Oversight</w:t>
            </w:r>
          </w:p>
        </w:tc>
      </w:tr>
      <w:tr>
        <w:trPr>
          <w:trHeight w:val="20"/>
        </w:trPr>
        <w:tc>
          <w:tcPr>
            <w:tcW w:w="80" w:type="dxa"/>
            <w:vAlign w:val="bottom"/>
          </w:tcPr>
          <w:p>
            <w:pPr>
              <w:spacing w:after="0" w:line="20" w:lineRule="exact"/>
              <w:rPr>
                <w:sz w:val="1"/>
                <w:szCs w:val="1"/>
                <w:color w:val="auto"/>
              </w:rPr>
            </w:pPr>
          </w:p>
        </w:tc>
        <w:tc>
          <w:tcPr>
            <w:tcW w:w="1360" w:type="dxa"/>
            <w:vAlign w:val="bottom"/>
            <w:shd w:val="clear" w:color="auto" w:fill="CC092F"/>
          </w:tcPr>
          <w:p>
            <w:pPr>
              <w:spacing w:after="0" w:line="20" w:lineRule="exact"/>
              <w:rPr>
                <w:sz w:val="1"/>
                <w:szCs w:val="1"/>
                <w:color w:val="auto"/>
              </w:rPr>
            </w:pPr>
          </w:p>
        </w:tc>
        <w:tc>
          <w:tcPr>
            <w:tcW w:w="9000" w:type="dxa"/>
            <w:vAlign w:val="bottom"/>
            <w:shd w:val="clear" w:color="auto" w:fill="CC092F"/>
          </w:tcPr>
          <w:p>
            <w:pPr>
              <w:spacing w:after="0" w:line="20" w:lineRule="exact"/>
              <w:rPr>
                <w:sz w:val="1"/>
                <w:szCs w:val="1"/>
                <w:color w:val="auto"/>
              </w:rPr>
            </w:pPr>
          </w:p>
        </w:tc>
      </w:tr>
      <w:tr>
        <w:trPr>
          <w:trHeight w:val="271"/>
        </w:trPr>
        <w:tc>
          <w:tcPr>
            <w:tcW w:w="1440" w:type="dxa"/>
            <w:vAlign w:val="bottom"/>
            <w:gridSpan w:val="2"/>
          </w:tcPr>
          <w:p>
            <w:pPr>
              <w:spacing w:after="0"/>
              <w:rPr>
                <w:sz w:val="20"/>
                <w:szCs w:val="20"/>
                <w:color w:val="auto"/>
              </w:rPr>
            </w:pPr>
            <w:r>
              <w:rPr>
                <w:rFonts w:ascii="Arial" w:cs="Arial" w:eastAsia="Arial" w:hAnsi="Arial"/>
                <w:sz w:val="18"/>
                <w:szCs w:val="18"/>
                <w:color w:val="242424"/>
              </w:rPr>
              <w:t>dit</w:t>
            </w:r>
          </w:p>
        </w:tc>
        <w:tc>
          <w:tcPr>
            <w:tcW w:w="9000" w:type="dxa"/>
            <w:vAlign w:val="bottom"/>
          </w:tcPr>
          <w:p>
            <w:pPr>
              <w:ind w:left="840"/>
              <w:spacing w:after="0"/>
              <w:rPr>
                <w:sz w:val="20"/>
                <w:szCs w:val="20"/>
                <w:color w:val="auto"/>
              </w:rPr>
            </w:pPr>
            <w:r>
              <w:rPr>
                <w:rFonts w:ascii="Arial" w:cs="Arial" w:eastAsia="Arial" w:hAnsi="Arial"/>
                <w:sz w:val="18"/>
                <w:szCs w:val="18"/>
                <w:color w:val="242424"/>
              </w:rPr>
              <w:t>•   Oversee financial reporting process, accounting policies and internal controls</w:t>
            </w:r>
          </w:p>
        </w:tc>
      </w:tr>
      <w:tr>
        <w:trPr>
          <w:trHeight w:val="225"/>
        </w:trPr>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000" w:type="dxa"/>
            <w:vAlign w:val="bottom"/>
          </w:tcPr>
          <w:p>
            <w:pPr>
              <w:ind w:left="840"/>
              <w:spacing w:after="0"/>
              <w:rPr>
                <w:sz w:val="20"/>
                <w:szCs w:val="20"/>
                <w:color w:val="auto"/>
              </w:rPr>
            </w:pPr>
            <w:r>
              <w:rPr>
                <w:rFonts w:ascii="Arial" w:cs="Arial" w:eastAsia="Arial" w:hAnsi="Arial"/>
                <w:sz w:val="18"/>
                <w:szCs w:val="18"/>
                <w:color w:val="242424"/>
              </w:rPr>
              <w:t>•   Evaluate risks related to financial reporting, accounting, auditing, tax, cybersecurity and climate</w:t>
            </w:r>
          </w:p>
        </w:tc>
      </w:tr>
      <w:tr>
        <w:trPr>
          <w:trHeight w:val="225"/>
        </w:trPr>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000" w:type="dxa"/>
            <w:vAlign w:val="bottom"/>
          </w:tcPr>
          <w:p>
            <w:pPr>
              <w:ind w:left="840"/>
              <w:spacing w:after="0"/>
              <w:rPr>
                <w:sz w:val="20"/>
                <w:szCs w:val="20"/>
                <w:color w:val="auto"/>
              </w:rPr>
            </w:pPr>
            <w:r>
              <w:rPr>
                <w:rFonts w:ascii="Arial" w:cs="Arial" w:eastAsia="Arial" w:hAnsi="Arial"/>
                <w:sz w:val="18"/>
                <w:szCs w:val="18"/>
                <w:color w:val="242424"/>
              </w:rPr>
              <w:t>•   Evaluate exposures and risks related to data privacy and information technology security and</w:t>
            </w:r>
          </w:p>
        </w:tc>
      </w:tr>
      <w:tr>
        <w:trPr>
          <w:trHeight w:val="212"/>
        </w:trPr>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0" w:type="dxa"/>
            <w:vAlign w:val="bottom"/>
          </w:tcPr>
          <w:p>
            <w:pPr>
              <w:ind w:left="1160"/>
              <w:spacing w:after="0"/>
              <w:rPr>
                <w:sz w:val="20"/>
                <w:szCs w:val="20"/>
                <w:color w:val="auto"/>
              </w:rPr>
            </w:pPr>
            <w:r>
              <w:rPr>
                <w:rFonts w:ascii="Arial" w:cs="Arial" w:eastAsia="Arial" w:hAnsi="Arial"/>
                <w:sz w:val="18"/>
                <w:szCs w:val="18"/>
                <w:color w:val="242424"/>
                <w:w w:val="98"/>
              </w:rPr>
              <w:t>controls, including our cybersecurity performance and risk profile, and the steps management takes</w:t>
            </w:r>
          </w:p>
        </w:tc>
      </w:tr>
      <w:tr>
        <w:trPr>
          <w:trHeight w:val="212"/>
        </w:trPr>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0" w:type="dxa"/>
            <w:vAlign w:val="bottom"/>
          </w:tcPr>
          <w:p>
            <w:pPr>
              <w:ind w:left="1160"/>
              <w:spacing w:after="0"/>
              <w:rPr>
                <w:sz w:val="20"/>
                <w:szCs w:val="20"/>
                <w:color w:val="auto"/>
              </w:rPr>
            </w:pPr>
            <w:r>
              <w:rPr>
                <w:rFonts w:ascii="Arial" w:cs="Arial" w:eastAsia="Arial" w:hAnsi="Arial"/>
                <w:sz w:val="18"/>
                <w:szCs w:val="18"/>
                <w:color w:val="242424"/>
              </w:rPr>
              <w:t>to monitor, control and report such exposure</w:t>
            </w:r>
          </w:p>
        </w:tc>
      </w:tr>
      <w:tr>
        <w:trPr>
          <w:trHeight w:val="238"/>
        </w:trPr>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000" w:type="dxa"/>
            <w:vAlign w:val="bottom"/>
          </w:tcPr>
          <w:p>
            <w:pPr>
              <w:ind w:left="840"/>
              <w:spacing w:after="0"/>
              <w:rPr>
                <w:sz w:val="20"/>
                <w:szCs w:val="20"/>
                <w:color w:val="auto"/>
              </w:rPr>
            </w:pPr>
            <w:r>
              <w:rPr>
                <w:rFonts w:ascii="Arial" w:cs="Arial" w:eastAsia="Arial" w:hAnsi="Arial"/>
                <w:sz w:val="18"/>
                <w:szCs w:val="18"/>
                <w:color w:val="242424"/>
              </w:rPr>
              <w:t>•   Review and approve related party transactions</w:t>
            </w:r>
          </w:p>
        </w:tc>
      </w:tr>
      <w:tr>
        <w:trPr>
          <w:trHeight w:val="384"/>
        </w:trPr>
        <w:tc>
          <w:tcPr>
            <w:tcW w:w="1440" w:type="dxa"/>
            <w:vAlign w:val="bottom"/>
            <w:gridSpan w:val="2"/>
          </w:tcPr>
          <w:p>
            <w:pPr>
              <w:ind w:left="20"/>
              <w:spacing w:after="0"/>
              <w:rPr>
                <w:sz w:val="20"/>
                <w:szCs w:val="20"/>
                <w:color w:val="auto"/>
              </w:rPr>
            </w:pPr>
            <w:r>
              <w:rPr>
                <w:rFonts w:ascii="Arial" w:cs="Arial" w:eastAsia="Arial" w:hAnsi="Arial"/>
                <w:sz w:val="18"/>
                <w:szCs w:val="18"/>
                <w:color w:val="242424"/>
              </w:rPr>
              <w:t>mpensation</w:t>
            </w:r>
          </w:p>
        </w:tc>
        <w:tc>
          <w:tcPr>
            <w:tcW w:w="9000" w:type="dxa"/>
            <w:vAlign w:val="bottom"/>
          </w:tcPr>
          <w:p>
            <w:pPr>
              <w:ind w:left="840"/>
              <w:spacing w:after="0"/>
              <w:rPr>
                <w:sz w:val="20"/>
                <w:szCs w:val="20"/>
                <w:color w:val="auto"/>
              </w:rPr>
            </w:pPr>
            <w:r>
              <w:rPr>
                <w:rFonts w:ascii="Arial" w:cs="Arial" w:eastAsia="Arial" w:hAnsi="Arial"/>
                <w:sz w:val="18"/>
                <w:szCs w:val="18"/>
                <w:color w:val="242424"/>
              </w:rPr>
              <w:t>•   Oversee our compensation plans, program and policies</w:t>
            </w:r>
          </w:p>
        </w:tc>
      </w:tr>
      <w:tr>
        <w:trPr>
          <w:trHeight w:val="225"/>
        </w:trPr>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000" w:type="dxa"/>
            <w:vAlign w:val="bottom"/>
          </w:tcPr>
          <w:p>
            <w:pPr>
              <w:ind w:left="840"/>
              <w:spacing w:after="0"/>
              <w:rPr>
                <w:sz w:val="20"/>
                <w:szCs w:val="20"/>
                <w:color w:val="auto"/>
              </w:rPr>
            </w:pPr>
            <w:r>
              <w:rPr>
                <w:rFonts w:ascii="Arial" w:cs="Arial" w:eastAsia="Arial" w:hAnsi="Arial"/>
                <w:sz w:val="18"/>
                <w:szCs w:val="18"/>
                <w:color w:val="242424"/>
              </w:rPr>
              <w:t>•   Evaluate the relationship between risk management policies and practices, business strategy and</w:t>
            </w:r>
          </w:p>
        </w:tc>
      </w:tr>
      <w:tr>
        <w:trPr>
          <w:trHeight w:val="212"/>
        </w:trPr>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0" w:type="dxa"/>
            <w:vAlign w:val="bottom"/>
          </w:tcPr>
          <w:p>
            <w:pPr>
              <w:ind w:left="1160"/>
              <w:spacing w:after="0"/>
              <w:rPr>
                <w:sz w:val="20"/>
                <w:szCs w:val="20"/>
                <w:color w:val="auto"/>
              </w:rPr>
            </w:pPr>
            <w:r>
              <w:rPr>
                <w:rFonts w:ascii="Arial" w:cs="Arial" w:eastAsia="Arial" w:hAnsi="Arial"/>
                <w:sz w:val="18"/>
                <w:szCs w:val="18"/>
                <w:color w:val="242424"/>
              </w:rPr>
              <w:t>officers’ compensation</w:t>
            </w:r>
          </w:p>
        </w:tc>
      </w:tr>
      <w:tr>
        <w:trPr>
          <w:trHeight w:val="225"/>
        </w:trPr>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000" w:type="dxa"/>
            <w:vAlign w:val="bottom"/>
          </w:tcPr>
          <w:p>
            <w:pPr>
              <w:ind w:left="840"/>
              <w:spacing w:after="0"/>
              <w:rPr>
                <w:sz w:val="20"/>
                <w:szCs w:val="20"/>
                <w:color w:val="auto"/>
              </w:rPr>
            </w:pPr>
            <w:r>
              <w:rPr>
                <w:rFonts w:ascii="Arial" w:cs="Arial" w:eastAsia="Arial" w:hAnsi="Arial"/>
                <w:sz w:val="18"/>
                <w:szCs w:val="18"/>
                <w:color w:val="242424"/>
              </w:rPr>
              <w:t>•   Evaluate and provide input on CEO and senior management succession planning</w:t>
            </w:r>
          </w:p>
        </w:tc>
      </w:tr>
      <w:tr>
        <w:trPr>
          <w:trHeight w:val="398"/>
        </w:trPr>
        <w:tc>
          <w:tcPr>
            <w:tcW w:w="1440" w:type="dxa"/>
            <w:vAlign w:val="bottom"/>
            <w:gridSpan w:val="2"/>
          </w:tcPr>
          <w:p>
            <w:pPr>
              <w:ind w:left="40"/>
              <w:spacing w:after="0"/>
              <w:rPr>
                <w:sz w:val="20"/>
                <w:szCs w:val="20"/>
                <w:color w:val="auto"/>
              </w:rPr>
            </w:pPr>
            <w:r>
              <w:rPr>
                <w:rFonts w:ascii="Arial" w:cs="Arial" w:eastAsia="Arial" w:hAnsi="Arial"/>
                <w:sz w:val="18"/>
                <w:szCs w:val="18"/>
                <w:color w:val="242424"/>
              </w:rPr>
              <w:t>SG</w:t>
            </w:r>
          </w:p>
        </w:tc>
        <w:tc>
          <w:tcPr>
            <w:tcW w:w="9000" w:type="dxa"/>
            <w:vAlign w:val="bottom"/>
          </w:tcPr>
          <w:p>
            <w:pPr>
              <w:ind w:left="840"/>
              <w:spacing w:after="0"/>
              <w:rPr>
                <w:sz w:val="20"/>
                <w:szCs w:val="20"/>
                <w:color w:val="auto"/>
              </w:rPr>
            </w:pPr>
            <w:r>
              <w:rPr>
                <w:rFonts w:ascii="Arial" w:cs="Arial" w:eastAsia="Arial" w:hAnsi="Arial"/>
                <w:sz w:val="18"/>
                <w:szCs w:val="18"/>
                <w:color w:val="242424"/>
              </w:rPr>
              <w:t>•   Review and evaluate corporate governance framework, including our governance guidelines and</w:t>
            </w:r>
          </w:p>
        </w:tc>
      </w:tr>
      <w:tr>
        <w:trPr>
          <w:trHeight w:val="212"/>
        </w:trPr>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0" w:type="dxa"/>
            <w:vAlign w:val="bottom"/>
          </w:tcPr>
          <w:p>
            <w:pPr>
              <w:ind w:left="1160"/>
              <w:spacing w:after="0"/>
              <w:rPr>
                <w:sz w:val="20"/>
                <w:szCs w:val="20"/>
                <w:color w:val="auto"/>
              </w:rPr>
            </w:pPr>
            <w:r>
              <w:rPr>
                <w:rFonts w:ascii="Arial" w:cs="Arial" w:eastAsia="Arial" w:hAnsi="Arial"/>
                <w:sz w:val="18"/>
                <w:szCs w:val="18"/>
                <w:color w:val="242424"/>
              </w:rPr>
              <w:t>policies</w:t>
            </w:r>
          </w:p>
        </w:tc>
      </w:tr>
      <w:tr>
        <w:trPr>
          <w:trHeight w:val="225"/>
        </w:trPr>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000" w:type="dxa"/>
            <w:vAlign w:val="bottom"/>
          </w:tcPr>
          <w:p>
            <w:pPr>
              <w:ind w:left="840"/>
              <w:spacing w:after="0"/>
              <w:rPr>
                <w:sz w:val="20"/>
                <w:szCs w:val="20"/>
                <w:color w:val="auto"/>
              </w:rPr>
            </w:pPr>
            <w:r>
              <w:rPr>
                <w:rFonts w:ascii="Arial" w:cs="Arial" w:eastAsia="Arial" w:hAnsi="Arial"/>
                <w:sz w:val="18"/>
                <w:szCs w:val="18"/>
                <w:color w:val="242424"/>
                <w:w w:val="99"/>
              </w:rPr>
              <w:t>•   Evaluate the structure and composition of our Board and committees, including succession planning</w:t>
            </w:r>
          </w:p>
        </w:tc>
      </w:tr>
      <w:tr>
        <w:trPr>
          <w:trHeight w:val="212"/>
        </w:trPr>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0" w:type="dxa"/>
            <w:vAlign w:val="bottom"/>
          </w:tcPr>
          <w:p>
            <w:pPr>
              <w:ind w:left="1160"/>
              <w:spacing w:after="0"/>
              <w:rPr>
                <w:sz w:val="20"/>
                <w:szCs w:val="20"/>
                <w:color w:val="auto"/>
              </w:rPr>
            </w:pPr>
            <w:r>
              <w:rPr>
                <w:rFonts w:ascii="Arial" w:cs="Arial" w:eastAsia="Arial" w:hAnsi="Arial"/>
                <w:sz w:val="18"/>
                <w:szCs w:val="18"/>
                <w:color w:val="242424"/>
              </w:rPr>
              <w:t>and diversity, and related policies and procedures</w:t>
            </w:r>
          </w:p>
        </w:tc>
      </w:tr>
      <w:tr>
        <w:trPr>
          <w:trHeight w:val="225"/>
        </w:trPr>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000" w:type="dxa"/>
            <w:vAlign w:val="bottom"/>
          </w:tcPr>
          <w:p>
            <w:pPr>
              <w:ind w:left="840"/>
              <w:spacing w:after="0"/>
              <w:rPr>
                <w:sz w:val="20"/>
                <w:szCs w:val="20"/>
                <w:color w:val="auto"/>
              </w:rPr>
            </w:pPr>
            <w:r>
              <w:rPr>
                <w:rFonts w:ascii="Arial" w:cs="Arial" w:eastAsia="Arial" w:hAnsi="Arial"/>
                <w:sz w:val="18"/>
                <w:szCs w:val="18"/>
                <w:color w:val="242424"/>
              </w:rPr>
              <w:t>•   Oversee our corporate responsibility and sustainability program and initiatives, including</w:t>
            </w:r>
          </w:p>
        </w:tc>
      </w:tr>
      <w:tr>
        <w:trPr>
          <w:trHeight w:val="212"/>
        </w:trPr>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0" w:type="dxa"/>
            <w:vAlign w:val="bottom"/>
          </w:tcPr>
          <w:p>
            <w:pPr>
              <w:ind w:left="1160"/>
              <w:spacing w:after="0"/>
              <w:rPr>
                <w:sz w:val="20"/>
                <w:szCs w:val="20"/>
                <w:color w:val="auto"/>
              </w:rPr>
            </w:pPr>
            <w:r>
              <w:rPr>
                <w:rFonts w:ascii="Arial" w:cs="Arial" w:eastAsia="Arial" w:hAnsi="Arial"/>
                <w:sz w:val="18"/>
                <w:szCs w:val="18"/>
                <w:color w:val="242424"/>
              </w:rPr>
              <w:t>environment, climate, diversity and inclusion, human rights and governance matters</w:t>
            </w:r>
          </w:p>
        </w:tc>
      </w:tr>
    </w:tbl>
    <w:p>
      <w:pPr>
        <w:spacing w:after="0" w:line="212" w:lineRule="exact"/>
        <w:rPr>
          <w:sz w:val="20"/>
          <w:szCs w:val="20"/>
          <w:color w:val="auto"/>
        </w:rPr>
      </w:pPr>
    </w:p>
    <w:p>
      <w:pPr>
        <w:ind w:left="80"/>
        <w:spacing w:after="0"/>
        <w:rPr>
          <w:sz w:val="20"/>
          <w:szCs w:val="20"/>
          <w:color w:val="auto"/>
        </w:rPr>
      </w:pPr>
      <w:r>
        <w:rPr>
          <w:rFonts w:ascii="Arial" w:cs="Arial" w:eastAsia="Arial" w:hAnsi="Arial"/>
          <w:sz w:val="19"/>
          <w:szCs w:val="19"/>
          <w:b w:val="1"/>
          <w:bCs w:val="1"/>
          <w:i w:val="1"/>
          <w:iCs w:val="1"/>
          <w:color w:val="CC092F"/>
        </w:rPr>
        <w:t>Cybersecurity Risk Management</w:t>
      </w:r>
    </w:p>
    <w:p>
      <w:pPr>
        <w:spacing w:after="0" w:line="192" w:lineRule="exact"/>
        <w:rPr>
          <w:sz w:val="20"/>
          <w:szCs w:val="20"/>
          <w:color w:val="auto"/>
        </w:rPr>
      </w:pPr>
    </w:p>
    <w:p>
      <w:pPr>
        <w:ind w:left="80" w:right="620"/>
        <w:spacing w:after="0" w:line="251" w:lineRule="auto"/>
        <w:rPr>
          <w:sz w:val="20"/>
          <w:szCs w:val="20"/>
          <w:color w:val="auto"/>
        </w:rPr>
      </w:pPr>
      <w:r>
        <w:rPr>
          <w:rFonts w:ascii="Arial" w:cs="Arial" w:eastAsia="Arial" w:hAnsi="Arial"/>
          <w:sz w:val="18"/>
          <w:szCs w:val="18"/>
          <w:color w:val="242424"/>
        </w:rPr>
        <w:t>Our Board is actively involved in overseeing our data privacy and information technology risk management, with increased oversight on cybersecurity. Our management reviews with the Audit Committee our data privacy and information</w:t>
      </w:r>
    </w:p>
    <w:p>
      <w:pPr>
        <w:spacing w:after="0" w:line="200" w:lineRule="exact"/>
        <w:rPr>
          <w:sz w:val="20"/>
          <w:szCs w:val="20"/>
          <w:color w:val="auto"/>
        </w:rPr>
      </w:pPr>
    </w:p>
    <w:p>
      <w:pPr>
        <w:spacing w:after="0" w:line="244" w:lineRule="exact"/>
        <w:rPr>
          <w:sz w:val="20"/>
          <w:szCs w:val="20"/>
          <w:color w:val="auto"/>
        </w:rPr>
      </w:pPr>
    </w:p>
    <w:p>
      <w:pPr>
        <w:ind w:left="440" w:hanging="354"/>
        <w:spacing w:after="0"/>
        <w:tabs>
          <w:tab w:leader="none" w:pos="440" w:val="left"/>
        </w:tabs>
        <w:numPr>
          <w:ilvl w:val="0"/>
          <w:numId w:val="18"/>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40"/>
          </w:cols>
          <w:pgMar w:left="240" w:top="181" w:right="419" w:bottom="1440" w:gutter="0" w:footer="0" w:header="0"/>
        </w:sectPr>
      </w:pPr>
    </w:p>
    <w:bookmarkStart w:id="13" w:name="page14"/>
    <w:bookmarkEnd w:id="13"/>
    <w:p>
      <w:pPr>
        <w:ind w:left="9420"/>
        <w:spacing w:after="0"/>
        <w:rPr>
          <w:sz w:val="20"/>
          <w:szCs w:val="20"/>
          <w:color w:val="auto"/>
        </w:rPr>
      </w:pPr>
      <w:r>
        <w:rPr>
          <w:rFonts w:ascii="Arial" w:cs="Arial" w:eastAsia="Arial" w:hAnsi="Arial"/>
          <w:sz w:val="16"/>
          <w:szCs w:val="16"/>
          <w:color w:val="CC092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580"/>
        <w:spacing w:after="0" w:line="248" w:lineRule="auto"/>
        <w:rPr>
          <w:sz w:val="20"/>
          <w:szCs w:val="20"/>
          <w:color w:val="auto"/>
        </w:rPr>
      </w:pPr>
      <w:r>
        <w:rPr>
          <w:rFonts w:ascii="Arial" w:cs="Arial" w:eastAsia="Arial" w:hAnsi="Arial"/>
          <w:sz w:val="18"/>
          <w:szCs w:val="18"/>
          <w:color w:val="242424"/>
        </w:rPr>
        <w:t>technology security policies, practices and protective measures, current and projected threats to our data privacy and information security, cybersecurity incidents and related risks. The Audit Committee and management at least quarterly update our Board on our cybersecurity performance and risk profile, and the effectiveness of our security processes.</w:t>
      </w:r>
    </w:p>
    <w:p>
      <w:pPr>
        <w:spacing w:after="0" w:line="15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242424"/>
        </w:rPr>
        <w:t>During the COVID-19 pandemic, the Audit Committee and management have been focused on ensuring that we have secure remote access with trusted devices, endpoint security controls and infrastructure resiliency. As part of this process, we enhanced our security incident response procedures to address risks specific to remote working conditions. We continue to improve our security posture with process improvement, testing and investments where necessary.</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Compensation Risk Assessment</w:t>
      </w:r>
    </w:p>
    <w:p>
      <w:pPr>
        <w:spacing w:after="0" w:line="19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242424"/>
        </w:rPr>
        <w:t>Our management conducted its annual review of our compensation policies and practices for our employees, as they relate to our risk management, and reported their findings in January 2022 to the Compensation Committee. To mitigate compensation-related risk, our compensation policies and practices (described in more detail under “</w:t>
      </w:r>
      <w:r>
        <w:rPr>
          <w:rFonts w:ascii="Arial" w:cs="Arial" w:eastAsia="Arial" w:hAnsi="Arial"/>
          <w:sz w:val="18"/>
          <w:szCs w:val="18"/>
          <w:i w:val="1"/>
          <w:iCs w:val="1"/>
          <w:color w:val="242424"/>
        </w:rPr>
        <w:t>Compensation Discussion and Analysis</w:t>
      </w:r>
      <w:r>
        <w:rPr>
          <w:rFonts w:ascii="Arial" w:cs="Arial" w:eastAsia="Arial" w:hAnsi="Arial"/>
          <w:sz w:val="18"/>
          <w:szCs w:val="18"/>
          <w:color w:val="242424"/>
        </w:rPr>
        <w:t>” and “</w:t>
      </w:r>
      <w:r>
        <w:rPr>
          <w:rFonts w:ascii="Arial" w:cs="Arial" w:eastAsia="Arial" w:hAnsi="Arial"/>
          <w:sz w:val="18"/>
          <w:szCs w:val="18"/>
          <w:i w:val="1"/>
          <w:iCs w:val="1"/>
          <w:color w:val="242424"/>
        </w:rPr>
        <w:t>Executive Compensatio</w:t>
      </w:r>
      <w:r>
        <w:rPr>
          <w:rFonts w:ascii="Arial" w:cs="Arial" w:eastAsia="Arial" w:hAnsi="Arial"/>
          <w:sz w:val="18"/>
          <w:szCs w:val="18"/>
          <w:color w:val="242424"/>
        </w:rPr>
        <w:t>n” below) balance short- and long-term goals and awards, as well as the mix of the cash and equity components. We also have policies in place to mitigate compensation-related risk, including executive stock ownership guidelines, hedging and pledging prohibitions, and oversight by our Compensation Committee whose members are independent directors.</w:t>
      </w:r>
    </w:p>
    <w:p>
      <w:pPr>
        <w:spacing w:after="0" w:line="158"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242424"/>
        </w:rPr>
        <w:t>Based upon this risk assessment, the Compensation Committee concluded that our compensation program does not encourage unnecessary or excessive risk-taking, and is not reasonably likely to have a material adverse effect on Broadcom. Meridian Compensation Partners, LLC (“Meridian”), the Compensation Committee’s independent consultants beginning in Fiscal Year 2022, reviewed the risk assessment and supports the Compensation Committee’s conclusion.</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Board Committees</w:t>
      </w:r>
    </w:p>
    <w:p>
      <w:pPr>
        <w:spacing w:after="0" w:line="188"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242424"/>
        </w:rPr>
        <w:t>Our Board has the following committees: Audit Committee, Compensation Committee, NESG Committee and Executive Committee. The Audit Committee, the Compensation Committee and the NESG Committee operate under a charter that satisfies the applicable standards of the SEC and Nasdaq. The charters for all four committees are available in the “Investor Center—Corporate Governance—Documents” section of our website. Stockholders may also request a copy from Investor Relations, Broadcom Inc., 1320 Ridder Park Drive, San Jose, California 95131.</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Audit Committee</w:t>
      </w:r>
    </w:p>
    <w:p>
      <w:pPr>
        <w:spacing w:after="0" w:line="192"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242424"/>
        </w:rPr>
        <w:t>Each member of the Audit Committee is independent in accordance with the audit committee independence requirements under the applicable rules and regulations of the SEC and Nasdaq. Our Board has determined that Mses. Delly and Page and Mr. You are audit committee financial experts under applicable SEC rules and have the requisite financial sophistication required by applicable Nasdaq rules.</w:t>
      </w:r>
    </w:p>
    <w:p>
      <w:pPr>
        <w:spacing w:after="0" w:line="94"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2560" w:type="dxa"/>
            <w:vAlign w:val="bottom"/>
            <w:tcBorders>
              <w:top w:val="single" w:sz="8" w:color="CC092F"/>
            </w:tcBorders>
            <w:shd w:val="clear" w:color="auto" w:fill="B8B8B8"/>
          </w:tcPr>
          <w:p>
            <w:pPr>
              <w:ind w:left="340"/>
              <w:spacing w:after="0" w:line="186" w:lineRule="exact"/>
              <w:rPr>
                <w:sz w:val="20"/>
                <w:szCs w:val="20"/>
                <w:color w:val="auto"/>
              </w:rPr>
            </w:pPr>
            <w:r>
              <w:rPr>
                <w:rFonts w:ascii="Arial" w:cs="Arial" w:eastAsia="Arial" w:hAnsi="Arial"/>
                <w:sz w:val="18"/>
                <w:szCs w:val="18"/>
                <w:b w:val="1"/>
                <w:bCs w:val="1"/>
                <w:color w:val="FFFFFF"/>
              </w:rPr>
              <w:t>Members</w:t>
            </w:r>
          </w:p>
        </w:tc>
        <w:tc>
          <w:tcPr>
            <w:tcW w:w="600" w:type="dxa"/>
            <w:vAlign w:val="bottom"/>
            <w:tcBorders>
              <w:top w:val="single" w:sz="8" w:color="CC092F"/>
            </w:tcBorders>
            <w:shd w:val="clear" w:color="auto" w:fill="B8B8B8"/>
          </w:tcPr>
          <w:p>
            <w:pPr>
              <w:spacing w:after="0"/>
              <w:rPr>
                <w:sz w:val="16"/>
                <w:szCs w:val="16"/>
                <w:color w:val="auto"/>
              </w:rPr>
            </w:pPr>
          </w:p>
        </w:tc>
        <w:tc>
          <w:tcPr>
            <w:tcW w:w="6920" w:type="dxa"/>
            <w:vAlign w:val="bottom"/>
            <w:tcBorders>
              <w:top w:val="single" w:sz="8" w:color="CC092F"/>
            </w:tcBorders>
            <w:shd w:val="clear" w:color="auto" w:fill="B8B8B8"/>
          </w:tcPr>
          <w:p>
            <w:pPr>
              <w:ind w:left="140"/>
              <w:spacing w:after="0" w:line="186" w:lineRule="exact"/>
              <w:rPr>
                <w:sz w:val="20"/>
                <w:szCs w:val="20"/>
                <w:color w:val="auto"/>
              </w:rPr>
            </w:pPr>
            <w:r>
              <w:rPr>
                <w:rFonts w:ascii="Arial" w:cs="Arial" w:eastAsia="Arial" w:hAnsi="Arial"/>
                <w:sz w:val="18"/>
                <w:szCs w:val="18"/>
                <w:b w:val="1"/>
                <w:bCs w:val="1"/>
                <w:color w:val="FFFFFF"/>
              </w:rPr>
              <w:t>Primary Responsibilities</w:t>
            </w:r>
          </w:p>
        </w:tc>
        <w:tc>
          <w:tcPr>
            <w:tcW w:w="940" w:type="dxa"/>
            <w:vAlign w:val="bottom"/>
            <w:tcBorders>
              <w:top w:val="single" w:sz="8" w:color="CC092F"/>
            </w:tcBorders>
            <w:shd w:val="clear" w:color="auto" w:fill="B8B8B8"/>
          </w:tcPr>
          <w:p>
            <w:pPr>
              <w:ind w:left="360"/>
              <w:spacing w:after="0" w:line="186" w:lineRule="exact"/>
              <w:rPr>
                <w:sz w:val="20"/>
                <w:szCs w:val="20"/>
                <w:color w:val="auto"/>
              </w:rPr>
            </w:pPr>
            <w:r>
              <w:rPr>
                <w:rFonts w:ascii="Arial" w:cs="Arial" w:eastAsia="Arial" w:hAnsi="Arial"/>
                <w:sz w:val="18"/>
                <w:szCs w:val="18"/>
                <w:b w:val="1"/>
                <w:bCs w:val="1"/>
                <w:color w:val="FFFFFF"/>
                <w:w w:val="98"/>
              </w:rPr>
              <w:t>Meetin</w:t>
            </w:r>
          </w:p>
        </w:tc>
        <w:tc>
          <w:tcPr>
            <w:tcW w:w="0" w:type="dxa"/>
            <w:vAlign w:val="bottom"/>
          </w:tcPr>
          <w:p>
            <w:pPr>
              <w:spacing w:after="0"/>
              <w:rPr>
                <w:sz w:val="1"/>
                <w:szCs w:val="1"/>
                <w:color w:val="auto"/>
              </w:rPr>
            </w:pPr>
          </w:p>
        </w:tc>
      </w:tr>
      <w:tr>
        <w:trPr>
          <w:trHeight w:val="172"/>
        </w:trPr>
        <w:tc>
          <w:tcPr>
            <w:tcW w:w="2560" w:type="dxa"/>
            <w:vAlign w:val="bottom"/>
            <w:shd w:val="clear" w:color="auto" w:fill="B8B8B8"/>
          </w:tcPr>
          <w:p>
            <w:pPr>
              <w:spacing w:after="0"/>
              <w:rPr>
                <w:sz w:val="14"/>
                <w:szCs w:val="14"/>
                <w:color w:val="auto"/>
              </w:rPr>
            </w:pPr>
          </w:p>
        </w:tc>
        <w:tc>
          <w:tcPr>
            <w:tcW w:w="600" w:type="dxa"/>
            <w:vAlign w:val="bottom"/>
            <w:shd w:val="clear" w:color="auto" w:fill="B8B8B8"/>
          </w:tcPr>
          <w:p>
            <w:pPr>
              <w:spacing w:after="0"/>
              <w:rPr>
                <w:sz w:val="14"/>
                <w:szCs w:val="14"/>
                <w:color w:val="auto"/>
              </w:rPr>
            </w:pPr>
          </w:p>
        </w:tc>
        <w:tc>
          <w:tcPr>
            <w:tcW w:w="6920" w:type="dxa"/>
            <w:vAlign w:val="bottom"/>
            <w:shd w:val="clear" w:color="auto" w:fill="B8B8B8"/>
          </w:tcPr>
          <w:p>
            <w:pPr>
              <w:spacing w:after="0"/>
              <w:rPr>
                <w:sz w:val="14"/>
                <w:szCs w:val="14"/>
                <w:color w:val="auto"/>
              </w:rPr>
            </w:pPr>
          </w:p>
        </w:tc>
        <w:tc>
          <w:tcPr>
            <w:tcW w:w="940" w:type="dxa"/>
            <w:vAlign w:val="bottom"/>
            <w:shd w:val="clear" w:color="auto" w:fill="B8B8B8"/>
          </w:tcPr>
          <w:p>
            <w:pPr>
              <w:ind w:left="60"/>
              <w:spacing w:after="0" w:line="172" w:lineRule="exact"/>
              <w:rPr>
                <w:sz w:val="20"/>
                <w:szCs w:val="20"/>
                <w:color w:val="auto"/>
              </w:rPr>
            </w:pPr>
            <w:r>
              <w:rPr>
                <w:rFonts w:ascii="Arial" w:cs="Arial" w:eastAsia="Arial" w:hAnsi="Arial"/>
                <w:sz w:val="18"/>
                <w:szCs w:val="18"/>
                <w:b w:val="1"/>
                <w:bCs w:val="1"/>
                <w:color w:val="FFFFFF"/>
              </w:rPr>
              <w:t>in Fiscal</w:t>
            </w:r>
          </w:p>
        </w:tc>
        <w:tc>
          <w:tcPr>
            <w:tcW w:w="0" w:type="dxa"/>
            <w:vAlign w:val="bottom"/>
          </w:tcPr>
          <w:p>
            <w:pPr>
              <w:spacing w:after="0"/>
              <w:rPr>
                <w:sz w:val="1"/>
                <w:szCs w:val="1"/>
                <w:color w:val="auto"/>
              </w:rPr>
            </w:pPr>
          </w:p>
        </w:tc>
      </w:tr>
      <w:tr>
        <w:trPr>
          <w:trHeight w:val="283"/>
        </w:trPr>
        <w:tc>
          <w:tcPr>
            <w:tcW w:w="2560" w:type="dxa"/>
            <w:vAlign w:val="bottom"/>
            <w:tcBorders>
              <w:bottom w:val="single" w:sz="8" w:color="B8B8B8"/>
            </w:tcBorders>
            <w:shd w:val="clear" w:color="auto" w:fill="B8B8B8"/>
          </w:tcPr>
          <w:p>
            <w:pPr>
              <w:spacing w:after="0"/>
              <w:rPr>
                <w:sz w:val="24"/>
                <w:szCs w:val="24"/>
                <w:color w:val="auto"/>
              </w:rPr>
            </w:pPr>
          </w:p>
        </w:tc>
        <w:tc>
          <w:tcPr>
            <w:tcW w:w="600" w:type="dxa"/>
            <w:vAlign w:val="bottom"/>
            <w:tcBorders>
              <w:bottom w:val="single" w:sz="8" w:color="B8B8B8"/>
            </w:tcBorders>
            <w:shd w:val="clear" w:color="auto" w:fill="B8B8B8"/>
          </w:tcPr>
          <w:p>
            <w:pPr>
              <w:spacing w:after="0"/>
              <w:rPr>
                <w:sz w:val="24"/>
                <w:szCs w:val="24"/>
                <w:color w:val="auto"/>
              </w:rPr>
            </w:pPr>
          </w:p>
        </w:tc>
        <w:tc>
          <w:tcPr>
            <w:tcW w:w="6920" w:type="dxa"/>
            <w:vAlign w:val="bottom"/>
            <w:tcBorders>
              <w:bottom w:val="single" w:sz="8" w:color="B8B8B8"/>
            </w:tcBorders>
            <w:shd w:val="clear" w:color="auto" w:fill="B8B8B8"/>
          </w:tcPr>
          <w:p>
            <w:pPr>
              <w:spacing w:after="0"/>
              <w:rPr>
                <w:sz w:val="24"/>
                <w:szCs w:val="24"/>
                <w:color w:val="auto"/>
              </w:rPr>
            </w:pPr>
          </w:p>
        </w:tc>
        <w:tc>
          <w:tcPr>
            <w:tcW w:w="940" w:type="dxa"/>
            <w:vAlign w:val="bottom"/>
            <w:tcBorders>
              <w:bottom w:val="single" w:sz="8" w:color="B8B8B8"/>
            </w:tcBorders>
            <w:shd w:val="clear" w:color="auto" w:fill="B8B8B8"/>
          </w:tcPr>
          <w:p>
            <w:pPr>
              <w:ind w:left="60"/>
              <w:spacing w:after="0"/>
              <w:rPr>
                <w:sz w:val="20"/>
                <w:szCs w:val="20"/>
                <w:color w:val="auto"/>
              </w:rPr>
            </w:pPr>
            <w:r>
              <w:rPr>
                <w:rFonts w:ascii="Arial" w:cs="Arial" w:eastAsia="Arial" w:hAnsi="Arial"/>
                <w:sz w:val="18"/>
                <w:szCs w:val="18"/>
                <w:b w:val="1"/>
                <w:bCs w:val="1"/>
                <w:color w:val="FFFFFF"/>
              </w:rPr>
              <w:t>Year 2021</w:t>
            </w:r>
          </w:p>
        </w:tc>
        <w:tc>
          <w:tcPr>
            <w:tcW w:w="0" w:type="dxa"/>
            <w:vAlign w:val="bottom"/>
          </w:tcPr>
          <w:p>
            <w:pPr>
              <w:spacing w:after="0"/>
              <w:rPr>
                <w:sz w:val="1"/>
                <w:szCs w:val="1"/>
                <w:color w:val="auto"/>
              </w:rPr>
            </w:pPr>
          </w:p>
        </w:tc>
      </w:tr>
      <w:tr>
        <w:trPr>
          <w:trHeight w:val="284"/>
        </w:trPr>
        <w:tc>
          <w:tcPr>
            <w:tcW w:w="2560" w:type="dxa"/>
            <w:vAlign w:val="bottom"/>
            <w:tcBorders>
              <w:top w:val="single" w:sz="8" w:color="CC092F"/>
            </w:tcBorders>
            <w:vMerge w:val="restart"/>
          </w:tcPr>
          <w:p>
            <w:pPr>
              <w:ind w:left="340"/>
              <w:spacing w:after="0"/>
              <w:rPr>
                <w:sz w:val="20"/>
                <w:szCs w:val="20"/>
                <w:color w:val="auto"/>
              </w:rPr>
            </w:pPr>
            <w:r>
              <w:rPr>
                <w:rFonts w:ascii="Arial" w:cs="Arial" w:eastAsia="Arial" w:hAnsi="Arial"/>
                <w:sz w:val="18"/>
                <w:szCs w:val="18"/>
                <w:color w:val="242424"/>
              </w:rPr>
              <w:t>Justine F. Page (Chair)</w:t>
            </w:r>
          </w:p>
        </w:tc>
        <w:tc>
          <w:tcPr>
            <w:tcW w:w="600" w:type="dxa"/>
            <w:vAlign w:val="bottom"/>
            <w:tcBorders>
              <w:top w:val="single" w:sz="8" w:color="CC092F"/>
            </w:tcBorders>
          </w:tcPr>
          <w:p>
            <w:pPr>
              <w:ind w:left="420"/>
              <w:spacing w:after="0"/>
              <w:rPr>
                <w:sz w:val="20"/>
                <w:szCs w:val="20"/>
                <w:color w:val="auto"/>
              </w:rPr>
            </w:pPr>
            <w:r>
              <w:rPr>
                <w:rFonts w:ascii="Arial" w:cs="Arial" w:eastAsia="Arial" w:hAnsi="Arial"/>
                <w:sz w:val="18"/>
                <w:szCs w:val="18"/>
                <w:color w:val="242424"/>
              </w:rPr>
              <w:t>•</w:t>
            </w:r>
          </w:p>
        </w:tc>
        <w:tc>
          <w:tcPr>
            <w:tcW w:w="6920" w:type="dxa"/>
            <w:vAlign w:val="bottom"/>
            <w:tcBorders>
              <w:top w:val="single" w:sz="8" w:color="CC092F"/>
            </w:tcBorders>
          </w:tcPr>
          <w:p>
            <w:pPr>
              <w:ind w:left="120"/>
              <w:spacing w:after="0"/>
              <w:rPr>
                <w:sz w:val="20"/>
                <w:szCs w:val="20"/>
                <w:color w:val="auto"/>
              </w:rPr>
            </w:pPr>
            <w:r>
              <w:rPr>
                <w:rFonts w:ascii="Arial" w:cs="Arial" w:eastAsia="Arial" w:hAnsi="Arial"/>
                <w:sz w:val="18"/>
                <w:szCs w:val="18"/>
                <w:color w:val="242424"/>
              </w:rPr>
              <w:t>Oversee the quality and integrity of financial statements and internal controls</w:t>
            </w:r>
          </w:p>
        </w:tc>
        <w:tc>
          <w:tcPr>
            <w:tcW w:w="940" w:type="dxa"/>
            <w:vAlign w:val="bottom"/>
            <w:tcBorders>
              <w:top w:val="single" w:sz="8" w:color="CC092F"/>
            </w:tcBorders>
          </w:tcPr>
          <w:p>
            <w:pPr>
              <w:jc w:val="right"/>
              <w:ind w:right="52"/>
              <w:spacing w:after="0"/>
              <w:rPr>
                <w:sz w:val="20"/>
                <w:szCs w:val="20"/>
                <w:color w:val="auto"/>
              </w:rPr>
            </w:pPr>
            <w:r>
              <w:rPr>
                <w:rFonts w:ascii="Arial" w:cs="Arial" w:eastAsia="Arial" w:hAnsi="Arial"/>
                <w:sz w:val="18"/>
                <w:szCs w:val="18"/>
                <w:color w:val="242424"/>
              </w:rPr>
              <w:t>8</w:t>
            </w:r>
          </w:p>
        </w:tc>
        <w:tc>
          <w:tcPr>
            <w:tcW w:w="0" w:type="dxa"/>
            <w:vAlign w:val="bottom"/>
          </w:tcPr>
          <w:p>
            <w:pPr>
              <w:spacing w:after="0"/>
              <w:rPr>
                <w:sz w:val="1"/>
                <w:szCs w:val="1"/>
                <w:color w:val="auto"/>
              </w:rPr>
            </w:pPr>
          </w:p>
        </w:tc>
      </w:tr>
      <w:tr>
        <w:trPr>
          <w:trHeight w:val="53"/>
        </w:trPr>
        <w:tc>
          <w:tcPr>
            <w:tcW w:w="2560" w:type="dxa"/>
            <w:vAlign w:val="bottom"/>
            <w:vMerge w:val="continue"/>
          </w:tcPr>
          <w:p>
            <w:pPr>
              <w:spacing w:after="0"/>
              <w:rPr>
                <w:sz w:val="4"/>
                <w:szCs w:val="4"/>
                <w:color w:val="auto"/>
              </w:rPr>
            </w:pPr>
          </w:p>
        </w:tc>
        <w:tc>
          <w:tcPr>
            <w:tcW w:w="600" w:type="dxa"/>
            <w:vAlign w:val="bottom"/>
            <w:vMerge w:val="restart"/>
          </w:tcPr>
          <w:p>
            <w:pPr>
              <w:ind w:left="420"/>
              <w:spacing w:after="0"/>
              <w:rPr>
                <w:sz w:val="20"/>
                <w:szCs w:val="20"/>
                <w:color w:val="auto"/>
              </w:rPr>
            </w:pPr>
            <w:r>
              <w:rPr>
                <w:rFonts w:ascii="Arial" w:cs="Arial" w:eastAsia="Arial" w:hAnsi="Arial"/>
                <w:sz w:val="18"/>
                <w:szCs w:val="18"/>
                <w:color w:val="242424"/>
              </w:rPr>
              <w:t>•</w:t>
            </w:r>
          </w:p>
        </w:tc>
        <w:tc>
          <w:tcPr>
            <w:tcW w:w="6920" w:type="dxa"/>
            <w:vAlign w:val="bottom"/>
            <w:vMerge w:val="restart"/>
          </w:tcPr>
          <w:p>
            <w:pPr>
              <w:ind w:left="120"/>
              <w:spacing w:after="0"/>
              <w:rPr>
                <w:sz w:val="20"/>
                <w:szCs w:val="20"/>
                <w:color w:val="auto"/>
              </w:rPr>
            </w:pPr>
            <w:r>
              <w:rPr>
                <w:rFonts w:ascii="Arial" w:cs="Arial" w:eastAsia="Arial" w:hAnsi="Arial"/>
                <w:sz w:val="18"/>
                <w:szCs w:val="18"/>
                <w:color w:val="242424"/>
                <w:w w:val="98"/>
              </w:rPr>
              <w:t>Determine the appointment, compensation, retention, qualifications and independence</w:t>
            </w: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560" w:type="dxa"/>
            <w:vAlign w:val="bottom"/>
          </w:tcPr>
          <w:p>
            <w:pPr>
              <w:ind w:left="340"/>
              <w:spacing w:after="0" w:line="186" w:lineRule="exact"/>
              <w:rPr>
                <w:sz w:val="20"/>
                <w:szCs w:val="20"/>
                <w:color w:val="auto"/>
              </w:rPr>
            </w:pPr>
            <w:r>
              <w:rPr>
                <w:rFonts w:ascii="Arial" w:cs="Arial" w:eastAsia="Arial" w:hAnsi="Arial"/>
                <w:sz w:val="18"/>
                <w:szCs w:val="18"/>
                <w:color w:val="242424"/>
              </w:rPr>
              <w:t>Gayla J. Delly</w:t>
            </w:r>
          </w:p>
        </w:tc>
        <w:tc>
          <w:tcPr>
            <w:tcW w:w="600" w:type="dxa"/>
            <w:vAlign w:val="bottom"/>
            <w:vMerge w:val="continue"/>
          </w:tcPr>
          <w:p>
            <w:pPr>
              <w:spacing w:after="0"/>
              <w:rPr>
                <w:sz w:val="16"/>
                <w:szCs w:val="16"/>
                <w:color w:val="auto"/>
              </w:rPr>
            </w:pPr>
          </w:p>
        </w:tc>
        <w:tc>
          <w:tcPr>
            <w:tcW w:w="692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560" w:type="dxa"/>
            <w:vAlign w:val="bottom"/>
          </w:tcPr>
          <w:p>
            <w:pPr>
              <w:ind w:left="340"/>
              <w:spacing w:after="0"/>
              <w:rPr>
                <w:sz w:val="20"/>
                <w:szCs w:val="20"/>
                <w:color w:val="auto"/>
              </w:rPr>
            </w:pPr>
            <w:r>
              <w:rPr>
                <w:rFonts w:ascii="Arial" w:cs="Arial" w:eastAsia="Arial" w:hAnsi="Arial"/>
                <w:sz w:val="18"/>
                <w:szCs w:val="18"/>
                <w:color w:val="242424"/>
              </w:rPr>
              <w:t>Raul J. Fernandez</w:t>
            </w:r>
          </w:p>
        </w:tc>
        <w:tc>
          <w:tcPr>
            <w:tcW w:w="600" w:type="dxa"/>
            <w:vAlign w:val="bottom"/>
          </w:tcPr>
          <w:p>
            <w:pPr>
              <w:spacing w:after="0"/>
              <w:rPr>
                <w:sz w:val="20"/>
                <w:szCs w:val="20"/>
                <w:color w:val="auto"/>
              </w:rPr>
            </w:pPr>
          </w:p>
        </w:tc>
        <w:tc>
          <w:tcPr>
            <w:tcW w:w="6920" w:type="dxa"/>
            <w:vAlign w:val="bottom"/>
          </w:tcPr>
          <w:p>
            <w:pPr>
              <w:ind w:left="140"/>
              <w:spacing w:after="0"/>
              <w:rPr>
                <w:sz w:val="20"/>
                <w:szCs w:val="20"/>
                <w:color w:val="auto"/>
              </w:rPr>
            </w:pPr>
            <w:r>
              <w:rPr>
                <w:rFonts w:ascii="Arial" w:cs="Arial" w:eastAsia="Arial" w:hAnsi="Arial"/>
                <w:sz w:val="18"/>
                <w:szCs w:val="18"/>
                <w:color w:val="242424"/>
              </w:rPr>
              <w:t>of our independent registered public accounting firm</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560" w:type="dxa"/>
            <w:vAlign w:val="bottom"/>
          </w:tcPr>
          <w:p>
            <w:pPr>
              <w:ind w:left="340"/>
              <w:spacing w:after="0"/>
              <w:rPr>
                <w:sz w:val="20"/>
                <w:szCs w:val="20"/>
                <w:color w:val="auto"/>
              </w:rPr>
            </w:pPr>
            <w:r>
              <w:rPr>
                <w:rFonts w:ascii="Arial" w:cs="Arial" w:eastAsia="Arial" w:hAnsi="Arial"/>
                <w:sz w:val="18"/>
                <w:szCs w:val="18"/>
                <w:color w:val="242424"/>
              </w:rPr>
              <w:t>Harry L. You</w:t>
            </w:r>
          </w:p>
        </w:tc>
        <w:tc>
          <w:tcPr>
            <w:tcW w:w="600" w:type="dxa"/>
            <w:vAlign w:val="bottom"/>
          </w:tcPr>
          <w:p>
            <w:pPr>
              <w:ind w:left="420"/>
              <w:spacing w:after="0"/>
              <w:rPr>
                <w:sz w:val="20"/>
                <w:szCs w:val="20"/>
                <w:color w:val="auto"/>
              </w:rPr>
            </w:pPr>
            <w:r>
              <w:rPr>
                <w:rFonts w:ascii="Arial" w:cs="Arial" w:eastAsia="Arial" w:hAnsi="Arial"/>
                <w:sz w:val="18"/>
                <w:szCs w:val="18"/>
                <w:color w:val="242424"/>
              </w:rPr>
              <w:t>•</w:t>
            </w:r>
          </w:p>
        </w:tc>
        <w:tc>
          <w:tcPr>
            <w:tcW w:w="6920" w:type="dxa"/>
            <w:vAlign w:val="bottom"/>
          </w:tcPr>
          <w:p>
            <w:pPr>
              <w:ind w:left="120"/>
              <w:spacing w:after="0"/>
              <w:rPr>
                <w:sz w:val="20"/>
                <w:szCs w:val="20"/>
                <w:color w:val="auto"/>
              </w:rPr>
            </w:pPr>
            <w:r>
              <w:rPr>
                <w:rFonts w:ascii="Arial" w:cs="Arial" w:eastAsia="Arial" w:hAnsi="Arial"/>
                <w:sz w:val="18"/>
                <w:szCs w:val="18"/>
                <w:color w:val="242424"/>
              </w:rPr>
              <w:t>Conduct an annual performance evaluation of the internal audit function and</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ind w:left="140"/>
              <w:spacing w:after="0"/>
              <w:rPr>
                <w:sz w:val="20"/>
                <w:szCs w:val="20"/>
                <w:color w:val="auto"/>
              </w:rPr>
            </w:pPr>
            <w:r>
              <w:rPr>
                <w:rFonts w:ascii="Arial" w:cs="Arial" w:eastAsia="Arial" w:hAnsi="Arial"/>
                <w:sz w:val="18"/>
                <w:szCs w:val="18"/>
                <w:color w:val="242424"/>
              </w:rPr>
              <w:t>independent registered public accounting firm</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600" w:right="1100" w:hanging="317"/>
        <w:spacing w:after="0" w:line="248" w:lineRule="auto"/>
        <w:tabs>
          <w:tab w:leader="none" w:pos="3580" w:val="left"/>
        </w:tabs>
        <w:rPr>
          <w:sz w:val="20"/>
          <w:szCs w:val="20"/>
          <w:color w:val="auto"/>
        </w:rPr>
      </w:pPr>
      <w:r>
        <w:rPr>
          <w:rFonts w:ascii="Arial" w:cs="Arial" w:eastAsia="Arial" w:hAnsi="Arial"/>
          <w:sz w:val="18"/>
          <w:szCs w:val="18"/>
          <w:color w:val="242424"/>
        </w:rPr>
        <w:t>•</w:t>
        <w:tab/>
        <w:t>Oversee financial and operational risk, including any exposures and risks related to data privacy and information technology systems controls and security, and the steps management takes to monitor, control and report such exposure</w:t>
      </w:r>
    </w:p>
    <w:p>
      <w:pPr>
        <w:spacing w:after="0" w:line="21" w:lineRule="exact"/>
        <w:rPr>
          <w:sz w:val="20"/>
          <w:szCs w:val="20"/>
          <w:color w:val="auto"/>
        </w:rPr>
      </w:pPr>
    </w:p>
    <w:p>
      <w:pPr>
        <w:ind w:left="3300"/>
        <w:spacing w:after="0"/>
        <w:tabs>
          <w:tab w:leader="none" w:pos="3580" w:val="left"/>
        </w:tabs>
        <w:rPr>
          <w:sz w:val="20"/>
          <w:szCs w:val="20"/>
          <w:color w:val="auto"/>
        </w:rPr>
      </w:pPr>
      <w:r>
        <w:rPr>
          <w:rFonts w:ascii="Arial" w:cs="Arial" w:eastAsia="Arial" w:hAnsi="Arial"/>
          <w:sz w:val="18"/>
          <w:szCs w:val="18"/>
          <w:color w:val="242424"/>
        </w:rPr>
        <w:t>•</w:t>
        <w:tab/>
        <w:t>Oversee compliance with legal, ethical and regulatory requirements</w:t>
      </w:r>
    </w:p>
    <w:p>
      <w:pPr>
        <w:spacing w:after="0" w:line="45" w:lineRule="exact"/>
        <w:rPr>
          <w:sz w:val="20"/>
          <w:szCs w:val="20"/>
          <w:color w:val="auto"/>
        </w:rPr>
      </w:pPr>
    </w:p>
    <w:p>
      <w:pPr>
        <w:ind w:left="3600" w:right="1760" w:hanging="317"/>
        <w:spacing w:after="0" w:line="251" w:lineRule="auto"/>
        <w:tabs>
          <w:tab w:leader="none" w:pos="3580" w:val="left"/>
        </w:tabs>
        <w:rPr>
          <w:sz w:val="20"/>
          <w:szCs w:val="20"/>
          <w:color w:val="auto"/>
        </w:rPr>
      </w:pPr>
      <w:r>
        <w:rPr>
          <w:rFonts w:ascii="Arial" w:cs="Arial" w:eastAsia="Arial" w:hAnsi="Arial"/>
          <w:sz w:val="18"/>
          <w:szCs w:val="18"/>
          <w:color w:val="242424"/>
        </w:rPr>
        <w:t>•</w:t>
        <w:tab/>
        <w:t>Establish procedures for the receipt, retention, investigation and treatment of complaints regarding accounting, internal controls and auditing matters</w:t>
      </w:r>
    </w:p>
    <w:p>
      <w:pPr>
        <w:spacing w:after="0" w:line="31" w:lineRule="exact"/>
        <w:rPr>
          <w:sz w:val="20"/>
          <w:szCs w:val="20"/>
          <w:color w:val="auto"/>
        </w:rPr>
      </w:pPr>
    </w:p>
    <w:p>
      <w:pPr>
        <w:ind w:left="3300"/>
        <w:spacing w:after="0"/>
        <w:tabs>
          <w:tab w:leader="none" w:pos="3580" w:val="left"/>
        </w:tabs>
        <w:rPr>
          <w:sz w:val="20"/>
          <w:szCs w:val="20"/>
          <w:color w:val="auto"/>
        </w:rPr>
      </w:pPr>
      <w:r>
        <w:rPr>
          <w:rFonts w:ascii="Arial" w:cs="Arial" w:eastAsia="Arial" w:hAnsi="Arial"/>
          <w:sz w:val="18"/>
          <w:szCs w:val="18"/>
          <w:color w:val="242424"/>
        </w:rPr>
        <w:t>•</w:t>
        <w:tab/>
        <w:t>Review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11</w:t>
      </w:r>
    </w:p>
    <w:p>
      <w:pPr>
        <w:sectPr>
          <w:pgSz w:w="11900" w:h="16838" w:orient="portrait"/>
          <w:cols w:equalWidth="0" w:num="1">
            <w:col w:w="11340"/>
          </w:cols>
          <w:pgMar w:left="320" w:top="340" w:right="239" w:bottom="1440" w:gutter="0" w:footer="0" w:header="0"/>
        </w:sectPr>
      </w:pPr>
    </w:p>
    <w:bookmarkStart w:id="14" w:name="page15"/>
    <w:bookmarkEnd w:id="14"/>
    <w:p>
      <w:pPr>
        <w:ind w:left="120"/>
        <w:spacing w:after="0"/>
        <w:rPr>
          <w:sz w:val="20"/>
          <w:szCs w:val="20"/>
          <w:color w:val="auto"/>
        </w:rPr>
      </w:pPr>
      <w:r>
        <w:rPr>
          <w:rFonts w:ascii="Arial" w:cs="Arial" w:eastAsia="Arial" w:hAnsi="Arial"/>
          <w:sz w:val="16"/>
          <w:szCs w:val="16"/>
          <w:color w:val="CC092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8255</wp:posOffset>
            </wp:positionV>
            <wp:extent cx="7134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0"/>
        <w:spacing w:after="0"/>
        <w:rPr>
          <w:sz w:val="20"/>
          <w:szCs w:val="20"/>
          <w:color w:val="auto"/>
        </w:rPr>
      </w:pPr>
      <w:r>
        <w:rPr>
          <w:rFonts w:ascii="Arial" w:cs="Arial" w:eastAsia="Arial" w:hAnsi="Arial"/>
          <w:sz w:val="19"/>
          <w:szCs w:val="19"/>
          <w:b w:val="1"/>
          <w:bCs w:val="1"/>
          <w:i w:val="1"/>
          <w:iCs w:val="1"/>
          <w:color w:val="CC092F"/>
        </w:rPr>
        <w:t>Compensation Committee</w:t>
      </w:r>
    </w:p>
    <w:p>
      <w:pPr>
        <w:spacing w:after="0" w:line="192" w:lineRule="exact"/>
        <w:rPr>
          <w:sz w:val="20"/>
          <w:szCs w:val="20"/>
          <w:color w:val="auto"/>
        </w:rPr>
      </w:pPr>
    </w:p>
    <w:p>
      <w:pPr>
        <w:ind w:left="100" w:right="60"/>
        <w:spacing w:after="0" w:line="248" w:lineRule="auto"/>
        <w:rPr>
          <w:sz w:val="20"/>
          <w:szCs w:val="20"/>
          <w:color w:val="auto"/>
        </w:rPr>
      </w:pPr>
      <w:r>
        <w:rPr>
          <w:rFonts w:ascii="Arial" w:cs="Arial" w:eastAsia="Arial" w:hAnsi="Arial"/>
          <w:sz w:val="18"/>
          <w:szCs w:val="18"/>
          <w:color w:val="242424"/>
        </w:rPr>
        <w:t>Each member of the Compensation Committee is independent in accordance with the compensation committee independence requirements under the applicable rules and regulations of the SEC and Nasdaq and is a non-employee director within the meaning of Section 16 of the Securities Exchange Act of 1934, as amended (the “Exchange Act”).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 w:type="dxa"/>
            <w:vAlign w:val="bottom"/>
          </w:tcPr>
          <w:p>
            <w:pPr>
              <w:spacing w:after="0"/>
              <w:rPr>
                <w:sz w:val="16"/>
                <w:szCs w:val="16"/>
                <w:color w:val="auto"/>
              </w:rPr>
            </w:pPr>
          </w:p>
        </w:tc>
        <w:tc>
          <w:tcPr>
            <w:tcW w:w="1540" w:type="dxa"/>
            <w:vAlign w:val="bottom"/>
            <w:tcBorders>
              <w:top w:val="single" w:sz="8" w:color="CC092F"/>
            </w:tcBorders>
            <w:shd w:val="clear" w:color="auto" w:fill="B8B8B8"/>
          </w:tcPr>
          <w:p>
            <w:pPr>
              <w:spacing w:after="0" w:line="186" w:lineRule="exact"/>
              <w:rPr>
                <w:sz w:val="20"/>
                <w:szCs w:val="20"/>
                <w:color w:val="auto"/>
              </w:rPr>
            </w:pPr>
            <w:r>
              <w:rPr>
                <w:rFonts w:ascii="Arial" w:cs="Arial" w:eastAsia="Arial" w:hAnsi="Arial"/>
                <w:sz w:val="18"/>
                <w:szCs w:val="18"/>
                <w:b w:val="1"/>
                <w:bCs w:val="1"/>
                <w:color w:val="FFFFFF"/>
              </w:rPr>
              <w:t>embers</w:t>
            </w:r>
          </w:p>
        </w:tc>
        <w:tc>
          <w:tcPr>
            <w:tcW w:w="5540" w:type="dxa"/>
            <w:vAlign w:val="bottom"/>
            <w:tcBorders>
              <w:top w:val="single" w:sz="8" w:color="CC092F"/>
            </w:tcBorders>
            <w:shd w:val="clear" w:color="auto" w:fill="B8B8B8"/>
          </w:tcPr>
          <w:p>
            <w:pPr>
              <w:ind w:left="1040"/>
              <w:spacing w:after="0" w:line="186" w:lineRule="exact"/>
              <w:rPr>
                <w:sz w:val="20"/>
                <w:szCs w:val="20"/>
                <w:color w:val="auto"/>
              </w:rPr>
            </w:pPr>
            <w:r>
              <w:rPr>
                <w:rFonts w:ascii="Arial" w:cs="Arial" w:eastAsia="Arial" w:hAnsi="Arial"/>
                <w:sz w:val="18"/>
                <w:szCs w:val="18"/>
                <w:b w:val="1"/>
                <w:bCs w:val="1"/>
                <w:color w:val="FFFFFF"/>
              </w:rPr>
              <w:t>Primary Responsibilities</w:t>
            </w:r>
          </w:p>
        </w:tc>
        <w:tc>
          <w:tcPr>
            <w:tcW w:w="3840" w:type="dxa"/>
            <w:vAlign w:val="bottom"/>
            <w:tcBorders>
              <w:top w:val="single" w:sz="8" w:color="CC092F"/>
            </w:tcBorders>
            <w:shd w:val="clear" w:color="auto" w:fill="B8B8B8"/>
          </w:tcPr>
          <w:p>
            <w:pPr>
              <w:ind w:left="2460"/>
              <w:spacing w:after="0" w:line="186" w:lineRule="exact"/>
              <w:rPr>
                <w:sz w:val="20"/>
                <w:szCs w:val="20"/>
                <w:color w:val="auto"/>
              </w:rPr>
            </w:pPr>
            <w:r>
              <w:rPr>
                <w:rFonts w:ascii="Arial" w:cs="Arial" w:eastAsia="Arial" w:hAnsi="Arial"/>
                <w:sz w:val="18"/>
                <w:szCs w:val="18"/>
                <w:b w:val="1"/>
                <w:bCs w:val="1"/>
                <w:color w:val="FFFFFF"/>
              </w:rPr>
              <w:t>Meetings in</w:t>
            </w:r>
          </w:p>
        </w:tc>
      </w:tr>
      <w:tr>
        <w:trPr>
          <w:trHeight w:val="172"/>
        </w:trPr>
        <w:tc>
          <w:tcPr>
            <w:tcW w:w="100" w:type="dxa"/>
            <w:vAlign w:val="bottom"/>
          </w:tcPr>
          <w:p>
            <w:pPr>
              <w:spacing w:after="0"/>
              <w:rPr>
                <w:sz w:val="14"/>
                <w:szCs w:val="14"/>
                <w:color w:val="auto"/>
              </w:rPr>
            </w:pPr>
          </w:p>
        </w:tc>
        <w:tc>
          <w:tcPr>
            <w:tcW w:w="1540" w:type="dxa"/>
            <w:vAlign w:val="bottom"/>
            <w:shd w:val="clear" w:color="auto" w:fill="B8B8B8"/>
          </w:tcPr>
          <w:p>
            <w:pPr>
              <w:spacing w:after="0"/>
              <w:rPr>
                <w:sz w:val="14"/>
                <w:szCs w:val="14"/>
                <w:color w:val="auto"/>
              </w:rPr>
            </w:pPr>
          </w:p>
        </w:tc>
        <w:tc>
          <w:tcPr>
            <w:tcW w:w="5540" w:type="dxa"/>
            <w:vAlign w:val="bottom"/>
            <w:shd w:val="clear" w:color="auto" w:fill="B8B8B8"/>
          </w:tcPr>
          <w:p>
            <w:pPr>
              <w:spacing w:after="0"/>
              <w:rPr>
                <w:sz w:val="14"/>
                <w:szCs w:val="14"/>
                <w:color w:val="auto"/>
              </w:rPr>
            </w:pPr>
          </w:p>
        </w:tc>
        <w:tc>
          <w:tcPr>
            <w:tcW w:w="3840" w:type="dxa"/>
            <w:vAlign w:val="bottom"/>
            <w:shd w:val="clear" w:color="auto" w:fill="B8B8B8"/>
          </w:tcPr>
          <w:p>
            <w:pPr>
              <w:ind w:left="2780"/>
              <w:spacing w:after="0" w:line="172" w:lineRule="exact"/>
              <w:rPr>
                <w:sz w:val="20"/>
                <w:szCs w:val="20"/>
                <w:color w:val="auto"/>
              </w:rPr>
            </w:pPr>
            <w:r>
              <w:rPr>
                <w:rFonts w:ascii="Arial" w:cs="Arial" w:eastAsia="Arial" w:hAnsi="Arial"/>
                <w:sz w:val="18"/>
                <w:szCs w:val="18"/>
                <w:b w:val="1"/>
                <w:bCs w:val="1"/>
                <w:color w:val="FFFFFF"/>
              </w:rPr>
              <w:t>Fiscal Year</w:t>
            </w:r>
          </w:p>
        </w:tc>
      </w:tr>
      <w:tr>
        <w:trPr>
          <w:trHeight w:val="258"/>
        </w:trPr>
        <w:tc>
          <w:tcPr>
            <w:tcW w:w="100" w:type="dxa"/>
            <w:vAlign w:val="bottom"/>
          </w:tcPr>
          <w:p>
            <w:pPr>
              <w:spacing w:after="0"/>
              <w:rPr>
                <w:sz w:val="22"/>
                <w:szCs w:val="22"/>
                <w:color w:val="auto"/>
              </w:rPr>
            </w:pPr>
          </w:p>
        </w:tc>
        <w:tc>
          <w:tcPr>
            <w:tcW w:w="1540" w:type="dxa"/>
            <w:vAlign w:val="bottom"/>
            <w:tcBorders>
              <w:bottom w:val="single" w:sz="8" w:color="B8B8B8"/>
            </w:tcBorders>
            <w:shd w:val="clear" w:color="auto" w:fill="B8B8B8"/>
          </w:tcPr>
          <w:p>
            <w:pPr>
              <w:spacing w:after="0"/>
              <w:rPr>
                <w:sz w:val="22"/>
                <w:szCs w:val="22"/>
                <w:color w:val="auto"/>
              </w:rPr>
            </w:pPr>
          </w:p>
        </w:tc>
        <w:tc>
          <w:tcPr>
            <w:tcW w:w="5540" w:type="dxa"/>
            <w:vAlign w:val="bottom"/>
            <w:tcBorders>
              <w:bottom w:val="single" w:sz="8" w:color="B8B8B8"/>
            </w:tcBorders>
            <w:shd w:val="clear" w:color="auto" w:fill="B8B8B8"/>
          </w:tcPr>
          <w:p>
            <w:pPr>
              <w:spacing w:after="0"/>
              <w:rPr>
                <w:sz w:val="22"/>
                <w:szCs w:val="22"/>
                <w:color w:val="auto"/>
              </w:rPr>
            </w:pPr>
          </w:p>
        </w:tc>
        <w:tc>
          <w:tcPr>
            <w:tcW w:w="3840" w:type="dxa"/>
            <w:vAlign w:val="bottom"/>
            <w:tcBorders>
              <w:bottom w:val="single" w:sz="8" w:color="B8B8B8"/>
            </w:tcBorders>
            <w:shd w:val="clear" w:color="auto" w:fill="B8B8B8"/>
          </w:tcPr>
          <w:p>
            <w:pPr>
              <w:ind w:left="2780"/>
              <w:spacing w:after="0"/>
              <w:rPr>
                <w:sz w:val="20"/>
                <w:szCs w:val="20"/>
                <w:color w:val="auto"/>
              </w:rPr>
            </w:pPr>
            <w:r>
              <w:rPr>
                <w:rFonts w:ascii="Arial" w:cs="Arial" w:eastAsia="Arial" w:hAnsi="Arial"/>
                <w:sz w:val="18"/>
                <w:szCs w:val="18"/>
                <w:b w:val="1"/>
                <w:bCs w:val="1"/>
                <w:color w:val="FFFFFF"/>
              </w:rPr>
              <w:t>2021</w:t>
            </w:r>
          </w:p>
        </w:tc>
      </w:tr>
      <w:tr>
        <w:trPr>
          <w:trHeight w:val="20"/>
        </w:trPr>
        <w:tc>
          <w:tcPr>
            <w:tcW w:w="100" w:type="dxa"/>
            <w:vAlign w:val="bottom"/>
          </w:tcPr>
          <w:p>
            <w:pPr>
              <w:spacing w:after="0" w:line="20" w:lineRule="exact"/>
              <w:rPr>
                <w:sz w:val="1"/>
                <w:szCs w:val="1"/>
                <w:color w:val="auto"/>
              </w:rPr>
            </w:pPr>
          </w:p>
        </w:tc>
        <w:tc>
          <w:tcPr>
            <w:tcW w:w="1540" w:type="dxa"/>
            <w:vAlign w:val="bottom"/>
            <w:shd w:val="clear" w:color="auto" w:fill="CC092F"/>
          </w:tcPr>
          <w:p>
            <w:pPr>
              <w:spacing w:after="0" w:line="20" w:lineRule="exact"/>
              <w:rPr>
                <w:sz w:val="1"/>
                <w:szCs w:val="1"/>
                <w:color w:val="auto"/>
              </w:rPr>
            </w:pPr>
          </w:p>
        </w:tc>
        <w:tc>
          <w:tcPr>
            <w:tcW w:w="5540" w:type="dxa"/>
            <w:vAlign w:val="bottom"/>
            <w:shd w:val="clear" w:color="auto" w:fill="CC092F"/>
          </w:tcPr>
          <w:p>
            <w:pPr>
              <w:spacing w:after="0" w:line="20" w:lineRule="exact"/>
              <w:rPr>
                <w:sz w:val="1"/>
                <w:szCs w:val="1"/>
                <w:color w:val="auto"/>
              </w:rPr>
            </w:pPr>
          </w:p>
        </w:tc>
        <w:tc>
          <w:tcPr>
            <w:tcW w:w="3840" w:type="dxa"/>
            <w:vAlign w:val="bottom"/>
            <w:shd w:val="clear" w:color="auto" w:fill="CC092F"/>
          </w:tcPr>
          <w:p>
            <w:pPr>
              <w:spacing w:after="0" w:line="20" w:lineRule="exact"/>
              <w:rPr>
                <w:sz w:val="1"/>
                <w:szCs w:val="1"/>
                <w:color w:val="auto"/>
              </w:rPr>
            </w:pPr>
          </w:p>
        </w:tc>
      </w:tr>
    </w:tbl>
    <w:p>
      <w:pPr>
        <w:spacing w:after="0" w:line="118" w:lineRule="exact"/>
        <w:rPr>
          <w:sz w:val="20"/>
          <w:szCs w:val="20"/>
          <w:color w:val="auto"/>
        </w:rPr>
      </w:pPr>
    </w:p>
    <w:p>
      <w:pPr>
        <w:sectPr>
          <w:pgSz w:w="11900" w:h="16838" w:orient="portrait"/>
          <w:cols w:equalWidth="0" w:num="1">
            <w:col w:w="11100"/>
          </w:cols>
          <w:pgMar w:left="220" w:top="181" w:right="579" w:bottom="1440" w:gutter="0" w:footer="0" w:header="0"/>
        </w:sectPr>
      </w:pPr>
    </w:p>
    <w:p>
      <w:pPr>
        <w:spacing w:after="0" w:line="67" w:lineRule="exact"/>
        <w:rPr>
          <w:sz w:val="20"/>
          <w:szCs w:val="20"/>
          <w:color w:val="auto"/>
        </w:rPr>
      </w:pPr>
    </w:p>
    <w:p>
      <w:pPr>
        <w:ind w:left="40"/>
        <w:spacing w:after="0"/>
        <w:rPr>
          <w:sz w:val="20"/>
          <w:szCs w:val="20"/>
          <w:color w:val="auto"/>
        </w:rPr>
      </w:pPr>
      <w:r>
        <w:rPr>
          <w:rFonts w:ascii="Arial" w:cs="Arial" w:eastAsia="Arial" w:hAnsi="Arial"/>
          <w:sz w:val="17"/>
          <w:szCs w:val="17"/>
          <w:color w:val="242424"/>
        </w:rPr>
        <w:t>rry L. You (Chair)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242424"/>
        </w:rPr>
        <w:t>ane M. Bryant</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242424"/>
        </w:rPr>
        <w:t>eck Kian Low</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7"/>
          <w:szCs w:val="17"/>
          <w:color w:val="242424"/>
        </w:rPr>
        <w:t>dy W. Hartenstein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 w:type="dxa"/>
        <w:tblCellMar>
          <w:top w:w="0" w:type="dxa"/>
          <w:left w:w="0" w:type="dxa"/>
          <w:bottom w:w="0" w:type="dxa"/>
          <w:right w:w="0" w:type="dxa"/>
        </w:tblCellMar>
      </w:tblPr>
      <w:tr>
        <w:trPr>
          <w:trHeight w:val="225"/>
        </w:trPr>
        <w:tc>
          <w:tcPr>
            <w:tcW w:w="7020" w:type="dxa"/>
            <w:vAlign w:val="bottom"/>
          </w:tcPr>
          <w:p>
            <w:pPr>
              <w:spacing w:after="0"/>
              <w:rPr>
                <w:sz w:val="20"/>
                <w:szCs w:val="20"/>
                <w:color w:val="auto"/>
              </w:rPr>
            </w:pPr>
            <w:r>
              <w:rPr>
                <w:rFonts w:ascii="Arial" w:cs="Arial" w:eastAsia="Arial" w:hAnsi="Arial"/>
                <w:sz w:val="18"/>
                <w:szCs w:val="18"/>
                <w:color w:val="242424"/>
              </w:rPr>
              <w:t>•   Determine our executives’ base and incentive compensation (other than that of our</w:t>
            </w:r>
          </w:p>
        </w:tc>
        <w:tc>
          <w:tcPr>
            <w:tcW w:w="360" w:type="dxa"/>
            <w:vAlign w:val="bottom"/>
          </w:tcPr>
          <w:p>
            <w:pPr>
              <w:jc w:val="right"/>
              <w:spacing w:after="0"/>
              <w:rPr>
                <w:sz w:val="20"/>
                <w:szCs w:val="20"/>
                <w:color w:val="auto"/>
              </w:rPr>
            </w:pPr>
            <w:r>
              <w:rPr>
                <w:rFonts w:ascii="Arial" w:cs="Arial" w:eastAsia="Arial" w:hAnsi="Arial"/>
                <w:sz w:val="18"/>
                <w:szCs w:val="18"/>
                <w:color w:val="242424"/>
              </w:rPr>
              <w:t>7</w:t>
            </w:r>
          </w:p>
        </w:tc>
      </w:tr>
      <w:tr>
        <w:trPr>
          <w:trHeight w:val="212"/>
        </w:trPr>
        <w:tc>
          <w:tcPr>
            <w:tcW w:w="7020" w:type="dxa"/>
            <w:vAlign w:val="bottom"/>
          </w:tcPr>
          <w:p>
            <w:pPr>
              <w:ind w:left="320"/>
              <w:spacing w:after="0"/>
              <w:rPr>
                <w:sz w:val="20"/>
                <w:szCs w:val="20"/>
                <w:color w:val="auto"/>
              </w:rPr>
            </w:pPr>
            <w:r>
              <w:rPr>
                <w:rFonts w:ascii="Arial" w:cs="Arial" w:eastAsia="Arial" w:hAnsi="Arial"/>
                <w:sz w:val="18"/>
                <w:szCs w:val="18"/>
                <w:color w:val="242424"/>
              </w:rPr>
              <w:t>CEO)</w:t>
            </w:r>
          </w:p>
        </w:tc>
        <w:tc>
          <w:tcPr>
            <w:tcW w:w="360" w:type="dxa"/>
            <w:vAlign w:val="bottom"/>
          </w:tcPr>
          <w:p>
            <w:pPr>
              <w:spacing w:after="0"/>
              <w:rPr>
                <w:sz w:val="18"/>
                <w:szCs w:val="18"/>
                <w:color w:val="auto"/>
              </w:rPr>
            </w:pPr>
          </w:p>
        </w:tc>
      </w:tr>
    </w:tbl>
    <w:p>
      <w:pPr>
        <w:spacing w:after="0" w:line="27" w:lineRule="exact"/>
        <w:rPr>
          <w:sz w:val="20"/>
          <w:szCs w:val="20"/>
          <w:color w:val="auto"/>
        </w:rPr>
      </w:pPr>
    </w:p>
    <w:p>
      <w:pPr>
        <w:ind w:left="321" w:right="1700" w:hanging="321"/>
        <w:spacing w:after="0" w:line="251" w:lineRule="auto"/>
        <w:tabs>
          <w:tab w:leader="none" w:pos="317" w:val="left"/>
        </w:tabs>
        <w:numPr>
          <w:ilvl w:val="0"/>
          <w:numId w:val="19"/>
        </w:numPr>
        <w:rPr>
          <w:rFonts w:ascii="Arial" w:cs="Arial" w:eastAsia="Arial" w:hAnsi="Arial"/>
          <w:sz w:val="18"/>
          <w:szCs w:val="18"/>
          <w:color w:val="242424"/>
        </w:rPr>
      </w:pPr>
      <w:r>
        <w:rPr>
          <w:rFonts w:ascii="Arial" w:cs="Arial" w:eastAsia="Arial" w:hAnsi="Arial"/>
          <w:sz w:val="18"/>
          <w:szCs w:val="18"/>
          <w:color w:val="242424"/>
        </w:rPr>
        <w:t>Provide input and recommendations to the independent directors of our Board regarding CEO compensation</w:t>
      </w:r>
    </w:p>
    <w:p>
      <w:pPr>
        <w:spacing w:after="0" w:line="30" w:lineRule="exact"/>
        <w:rPr>
          <w:rFonts w:ascii="Arial" w:cs="Arial" w:eastAsia="Arial" w:hAnsi="Arial"/>
          <w:sz w:val="18"/>
          <w:szCs w:val="18"/>
          <w:color w:val="242424"/>
        </w:rPr>
      </w:pPr>
    </w:p>
    <w:p>
      <w:pPr>
        <w:ind w:left="321" w:right="1260" w:hanging="321"/>
        <w:spacing w:after="0" w:line="251" w:lineRule="auto"/>
        <w:tabs>
          <w:tab w:leader="none" w:pos="317" w:val="left"/>
        </w:tabs>
        <w:numPr>
          <w:ilvl w:val="0"/>
          <w:numId w:val="19"/>
        </w:numPr>
        <w:rPr>
          <w:rFonts w:ascii="Arial" w:cs="Arial" w:eastAsia="Arial" w:hAnsi="Arial"/>
          <w:sz w:val="18"/>
          <w:szCs w:val="18"/>
          <w:color w:val="242424"/>
        </w:rPr>
      </w:pPr>
      <w:r>
        <w:rPr>
          <w:rFonts w:ascii="Arial" w:cs="Arial" w:eastAsia="Arial" w:hAnsi="Arial"/>
          <w:sz w:val="18"/>
          <w:szCs w:val="18"/>
          <w:color w:val="242424"/>
        </w:rPr>
        <w:t>Design (in consultation with management or our Board) and evaluate compensation plans, policies and programs</w:t>
      </w:r>
    </w:p>
    <w:p>
      <w:pPr>
        <w:spacing w:after="0" w:line="30" w:lineRule="exact"/>
        <w:rPr>
          <w:rFonts w:ascii="Arial" w:cs="Arial" w:eastAsia="Arial" w:hAnsi="Arial"/>
          <w:sz w:val="18"/>
          <w:szCs w:val="18"/>
          <w:color w:val="242424"/>
        </w:rPr>
      </w:pPr>
    </w:p>
    <w:p>
      <w:pPr>
        <w:ind w:left="321" w:right="1800" w:hanging="321"/>
        <w:spacing w:after="0" w:line="251" w:lineRule="auto"/>
        <w:tabs>
          <w:tab w:leader="none" w:pos="317" w:val="left"/>
        </w:tabs>
        <w:numPr>
          <w:ilvl w:val="0"/>
          <w:numId w:val="19"/>
        </w:numPr>
        <w:rPr>
          <w:rFonts w:ascii="Arial" w:cs="Arial" w:eastAsia="Arial" w:hAnsi="Arial"/>
          <w:sz w:val="18"/>
          <w:szCs w:val="18"/>
          <w:color w:val="242424"/>
        </w:rPr>
      </w:pPr>
      <w:r>
        <w:rPr>
          <w:rFonts w:ascii="Arial" w:cs="Arial" w:eastAsia="Arial" w:hAnsi="Arial"/>
          <w:sz w:val="18"/>
          <w:szCs w:val="18"/>
          <w:color w:val="242424"/>
        </w:rPr>
        <w:t>Administer equity-based plans and approve the terms of equity-based grants pursuant to those plans</w:t>
      </w:r>
    </w:p>
    <w:p>
      <w:pPr>
        <w:spacing w:after="0" w:line="17" w:lineRule="exact"/>
        <w:rPr>
          <w:rFonts w:ascii="Arial" w:cs="Arial" w:eastAsia="Arial" w:hAnsi="Arial"/>
          <w:sz w:val="18"/>
          <w:szCs w:val="18"/>
          <w:color w:val="242424"/>
        </w:rPr>
      </w:pPr>
    </w:p>
    <w:p>
      <w:pPr>
        <w:ind w:left="321" w:hanging="321"/>
        <w:spacing w:after="0"/>
        <w:tabs>
          <w:tab w:leader="none" w:pos="321" w:val="left"/>
        </w:tabs>
        <w:numPr>
          <w:ilvl w:val="0"/>
          <w:numId w:val="19"/>
        </w:numPr>
        <w:rPr>
          <w:rFonts w:ascii="Arial" w:cs="Arial" w:eastAsia="Arial" w:hAnsi="Arial"/>
          <w:sz w:val="18"/>
          <w:szCs w:val="18"/>
          <w:color w:val="242424"/>
        </w:rPr>
      </w:pPr>
      <w:r>
        <w:rPr>
          <w:rFonts w:ascii="Arial" w:cs="Arial" w:eastAsia="Arial" w:hAnsi="Arial"/>
          <w:sz w:val="18"/>
          <w:szCs w:val="18"/>
          <w:color w:val="242424"/>
        </w:rPr>
        <w:t>Confirm that compensation programs do not encourage unnecessary risk taking</w:t>
      </w:r>
    </w:p>
    <w:p>
      <w:pPr>
        <w:spacing w:after="0" w:line="44" w:lineRule="exact"/>
        <w:rPr>
          <w:rFonts w:ascii="Arial" w:cs="Arial" w:eastAsia="Arial" w:hAnsi="Arial"/>
          <w:sz w:val="18"/>
          <w:szCs w:val="18"/>
          <w:color w:val="242424"/>
        </w:rPr>
      </w:pPr>
    </w:p>
    <w:p>
      <w:pPr>
        <w:ind w:left="321" w:right="1440" w:hanging="321"/>
        <w:spacing w:after="0" w:line="280" w:lineRule="auto"/>
        <w:tabs>
          <w:tab w:leader="none" w:pos="317" w:val="left"/>
        </w:tabs>
        <w:numPr>
          <w:ilvl w:val="0"/>
          <w:numId w:val="19"/>
        </w:numPr>
        <w:rPr>
          <w:rFonts w:ascii="Arial" w:cs="Arial" w:eastAsia="Arial" w:hAnsi="Arial"/>
          <w:sz w:val="17"/>
          <w:szCs w:val="17"/>
          <w:color w:val="242424"/>
        </w:rPr>
      </w:pPr>
      <w:r>
        <w:rPr>
          <w:rFonts w:ascii="Arial" w:cs="Arial" w:eastAsia="Arial" w:hAnsi="Arial"/>
          <w:sz w:val="17"/>
          <w:szCs w:val="17"/>
          <w:color w:val="242424"/>
        </w:rPr>
        <w:t>Review and discuss, at least annually, the relationship between risk management policies and practices, business strategy and officers’ compensation</w:t>
      </w:r>
    </w:p>
    <w:p>
      <w:pPr>
        <w:spacing w:after="0" w:line="7" w:lineRule="exact"/>
        <w:rPr>
          <w:rFonts w:ascii="Arial" w:cs="Arial" w:eastAsia="Arial" w:hAnsi="Arial"/>
          <w:sz w:val="17"/>
          <w:szCs w:val="17"/>
          <w:color w:val="242424"/>
        </w:rPr>
      </w:pPr>
    </w:p>
    <w:p>
      <w:pPr>
        <w:ind w:left="321" w:hanging="321"/>
        <w:spacing w:after="0"/>
        <w:tabs>
          <w:tab w:leader="none" w:pos="321" w:val="left"/>
        </w:tabs>
        <w:numPr>
          <w:ilvl w:val="0"/>
          <w:numId w:val="19"/>
        </w:numPr>
        <w:rPr>
          <w:rFonts w:ascii="Arial" w:cs="Arial" w:eastAsia="Arial" w:hAnsi="Arial"/>
          <w:sz w:val="18"/>
          <w:szCs w:val="18"/>
          <w:color w:val="242424"/>
        </w:rPr>
      </w:pPr>
      <w:r>
        <w:rPr>
          <w:rFonts w:ascii="Arial" w:cs="Arial" w:eastAsia="Arial" w:hAnsi="Arial"/>
          <w:sz w:val="18"/>
          <w:szCs w:val="18"/>
          <w:color w:val="242424"/>
        </w:rPr>
        <w:t>Establish and periodically review policies concerning perquisite benefits</w:t>
      </w:r>
    </w:p>
    <w:p>
      <w:pPr>
        <w:spacing w:after="0" w:line="31" w:lineRule="exact"/>
        <w:rPr>
          <w:rFonts w:ascii="Arial" w:cs="Arial" w:eastAsia="Arial" w:hAnsi="Arial"/>
          <w:sz w:val="18"/>
          <w:szCs w:val="18"/>
          <w:color w:val="242424"/>
        </w:rPr>
      </w:pPr>
    </w:p>
    <w:p>
      <w:pPr>
        <w:ind w:left="321" w:right="1220" w:hanging="321"/>
        <w:spacing w:after="0" w:line="247" w:lineRule="auto"/>
        <w:tabs>
          <w:tab w:leader="none" w:pos="317" w:val="left"/>
        </w:tabs>
        <w:numPr>
          <w:ilvl w:val="0"/>
          <w:numId w:val="19"/>
        </w:numPr>
        <w:rPr>
          <w:rFonts w:ascii="Arial" w:cs="Arial" w:eastAsia="Arial" w:hAnsi="Arial"/>
          <w:sz w:val="18"/>
          <w:szCs w:val="18"/>
          <w:color w:val="242424"/>
        </w:rPr>
      </w:pPr>
      <w:r>
        <w:rPr>
          <w:rFonts w:ascii="Arial" w:cs="Arial" w:eastAsia="Arial" w:hAnsi="Arial"/>
          <w:sz w:val="18"/>
          <w:szCs w:val="18"/>
          <w:color w:val="242424"/>
        </w:rPr>
        <w:t>Review and approve all employment agreements, severance and change-in-control arrangements and perquisites for officers and other executives, other than our CEO, and make recommendations to our Board regarding such agreements and perquisites with our CEO</w:t>
      </w:r>
    </w:p>
    <w:p>
      <w:pPr>
        <w:spacing w:after="0" w:line="35" w:lineRule="exact"/>
        <w:rPr>
          <w:rFonts w:ascii="Arial" w:cs="Arial" w:eastAsia="Arial" w:hAnsi="Arial"/>
          <w:sz w:val="18"/>
          <w:szCs w:val="18"/>
          <w:color w:val="242424"/>
        </w:rPr>
      </w:pPr>
    </w:p>
    <w:p>
      <w:pPr>
        <w:ind w:left="321" w:hanging="321"/>
        <w:spacing w:after="0"/>
        <w:tabs>
          <w:tab w:leader="none" w:pos="321" w:val="left"/>
        </w:tabs>
        <w:numPr>
          <w:ilvl w:val="0"/>
          <w:numId w:val="19"/>
        </w:numPr>
        <w:rPr>
          <w:rFonts w:ascii="Arial" w:cs="Arial" w:eastAsia="Arial" w:hAnsi="Arial"/>
          <w:sz w:val="18"/>
          <w:szCs w:val="18"/>
          <w:color w:val="242424"/>
        </w:rPr>
      </w:pPr>
      <w:r>
        <w:rPr>
          <w:rFonts w:ascii="Arial" w:cs="Arial" w:eastAsia="Arial" w:hAnsi="Arial"/>
          <w:sz w:val="18"/>
          <w:szCs w:val="18"/>
          <w:color w:val="242424"/>
        </w:rPr>
        <w:t>Evaluate and provide input on CEO and senior management succession planning</w:t>
      </w:r>
    </w:p>
    <w:p>
      <w:pPr>
        <w:spacing w:after="0" w:line="44" w:lineRule="exact"/>
        <w:rPr>
          <w:rFonts w:ascii="Arial" w:cs="Arial" w:eastAsia="Arial" w:hAnsi="Arial"/>
          <w:sz w:val="18"/>
          <w:szCs w:val="18"/>
          <w:color w:val="242424"/>
        </w:rPr>
      </w:pPr>
    </w:p>
    <w:p>
      <w:pPr>
        <w:ind w:left="321" w:right="1300" w:hanging="321"/>
        <w:spacing w:after="0" w:line="251" w:lineRule="auto"/>
        <w:tabs>
          <w:tab w:leader="none" w:pos="317" w:val="left"/>
        </w:tabs>
        <w:numPr>
          <w:ilvl w:val="0"/>
          <w:numId w:val="19"/>
        </w:numPr>
        <w:rPr>
          <w:rFonts w:ascii="Arial" w:cs="Arial" w:eastAsia="Arial" w:hAnsi="Arial"/>
          <w:sz w:val="18"/>
          <w:szCs w:val="18"/>
          <w:color w:val="242424"/>
        </w:rPr>
      </w:pPr>
      <w:r>
        <w:rPr>
          <w:rFonts w:ascii="Arial" w:cs="Arial" w:eastAsia="Arial" w:hAnsi="Arial"/>
          <w:sz w:val="18"/>
          <w:szCs w:val="18"/>
          <w:color w:val="242424"/>
        </w:rPr>
        <w:t>Review and make recommendations to our Board regarding compensation for non-employee directors</w:t>
      </w:r>
    </w:p>
    <w:p>
      <w:pPr>
        <w:spacing w:after="0" w:line="17" w:lineRule="exact"/>
        <w:rPr>
          <w:rFonts w:ascii="Arial" w:cs="Arial" w:eastAsia="Arial" w:hAnsi="Arial"/>
          <w:sz w:val="18"/>
          <w:szCs w:val="18"/>
          <w:color w:val="242424"/>
        </w:rPr>
      </w:pPr>
    </w:p>
    <w:p>
      <w:pPr>
        <w:ind w:left="321" w:hanging="321"/>
        <w:spacing w:after="0"/>
        <w:tabs>
          <w:tab w:leader="none" w:pos="321" w:val="left"/>
        </w:tabs>
        <w:numPr>
          <w:ilvl w:val="0"/>
          <w:numId w:val="19"/>
        </w:numPr>
        <w:rPr>
          <w:rFonts w:ascii="Arial" w:cs="Arial" w:eastAsia="Arial" w:hAnsi="Arial"/>
          <w:sz w:val="18"/>
          <w:szCs w:val="18"/>
          <w:color w:val="242424"/>
        </w:rPr>
      </w:pPr>
      <w:r>
        <w:rPr>
          <w:rFonts w:ascii="Arial" w:cs="Arial" w:eastAsia="Arial" w:hAnsi="Arial"/>
          <w:sz w:val="18"/>
          <w:szCs w:val="18"/>
          <w:color w:val="242424"/>
        </w:rPr>
        <w:t>Establish and periodically review stockholder ownership guidelines</w:t>
      </w:r>
    </w:p>
    <w:p>
      <w:pPr>
        <w:spacing w:after="0" w:line="44" w:lineRule="exact"/>
        <w:rPr>
          <w:rFonts w:ascii="Arial" w:cs="Arial" w:eastAsia="Arial" w:hAnsi="Arial"/>
          <w:sz w:val="18"/>
          <w:szCs w:val="18"/>
          <w:color w:val="242424"/>
        </w:rPr>
      </w:pPr>
    </w:p>
    <w:p>
      <w:pPr>
        <w:ind w:left="321" w:hanging="321"/>
        <w:spacing w:after="0"/>
        <w:tabs>
          <w:tab w:leader="none" w:pos="321" w:val="left"/>
        </w:tabs>
        <w:numPr>
          <w:ilvl w:val="0"/>
          <w:numId w:val="19"/>
        </w:numPr>
        <w:rPr>
          <w:rFonts w:ascii="Arial" w:cs="Arial" w:eastAsia="Arial" w:hAnsi="Arial"/>
          <w:sz w:val="18"/>
          <w:szCs w:val="18"/>
          <w:color w:val="242424"/>
        </w:rPr>
      </w:pPr>
      <w:r>
        <w:rPr>
          <w:rFonts w:ascii="Arial" w:cs="Arial" w:eastAsia="Arial" w:hAnsi="Arial"/>
          <w:sz w:val="18"/>
          <w:szCs w:val="18"/>
          <w:color w:val="242424"/>
        </w:rPr>
        <w:t>Provide oversight over the Compensation Committee’s compensation consultant</w:t>
      </w:r>
    </w:p>
    <w:p>
      <w:pPr>
        <w:spacing w:after="0" w:line="200" w:lineRule="exact"/>
        <w:rPr>
          <w:sz w:val="20"/>
          <w:szCs w:val="20"/>
          <w:color w:val="auto"/>
        </w:rPr>
      </w:pPr>
    </w:p>
    <w:p>
      <w:pPr>
        <w:sectPr>
          <w:pgSz w:w="11900" w:h="16838" w:orient="portrait"/>
          <w:cols w:equalWidth="0" w:num="2">
            <w:col w:w="2279" w:space="720"/>
            <w:col w:w="8101"/>
          </w:cols>
          <w:pgMar w:left="220" w:top="181" w:right="579" w:bottom="1440" w:gutter="0" w:footer="0" w:header="0"/>
          <w:type w:val="continuous"/>
        </w:sectPr>
      </w:pPr>
    </w:p>
    <w:p>
      <w:pPr>
        <w:spacing w:after="0" w:line="8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242424"/>
        </w:rPr>
        <w:t>Compensation Committee Interlocks and Insider Participation</w:t>
      </w:r>
    </w:p>
    <w:p>
      <w:pPr>
        <w:spacing w:after="0" w:line="186" w:lineRule="exact"/>
        <w:rPr>
          <w:sz w:val="20"/>
          <w:szCs w:val="20"/>
          <w:color w:val="auto"/>
        </w:rPr>
      </w:pPr>
    </w:p>
    <w:p>
      <w:pPr>
        <w:ind w:left="100"/>
        <w:spacing w:after="0" w:line="270" w:lineRule="auto"/>
        <w:rPr>
          <w:sz w:val="20"/>
          <w:szCs w:val="20"/>
          <w:color w:val="auto"/>
        </w:rPr>
      </w:pPr>
      <w:r>
        <w:rPr>
          <w:rFonts w:ascii="Arial" w:cs="Arial" w:eastAsia="Arial" w:hAnsi="Arial"/>
          <w:sz w:val="17"/>
          <w:szCs w:val="17"/>
          <w:color w:val="242424"/>
        </w:rPr>
        <w:t>The current members of the Compensation Committee, Ms. Bryant and Messrs. Hartenstein, Low and You, are not and have never been officers or employees of Broadcom. During Fiscal Year 2021, none of our executive officers served on the board of directors or compensation committee of any other entity that has one or more executive officers serving as a member of our Board or the Compensation Committee.</w:t>
      </w:r>
    </w:p>
    <w:p>
      <w:pPr>
        <w:spacing w:after="0" w:line="200" w:lineRule="exact"/>
        <w:rPr>
          <w:sz w:val="20"/>
          <w:szCs w:val="20"/>
          <w:color w:val="auto"/>
        </w:rPr>
      </w:pPr>
    </w:p>
    <w:p>
      <w:pPr>
        <w:spacing w:after="0" w:line="229" w:lineRule="exact"/>
        <w:rPr>
          <w:sz w:val="20"/>
          <w:szCs w:val="20"/>
          <w:color w:val="auto"/>
        </w:rPr>
      </w:pPr>
    </w:p>
    <w:p>
      <w:pPr>
        <w:ind w:left="460" w:hanging="354"/>
        <w:spacing w:after="0"/>
        <w:tabs>
          <w:tab w:leader="none" w:pos="460" w:val="left"/>
        </w:tabs>
        <w:numPr>
          <w:ilvl w:val="0"/>
          <w:numId w:val="20"/>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100"/>
          </w:cols>
          <w:pgMar w:left="220" w:top="181" w:right="579" w:bottom="1440" w:gutter="0" w:footer="0" w:header="0"/>
          <w:type w:val="continuous"/>
        </w:sectPr>
      </w:pPr>
    </w:p>
    <w:bookmarkStart w:id="15" w:name="page16"/>
    <w:bookmarkEnd w:id="15"/>
    <w:p>
      <w:pPr>
        <w:jc w:val="right"/>
        <w:ind w:right="20"/>
        <w:spacing w:after="0"/>
        <w:rPr>
          <w:sz w:val="20"/>
          <w:szCs w:val="20"/>
          <w:color w:val="auto"/>
        </w:rPr>
      </w:pPr>
      <w:r>
        <w:rPr>
          <w:rFonts w:ascii="Arial" w:cs="Arial" w:eastAsia="Arial" w:hAnsi="Arial"/>
          <w:sz w:val="16"/>
          <w:szCs w:val="16"/>
          <w:color w:val="CC092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8255</wp:posOffset>
            </wp:positionV>
            <wp:extent cx="7134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0"/>
        <w:spacing w:after="0"/>
        <w:rPr>
          <w:sz w:val="20"/>
          <w:szCs w:val="20"/>
          <w:color w:val="auto"/>
        </w:rPr>
      </w:pPr>
      <w:r>
        <w:rPr>
          <w:rFonts w:ascii="Arial" w:cs="Arial" w:eastAsia="Arial" w:hAnsi="Arial"/>
          <w:sz w:val="19"/>
          <w:szCs w:val="19"/>
          <w:b w:val="1"/>
          <w:bCs w:val="1"/>
          <w:i w:val="1"/>
          <w:iCs w:val="1"/>
          <w:color w:val="CC092F"/>
        </w:rPr>
        <w:t>Nominating, Environmental, Social &amp; Governance Committee</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color w:val="242424"/>
        </w:rPr>
        <w:t>Each member of the NESG Committee is independent in accordance with the applicable Nasdaq rules and regulations.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2240" w:type="dxa"/>
            <w:vAlign w:val="bottom"/>
            <w:tcBorders>
              <w:top w:val="single" w:sz="8" w:color="CC092F"/>
            </w:tcBorders>
            <w:shd w:val="clear" w:color="auto" w:fill="B8B8B8"/>
          </w:tcPr>
          <w:p>
            <w:pPr>
              <w:spacing w:after="0" w:line="186" w:lineRule="exact"/>
              <w:rPr>
                <w:sz w:val="20"/>
                <w:szCs w:val="20"/>
                <w:color w:val="auto"/>
              </w:rPr>
            </w:pPr>
            <w:r>
              <w:rPr>
                <w:rFonts w:ascii="Arial" w:cs="Arial" w:eastAsia="Arial" w:hAnsi="Arial"/>
                <w:sz w:val="18"/>
                <w:szCs w:val="18"/>
                <w:b w:val="1"/>
                <w:bCs w:val="1"/>
                <w:color w:val="FFFFFF"/>
              </w:rPr>
              <w:t>embers</w:t>
            </w:r>
          </w:p>
        </w:tc>
        <w:tc>
          <w:tcPr>
            <w:tcW w:w="7220" w:type="dxa"/>
            <w:vAlign w:val="bottom"/>
            <w:tcBorders>
              <w:top w:val="single" w:sz="8" w:color="CC092F"/>
            </w:tcBorders>
            <w:shd w:val="clear" w:color="auto" w:fill="B8B8B8"/>
          </w:tcPr>
          <w:p>
            <w:pPr>
              <w:ind w:left="340"/>
              <w:spacing w:after="0" w:line="186" w:lineRule="exact"/>
              <w:rPr>
                <w:sz w:val="20"/>
                <w:szCs w:val="20"/>
                <w:color w:val="auto"/>
              </w:rPr>
            </w:pPr>
            <w:r>
              <w:rPr>
                <w:rFonts w:ascii="Arial" w:cs="Arial" w:eastAsia="Arial" w:hAnsi="Arial"/>
                <w:sz w:val="18"/>
                <w:szCs w:val="18"/>
                <w:b w:val="1"/>
                <w:bCs w:val="1"/>
                <w:color w:val="FFFFFF"/>
              </w:rPr>
              <w:t>Primary Responsibilities</w:t>
            </w:r>
          </w:p>
        </w:tc>
        <w:tc>
          <w:tcPr>
            <w:tcW w:w="1460" w:type="dxa"/>
            <w:vAlign w:val="bottom"/>
            <w:tcBorders>
              <w:top w:val="single" w:sz="8" w:color="CC092F"/>
            </w:tcBorders>
            <w:gridSpan w:val="2"/>
            <w:shd w:val="clear" w:color="auto" w:fill="B8B8B8"/>
          </w:tcPr>
          <w:p>
            <w:pPr>
              <w:jc w:val="right"/>
              <w:ind w:right="332"/>
              <w:spacing w:after="0" w:line="186" w:lineRule="exact"/>
              <w:rPr>
                <w:sz w:val="20"/>
                <w:szCs w:val="20"/>
                <w:color w:val="auto"/>
              </w:rPr>
            </w:pPr>
            <w:r>
              <w:rPr>
                <w:rFonts w:ascii="Arial" w:cs="Arial" w:eastAsia="Arial" w:hAnsi="Arial"/>
                <w:sz w:val="18"/>
                <w:szCs w:val="18"/>
                <w:b w:val="1"/>
                <w:bCs w:val="1"/>
                <w:color w:val="FFFFFF"/>
              </w:rPr>
              <w:t>Meetings in</w:t>
            </w: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2240" w:type="dxa"/>
            <w:vAlign w:val="bottom"/>
            <w:shd w:val="clear" w:color="auto" w:fill="B8B8B8"/>
          </w:tcPr>
          <w:p>
            <w:pPr>
              <w:spacing w:after="0"/>
              <w:rPr>
                <w:sz w:val="14"/>
                <w:szCs w:val="14"/>
                <w:color w:val="auto"/>
              </w:rPr>
            </w:pPr>
          </w:p>
        </w:tc>
        <w:tc>
          <w:tcPr>
            <w:tcW w:w="7220" w:type="dxa"/>
            <w:vAlign w:val="bottom"/>
            <w:shd w:val="clear" w:color="auto" w:fill="B8B8B8"/>
          </w:tcPr>
          <w:p>
            <w:pPr>
              <w:spacing w:after="0"/>
              <w:rPr>
                <w:sz w:val="14"/>
                <w:szCs w:val="14"/>
                <w:color w:val="auto"/>
              </w:rPr>
            </w:pPr>
          </w:p>
        </w:tc>
        <w:tc>
          <w:tcPr>
            <w:tcW w:w="360" w:type="dxa"/>
            <w:vAlign w:val="bottom"/>
            <w:shd w:val="clear" w:color="auto" w:fill="B8B8B8"/>
          </w:tcPr>
          <w:p>
            <w:pPr>
              <w:spacing w:after="0"/>
              <w:rPr>
                <w:sz w:val="14"/>
                <w:szCs w:val="14"/>
                <w:color w:val="auto"/>
              </w:rPr>
            </w:pPr>
          </w:p>
        </w:tc>
        <w:tc>
          <w:tcPr>
            <w:tcW w:w="1100" w:type="dxa"/>
            <w:vAlign w:val="bottom"/>
            <w:shd w:val="clear" w:color="auto" w:fill="B8B8B8"/>
          </w:tcPr>
          <w:p>
            <w:pPr>
              <w:ind w:left="40"/>
              <w:spacing w:after="0" w:line="172" w:lineRule="exact"/>
              <w:rPr>
                <w:sz w:val="20"/>
                <w:szCs w:val="20"/>
                <w:color w:val="auto"/>
              </w:rPr>
            </w:pPr>
            <w:r>
              <w:rPr>
                <w:rFonts w:ascii="Arial" w:cs="Arial" w:eastAsia="Arial" w:hAnsi="Arial"/>
                <w:sz w:val="18"/>
                <w:szCs w:val="18"/>
                <w:b w:val="1"/>
                <w:bCs w:val="1"/>
                <w:color w:val="FFFFFF"/>
              </w:rPr>
              <w:t>Fiscal Year</w:t>
            </w:r>
          </w:p>
        </w:tc>
        <w:tc>
          <w:tcPr>
            <w:tcW w:w="0" w:type="dxa"/>
            <w:vAlign w:val="bottom"/>
          </w:tcPr>
          <w:p>
            <w:pPr>
              <w:spacing w:after="0"/>
              <w:rPr>
                <w:sz w:val="1"/>
                <w:szCs w:val="1"/>
                <w:color w:val="auto"/>
              </w:rPr>
            </w:pPr>
          </w:p>
        </w:tc>
      </w:tr>
      <w:tr>
        <w:trPr>
          <w:trHeight w:val="258"/>
        </w:trPr>
        <w:tc>
          <w:tcPr>
            <w:tcW w:w="100" w:type="dxa"/>
            <w:vAlign w:val="bottom"/>
          </w:tcPr>
          <w:p>
            <w:pPr>
              <w:spacing w:after="0"/>
              <w:rPr>
                <w:sz w:val="22"/>
                <w:szCs w:val="22"/>
                <w:color w:val="auto"/>
              </w:rPr>
            </w:pPr>
          </w:p>
        </w:tc>
        <w:tc>
          <w:tcPr>
            <w:tcW w:w="2240" w:type="dxa"/>
            <w:vAlign w:val="bottom"/>
            <w:tcBorders>
              <w:bottom w:val="single" w:sz="8" w:color="B8B8B8"/>
            </w:tcBorders>
            <w:shd w:val="clear" w:color="auto" w:fill="B8B8B8"/>
          </w:tcPr>
          <w:p>
            <w:pPr>
              <w:spacing w:after="0"/>
              <w:rPr>
                <w:sz w:val="22"/>
                <w:szCs w:val="22"/>
                <w:color w:val="auto"/>
              </w:rPr>
            </w:pPr>
          </w:p>
        </w:tc>
        <w:tc>
          <w:tcPr>
            <w:tcW w:w="7220" w:type="dxa"/>
            <w:vAlign w:val="bottom"/>
            <w:tcBorders>
              <w:bottom w:val="single" w:sz="8" w:color="B8B8B8"/>
            </w:tcBorders>
            <w:shd w:val="clear" w:color="auto" w:fill="B8B8B8"/>
          </w:tcPr>
          <w:p>
            <w:pPr>
              <w:spacing w:after="0"/>
              <w:rPr>
                <w:sz w:val="22"/>
                <w:szCs w:val="22"/>
                <w:color w:val="auto"/>
              </w:rPr>
            </w:pPr>
          </w:p>
        </w:tc>
        <w:tc>
          <w:tcPr>
            <w:tcW w:w="360" w:type="dxa"/>
            <w:vAlign w:val="bottom"/>
            <w:tcBorders>
              <w:bottom w:val="single" w:sz="8" w:color="B8B8B8"/>
            </w:tcBorders>
            <w:shd w:val="clear" w:color="auto" w:fill="B8B8B8"/>
          </w:tcPr>
          <w:p>
            <w:pPr>
              <w:spacing w:after="0"/>
              <w:rPr>
                <w:sz w:val="22"/>
                <w:szCs w:val="22"/>
                <w:color w:val="auto"/>
              </w:rPr>
            </w:pPr>
          </w:p>
        </w:tc>
        <w:tc>
          <w:tcPr>
            <w:tcW w:w="1100" w:type="dxa"/>
            <w:vAlign w:val="bottom"/>
            <w:tcBorders>
              <w:bottom w:val="single" w:sz="8" w:color="B8B8B8"/>
            </w:tcBorders>
            <w:shd w:val="clear" w:color="auto" w:fill="B8B8B8"/>
          </w:tcPr>
          <w:p>
            <w:pPr>
              <w:ind w:left="40"/>
              <w:spacing w:after="0"/>
              <w:rPr>
                <w:sz w:val="20"/>
                <w:szCs w:val="20"/>
                <w:color w:val="auto"/>
              </w:rPr>
            </w:pPr>
            <w:r>
              <w:rPr>
                <w:rFonts w:ascii="Arial" w:cs="Arial" w:eastAsia="Arial" w:hAnsi="Arial"/>
                <w:sz w:val="18"/>
                <w:szCs w:val="18"/>
                <w:b w:val="1"/>
                <w:bCs w:val="1"/>
                <w:color w:val="FFFFFF"/>
              </w:rPr>
              <w:t>2021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40" w:type="dxa"/>
            <w:vAlign w:val="bottom"/>
            <w:shd w:val="clear" w:color="auto" w:fill="CC092F"/>
          </w:tcPr>
          <w:p>
            <w:pPr>
              <w:spacing w:after="0" w:line="20" w:lineRule="exact"/>
              <w:rPr>
                <w:sz w:val="1"/>
                <w:szCs w:val="1"/>
                <w:color w:val="auto"/>
              </w:rPr>
            </w:pPr>
          </w:p>
        </w:tc>
        <w:tc>
          <w:tcPr>
            <w:tcW w:w="7580" w:type="dxa"/>
            <w:vAlign w:val="bottom"/>
            <w:gridSpan w:val="2"/>
            <w:shd w:val="clear" w:color="auto" w:fill="CC092F"/>
          </w:tcPr>
          <w:p>
            <w:pPr>
              <w:spacing w:after="0" w:line="20" w:lineRule="exact"/>
              <w:rPr>
                <w:sz w:val="1"/>
                <w:szCs w:val="1"/>
                <w:color w:val="auto"/>
              </w:rPr>
            </w:pPr>
          </w:p>
        </w:tc>
        <w:tc>
          <w:tcPr>
            <w:tcW w:w="1100" w:type="dxa"/>
            <w:vAlign w:val="bottom"/>
            <w:shd w:val="clear" w:color="auto" w:fill="CC092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gridSpan w:val="2"/>
            <w:vMerge w:val="restart"/>
          </w:tcPr>
          <w:p>
            <w:pPr>
              <w:ind w:left="20"/>
              <w:spacing w:after="0"/>
              <w:rPr>
                <w:sz w:val="20"/>
                <w:szCs w:val="20"/>
                <w:color w:val="auto"/>
              </w:rPr>
            </w:pPr>
            <w:r>
              <w:rPr>
                <w:rFonts w:ascii="Arial" w:cs="Arial" w:eastAsia="Arial" w:hAnsi="Arial"/>
                <w:sz w:val="18"/>
                <w:szCs w:val="18"/>
                <w:color w:val="242424"/>
              </w:rPr>
              <w:t>dy W. Hartenstein (Chair)</w:t>
            </w:r>
          </w:p>
        </w:tc>
        <w:tc>
          <w:tcPr>
            <w:tcW w:w="7580" w:type="dxa"/>
            <w:vAlign w:val="bottom"/>
            <w:gridSpan w:val="2"/>
          </w:tcPr>
          <w:p>
            <w:pPr>
              <w:ind w:left="660"/>
              <w:spacing w:after="0"/>
              <w:rPr>
                <w:sz w:val="20"/>
                <w:szCs w:val="20"/>
                <w:color w:val="auto"/>
              </w:rPr>
            </w:pPr>
            <w:r>
              <w:rPr>
                <w:rFonts w:ascii="Arial" w:cs="Arial" w:eastAsia="Arial" w:hAnsi="Arial"/>
                <w:sz w:val="18"/>
                <w:szCs w:val="18"/>
                <w:color w:val="242424"/>
                <w:w w:val="99"/>
              </w:rPr>
              <w:t>•   Take a leadership role in shaping our corporate governance policies and procedures</w:t>
            </w:r>
          </w:p>
        </w:tc>
        <w:tc>
          <w:tcPr>
            <w:tcW w:w="1100" w:type="dxa"/>
            <w:vAlign w:val="bottom"/>
          </w:tcPr>
          <w:p>
            <w:pPr>
              <w:jc w:val="right"/>
              <w:ind w:right="552"/>
              <w:spacing w:after="0"/>
              <w:rPr>
                <w:sz w:val="20"/>
                <w:szCs w:val="20"/>
                <w:color w:val="auto"/>
              </w:rPr>
            </w:pPr>
            <w:r>
              <w:rPr>
                <w:rFonts w:ascii="Arial" w:cs="Arial" w:eastAsia="Arial" w:hAnsi="Arial"/>
                <w:sz w:val="18"/>
                <w:szCs w:val="18"/>
                <w:color w:val="242424"/>
              </w:rPr>
              <w:t>4</w:t>
            </w:r>
          </w:p>
        </w:tc>
        <w:tc>
          <w:tcPr>
            <w:tcW w:w="0" w:type="dxa"/>
            <w:vAlign w:val="bottom"/>
          </w:tcPr>
          <w:p>
            <w:pPr>
              <w:spacing w:after="0"/>
              <w:rPr>
                <w:sz w:val="1"/>
                <w:szCs w:val="1"/>
                <w:color w:val="auto"/>
              </w:rPr>
            </w:pPr>
          </w:p>
        </w:tc>
      </w:tr>
      <w:tr>
        <w:trPr>
          <w:trHeight w:val="53"/>
        </w:trPr>
        <w:tc>
          <w:tcPr>
            <w:tcW w:w="2340" w:type="dxa"/>
            <w:vAlign w:val="bottom"/>
            <w:gridSpan w:val="2"/>
            <w:vMerge w:val="continue"/>
          </w:tcPr>
          <w:p>
            <w:pPr>
              <w:spacing w:after="0"/>
              <w:rPr>
                <w:sz w:val="4"/>
                <w:szCs w:val="4"/>
                <w:color w:val="auto"/>
              </w:rPr>
            </w:pPr>
          </w:p>
        </w:tc>
        <w:tc>
          <w:tcPr>
            <w:tcW w:w="7220" w:type="dxa"/>
            <w:vAlign w:val="bottom"/>
            <w:vMerge w:val="restart"/>
          </w:tcPr>
          <w:p>
            <w:pPr>
              <w:ind w:left="980"/>
              <w:spacing w:after="0"/>
              <w:rPr>
                <w:sz w:val="20"/>
                <w:szCs w:val="20"/>
                <w:color w:val="auto"/>
              </w:rPr>
            </w:pPr>
            <w:r>
              <w:rPr>
                <w:rFonts w:ascii="Arial" w:cs="Arial" w:eastAsia="Arial" w:hAnsi="Arial"/>
                <w:sz w:val="18"/>
                <w:szCs w:val="18"/>
                <w:color w:val="242424"/>
              </w:rPr>
              <w:t>and develop recommendations for our Board</w:t>
            </w: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340" w:type="dxa"/>
            <w:vAlign w:val="bottom"/>
            <w:gridSpan w:val="2"/>
            <w:vMerge w:val="restart"/>
          </w:tcPr>
          <w:p>
            <w:pPr>
              <w:ind w:left="40"/>
              <w:spacing w:after="0"/>
              <w:rPr>
                <w:sz w:val="20"/>
                <w:szCs w:val="20"/>
                <w:color w:val="auto"/>
              </w:rPr>
            </w:pPr>
            <w:r>
              <w:rPr>
                <w:rFonts w:ascii="Arial" w:cs="Arial" w:eastAsia="Arial" w:hAnsi="Arial"/>
                <w:sz w:val="18"/>
                <w:szCs w:val="18"/>
                <w:color w:val="242424"/>
              </w:rPr>
              <w:t>yla J. Delly</w:t>
            </w:r>
          </w:p>
        </w:tc>
        <w:tc>
          <w:tcPr>
            <w:tcW w:w="72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340" w:type="dxa"/>
            <w:vAlign w:val="bottom"/>
            <w:gridSpan w:val="2"/>
            <w:vMerge w:val="continue"/>
          </w:tcPr>
          <w:p>
            <w:pPr>
              <w:spacing w:after="0"/>
              <w:rPr>
                <w:sz w:val="4"/>
                <w:szCs w:val="4"/>
                <w:color w:val="auto"/>
              </w:rPr>
            </w:pPr>
          </w:p>
        </w:tc>
        <w:tc>
          <w:tcPr>
            <w:tcW w:w="7220" w:type="dxa"/>
            <w:vAlign w:val="bottom"/>
            <w:vMerge w:val="restart"/>
          </w:tcPr>
          <w:p>
            <w:pPr>
              <w:ind w:left="660"/>
              <w:spacing w:after="0"/>
              <w:rPr>
                <w:sz w:val="20"/>
                <w:szCs w:val="20"/>
                <w:color w:val="auto"/>
              </w:rPr>
            </w:pPr>
            <w:r>
              <w:rPr>
                <w:rFonts w:ascii="Arial" w:cs="Arial" w:eastAsia="Arial" w:hAnsi="Arial"/>
                <w:sz w:val="18"/>
                <w:szCs w:val="18"/>
                <w:color w:val="242424"/>
              </w:rPr>
              <w:t>•   Identify, evaluate and recommend to our Board qualified candidates to become</w:t>
            </w: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340" w:type="dxa"/>
            <w:vAlign w:val="bottom"/>
            <w:gridSpan w:val="2"/>
          </w:tcPr>
          <w:p>
            <w:pPr>
              <w:ind w:left="40"/>
              <w:spacing w:after="0" w:line="186" w:lineRule="exact"/>
              <w:rPr>
                <w:sz w:val="20"/>
                <w:szCs w:val="20"/>
                <w:color w:val="auto"/>
              </w:rPr>
            </w:pPr>
            <w:r>
              <w:rPr>
                <w:rFonts w:ascii="Arial" w:cs="Arial" w:eastAsia="Arial" w:hAnsi="Arial"/>
                <w:sz w:val="18"/>
                <w:szCs w:val="18"/>
                <w:color w:val="242424"/>
              </w:rPr>
              <w:t>ul J. Fernandez</w:t>
            </w:r>
          </w:p>
        </w:tc>
        <w:tc>
          <w:tcPr>
            <w:tcW w:w="72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40" w:type="dxa"/>
            <w:vAlign w:val="bottom"/>
            <w:gridSpan w:val="2"/>
          </w:tcPr>
          <w:p>
            <w:pPr>
              <w:ind w:left="40"/>
              <w:spacing w:after="0"/>
              <w:rPr>
                <w:sz w:val="20"/>
                <w:szCs w:val="20"/>
                <w:color w:val="auto"/>
              </w:rPr>
            </w:pPr>
            <w:r>
              <w:rPr>
                <w:rFonts w:ascii="Arial" w:cs="Arial" w:eastAsia="Arial" w:hAnsi="Arial"/>
                <w:sz w:val="18"/>
                <w:szCs w:val="18"/>
                <w:color w:val="242424"/>
              </w:rPr>
              <w:t>eck Kian Low</w:t>
            </w:r>
          </w:p>
        </w:tc>
        <w:tc>
          <w:tcPr>
            <w:tcW w:w="7220" w:type="dxa"/>
            <w:vAlign w:val="bottom"/>
          </w:tcPr>
          <w:p>
            <w:pPr>
              <w:ind w:left="980"/>
              <w:spacing w:after="0"/>
              <w:rPr>
                <w:sz w:val="20"/>
                <w:szCs w:val="20"/>
                <w:color w:val="auto"/>
              </w:rPr>
            </w:pPr>
            <w:r>
              <w:rPr>
                <w:rFonts w:ascii="Arial" w:cs="Arial" w:eastAsia="Arial" w:hAnsi="Arial"/>
                <w:sz w:val="18"/>
                <w:szCs w:val="18"/>
                <w:color w:val="242424"/>
              </w:rPr>
              <w:t>directors and to fill vacancies on the Board</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320" w:hanging="321"/>
        <w:spacing w:after="0"/>
        <w:tabs>
          <w:tab w:leader="none" w:pos="3320" w:val="left"/>
        </w:tabs>
        <w:numPr>
          <w:ilvl w:val="0"/>
          <w:numId w:val="21"/>
        </w:numPr>
        <w:rPr>
          <w:rFonts w:ascii="Arial" w:cs="Arial" w:eastAsia="Arial" w:hAnsi="Arial"/>
          <w:sz w:val="18"/>
          <w:szCs w:val="18"/>
          <w:color w:val="242424"/>
        </w:rPr>
      </w:pPr>
      <w:r>
        <w:rPr>
          <w:rFonts w:ascii="Arial" w:cs="Arial" w:eastAsia="Arial" w:hAnsi="Arial"/>
          <w:sz w:val="18"/>
          <w:szCs w:val="18"/>
          <w:color w:val="242424"/>
        </w:rPr>
        <w:t>Assess director independence</w:t>
      </w:r>
    </w:p>
    <w:p>
      <w:pPr>
        <w:spacing w:after="0" w:line="44" w:lineRule="exact"/>
        <w:rPr>
          <w:rFonts w:ascii="Arial" w:cs="Arial" w:eastAsia="Arial" w:hAnsi="Arial"/>
          <w:sz w:val="18"/>
          <w:szCs w:val="18"/>
          <w:color w:val="242424"/>
        </w:rPr>
      </w:pPr>
    </w:p>
    <w:p>
      <w:pPr>
        <w:ind w:left="3320" w:hanging="321"/>
        <w:spacing w:after="0"/>
        <w:tabs>
          <w:tab w:leader="none" w:pos="3320" w:val="left"/>
        </w:tabs>
        <w:numPr>
          <w:ilvl w:val="0"/>
          <w:numId w:val="21"/>
        </w:numPr>
        <w:rPr>
          <w:rFonts w:ascii="Arial" w:cs="Arial" w:eastAsia="Arial" w:hAnsi="Arial"/>
          <w:sz w:val="18"/>
          <w:szCs w:val="18"/>
          <w:color w:val="242424"/>
        </w:rPr>
      </w:pPr>
      <w:r>
        <w:rPr>
          <w:rFonts w:ascii="Arial" w:cs="Arial" w:eastAsia="Arial" w:hAnsi="Arial"/>
          <w:sz w:val="18"/>
          <w:szCs w:val="18"/>
          <w:color w:val="242424"/>
        </w:rPr>
        <w:t>Oversee the annual evaluation of our Board and its committees</w:t>
      </w:r>
    </w:p>
    <w:p>
      <w:pPr>
        <w:spacing w:after="0" w:line="31" w:lineRule="exact"/>
        <w:rPr>
          <w:rFonts w:ascii="Arial" w:cs="Arial" w:eastAsia="Arial" w:hAnsi="Arial"/>
          <w:sz w:val="18"/>
          <w:szCs w:val="18"/>
          <w:color w:val="242424"/>
        </w:rPr>
      </w:pPr>
    </w:p>
    <w:p>
      <w:pPr>
        <w:ind w:left="3320" w:right="1440" w:hanging="321"/>
        <w:spacing w:after="0" w:line="251" w:lineRule="auto"/>
        <w:tabs>
          <w:tab w:leader="none" w:pos="3315" w:val="left"/>
        </w:tabs>
        <w:numPr>
          <w:ilvl w:val="0"/>
          <w:numId w:val="21"/>
        </w:numPr>
        <w:rPr>
          <w:rFonts w:ascii="Arial" w:cs="Arial" w:eastAsia="Arial" w:hAnsi="Arial"/>
          <w:sz w:val="18"/>
          <w:szCs w:val="18"/>
          <w:color w:val="242424"/>
        </w:rPr>
      </w:pPr>
      <w:r>
        <w:rPr>
          <w:rFonts w:ascii="Arial" w:cs="Arial" w:eastAsia="Arial" w:hAnsi="Arial"/>
          <w:sz w:val="18"/>
          <w:szCs w:val="18"/>
          <w:color w:val="242424"/>
        </w:rPr>
        <w:t>Consider stockholder proposals submitted for consideration at the annual meeting of stockholders</w:t>
      </w:r>
    </w:p>
    <w:p>
      <w:pPr>
        <w:spacing w:after="0" w:line="30" w:lineRule="exact"/>
        <w:rPr>
          <w:rFonts w:ascii="Arial" w:cs="Arial" w:eastAsia="Arial" w:hAnsi="Arial"/>
          <w:sz w:val="18"/>
          <w:szCs w:val="18"/>
          <w:color w:val="242424"/>
        </w:rPr>
      </w:pPr>
    </w:p>
    <w:p>
      <w:pPr>
        <w:ind w:left="3320" w:right="1940" w:hanging="321"/>
        <w:spacing w:after="0" w:line="280" w:lineRule="auto"/>
        <w:tabs>
          <w:tab w:leader="none" w:pos="3315" w:val="left"/>
        </w:tabs>
        <w:numPr>
          <w:ilvl w:val="0"/>
          <w:numId w:val="21"/>
        </w:numPr>
        <w:rPr>
          <w:rFonts w:ascii="Arial" w:cs="Arial" w:eastAsia="Arial" w:hAnsi="Arial"/>
          <w:sz w:val="17"/>
          <w:szCs w:val="17"/>
          <w:color w:val="242424"/>
        </w:rPr>
      </w:pPr>
      <w:r>
        <w:rPr>
          <w:rFonts w:ascii="Arial" w:cs="Arial" w:eastAsia="Arial" w:hAnsi="Arial"/>
          <w:sz w:val="17"/>
          <w:szCs w:val="17"/>
          <w:color w:val="242424"/>
        </w:rPr>
        <w:t>Periodically assess director continuing education with respect to the business, financial statements, corporate governance and other appropriate subjects</w:t>
      </w:r>
    </w:p>
    <w:p>
      <w:pPr>
        <w:spacing w:after="0" w:line="7" w:lineRule="exact"/>
        <w:rPr>
          <w:rFonts w:ascii="Arial" w:cs="Arial" w:eastAsia="Arial" w:hAnsi="Arial"/>
          <w:sz w:val="17"/>
          <w:szCs w:val="17"/>
          <w:color w:val="242424"/>
        </w:rPr>
      </w:pPr>
    </w:p>
    <w:p>
      <w:pPr>
        <w:ind w:left="3320" w:right="2260" w:hanging="321"/>
        <w:spacing w:after="0" w:line="251" w:lineRule="auto"/>
        <w:tabs>
          <w:tab w:leader="none" w:pos="3315" w:val="left"/>
        </w:tabs>
        <w:numPr>
          <w:ilvl w:val="0"/>
          <w:numId w:val="21"/>
        </w:numPr>
        <w:rPr>
          <w:rFonts w:ascii="Arial" w:cs="Arial" w:eastAsia="Arial" w:hAnsi="Arial"/>
          <w:sz w:val="18"/>
          <w:szCs w:val="18"/>
          <w:color w:val="242424"/>
        </w:rPr>
      </w:pPr>
      <w:r>
        <w:rPr>
          <w:rFonts w:ascii="Arial" w:cs="Arial" w:eastAsia="Arial" w:hAnsi="Arial"/>
          <w:sz w:val="18"/>
          <w:szCs w:val="18"/>
          <w:color w:val="242424"/>
        </w:rPr>
        <w:t>Periodically review and assess the Corporate Governance Guidelines and recommend changes to our Board</w:t>
      </w:r>
    </w:p>
    <w:p>
      <w:pPr>
        <w:spacing w:after="0" w:line="17" w:lineRule="exact"/>
        <w:rPr>
          <w:rFonts w:ascii="Arial" w:cs="Arial" w:eastAsia="Arial" w:hAnsi="Arial"/>
          <w:sz w:val="18"/>
          <w:szCs w:val="18"/>
          <w:color w:val="242424"/>
        </w:rPr>
      </w:pPr>
    </w:p>
    <w:p>
      <w:pPr>
        <w:ind w:left="3320" w:right="1540" w:hanging="321"/>
        <w:spacing w:after="0" w:line="270" w:lineRule="auto"/>
        <w:tabs>
          <w:tab w:leader="none" w:pos="3315" w:val="left"/>
        </w:tabs>
        <w:numPr>
          <w:ilvl w:val="0"/>
          <w:numId w:val="21"/>
        </w:numPr>
        <w:rPr>
          <w:rFonts w:ascii="Arial" w:cs="Arial" w:eastAsia="Arial" w:hAnsi="Arial"/>
          <w:sz w:val="17"/>
          <w:szCs w:val="17"/>
          <w:color w:val="242424"/>
        </w:rPr>
      </w:pPr>
      <w:r>
        <w:rPr>
          <w:rFonts w:ascii="Arial" w:cs="Arial" w:eastAsia="Arial" w:hAnsi="Arial"/>
          <w:sz w:val="17"/>
          <w:szCs w:val="17"/>
          <w:color w:val="242424"/>
        </w:rPr>
        <w:t>Oversee Broadcom’s ESG corporate responsibility and sustainability program and initiatives, including environment, climate, diversity and inclusion, human rights and governance issues, and report to the Board on such program, initiatives and issues</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9"/>
          <w:szCs w:val="19"/>
          <w:b w:val="1"/>
          <w:bCs w:val="1"/>
          <w:i w:val="1"/>
          <w:iCs w:val="1"/>
          <w:color w:val="CC092F"/>
        </w:rPr>
        <w:t>Executive Committee</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color w:val="242424"/>
        </w:rPr>
        <w:t>The Executive Committee is comprised of our CEO, the Chairman of the Board and such other directors as our Board appoints.</w:t>
      </w:r>
    </w:p>
    <w:p>
      <w:pPr>
        <w:spacing w:after="0" w:line="105"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1900" w:type="dxa"/>
            <w:vAlign w:val="bottom"/>
            <w:tcBorders>
              <w:top w:val="single" w:sz="8" w:color="CC092F"/>
            </w:tcBorders>
            <w:shd w:val="clear" w:color="auto" w:fill="B8B8B8"/>
          </w:tcPr>
          <w:p>
            <w:pPr>
              <w:ind w:left="20"/>
              <w:spacing w:after="0" w:line="186" w:lineRule="exact"/>
              <w:rPr>
                <w:sz w:val="20"/>
                <w:szCs w:val="20"/>
                <w:color w:val="auto"/>
              </w:rPr>
            </w:pPr>
            <w:r>
              <w:rPr>
                <w:rFonts w:ascii="Arial" w:cs="Arial" w:eastAsia="Arial" w:hAnsi="Arial"/>
                <w:sz w:val="18"/>
                <w:szCs w:val="18"/>
                <w:b w:val="1"/>
                <w:bCs w:val="1"/>
                <w:color w:val="FFFFFF"/>
              </w:rPr>
              <w:t>Members</w:t>
            </w:r>
          </w:p>
        </w:tc>
        <w:tc>
          <w:tcPr>
            <w:tcW w:w="5720" w:type="dxa"/>
            <w:vAlign w:val="bottom"/>
            <w:tcBorders>
              <w:top w:val="single" w:sz="8" w:color="CC092F"/>
            </w:tcBorders>
            <w:shd w:val="clear" w:color="auto" w:fill="B8B8B8"/>
          </w:tcPr>
          <w:p>
            <w:pPr>
              <w:ind w:left="1120"/>
              <w:spacing w:after="0" w:line="186" w:lineRule="exact"/>
              <w:rPr>
                <w:sz w:val="20"/>
                <w:szCs w:val="20"/>
                <w:color w:val="auto"/>
              </w:rPr>
            </w:pPr>
            <w:r>
              <w:rPr>
                <w:rFonts w:ascii="Arial" w:cs="Arial" w:eastAsia="Arial" w:hAnsi="Arial"/>
                <w:sz w:val="18"/>
                <w:szCs w:val="18"/>
                <w:b w:val="1"/>
                <w:bCs w:val="1"/>
                <w:color w:val="FFFFFF"/>
              </w:rPr>
              <w:t>Primary Responsibilities</w:t>
            </w:r>
          </w:p>
        </w:tc>
        <w:tc>
          <w:tcPr>
            <w:tcW w:w="3620" w:type="dxa"/>
            <w:vAlign w:val="bottom"/>
            <w:tcBorders>
              <w:top w:val="single" w:sz="8" w:color="CC092F"/>
            </w:tcBorders>
            <w:shd w:val="clear" w:color="auto" w:fill="B8B8B8"/>
          </w:tcPr>
          <w:p>
            <w:pPr>
              <w:ind w:left="2520"/>
              <w:spacing w:after="0" w:line="186" w:lineRule="exact"/>
              <w:rPr>
                <w:sz w:val="20"/>
                <w:szCs w:val="20"/>
                <w:color w:val="auto"/>
              </w:rPr>
            </w:pPr>
            <w:r>
              <w:rPr>
                <w:rFonts w:ascii="Arial" w:cs="Arial" w:eastAsia="Arial" w:hAnsi="Arial"/>
                <w:sz w:val="18"/>
                <w:szCs w:val="18"/>
                <w:b w:val="1"/>
                <w:bCs w:val="1"/>
                <w:color w:val="FFFFFF"/>
              </w:rPr>
              <w:t>Meetings in</w:t>
            </w:r>
          </w:p>
        </w:tc>
      </w:tr>
      <w:tr>
        <w:trPr>
          <w:trHeight w:val="172"/>
        </w:trPr>
        <w:tc>
          <w:tcPr>
            <w:tcW w:w="1900" w:type="dxa"/>
            <w:vAlign w:val="bottom"/>
            <w:shd w:val="clear" w:color="auto" w:fill="B8B8B8"/>
          </w:tcPr>
          <w:p>
            <w:pPr>
              <w:spacing w:after="0"/>
              <w:rPr>
                <w:sz w:val="14"/>
                <w:szCs w:val="14"/>
                <w:color w:val="auto"/>
              </w:rPr>
            </w:pPr>
          </w:p>
        </w:tc>
        <w:tc>
          <w:tcPr>
            <w:tcW w:w="5720" w:type="dxa"/>
            <w:vAlign w:val="bottom"/>
            <w:shd w:val="clear" w:color="auto" w:fill="B8B8B8"/>
          </w:tcPr>
          <w:p>
            <w:pPr>
              <w:spacing w:after="0"/>
              <w:rPr>
                <w:sz w:val="14"/>
                <w:szCs w:val="14"/>
                <w:color w:val="auto"/>
              </w:rPr>
            </w:pPr>
          </w:p>
        </w:tc>
        <w:tc>
          <w:tcPr>
            <w:tcW w:w="3620" w:type="dxa"/>
            <w:vAlign w:val="bottom"/>
            <w:shd w:val="clear" w:color="auto" w:fill="B8B8B8"/>
          </w:tcPr>
          <w:p>
            <w:pPr>
              <w:ind w:left="2520"/>
              <w:spacing w:after="0" w:line="172" w:lineRule="exact"/>
              <w:rPr>
                <w:sz w:val="20"/>
                <w:szCs w:val="20"/>
                <w:color w:val="auto"/>
              </w:rPr>
            </w:pPr>
            <w:r>
              <w:rPr>
                <w:rFonts w:ascii="Arial" w:cs="Arial" w:eastAsia="Arial" w:hAnsi="Arial"/>
                <w:sz w:val="18"/>
                <w:szCs w:val="18"/>
                <w:b w:val="1"/>
                <w:bCs w:val="1"/>
                <w:color w:val="FFFFFF"/>
              </w:rPr>
              <w:t>Fiscal Year</w:t>
            </w:r>
          </w:p>
        </w:tc>
      </w:tr>
      <w:tr>
        <w:trPr>
          <w:trHeight w:val="258"/>
        </w:trPr>
        <w:tc>
          <w:tcPr>
            <w:tcW w:w="1900" w:type="dxa"/>
            <w:vAlign w:val="bottom"/>
            <w:tcBorders>
              <w:bottom w:val="single" w:sz="8" w:color="B8B8B8"/>
            </w:tcBorders>
            <w:shd w:val="clear" w:color="auto" w:fill="B8B8B8"/>
          </w:tcPr>
          <w:p>
            <w:pPr>
              <w:spacing w:after="0"/>
              <w:rPr>
                <w:sz w:val="22"/>
                <w:szCs w:val="22"/>
                <w:color w:val="auto"/>
              </w:rPr>
            </w:pPr>
          </w:p>
        </w:tc>
        <w:tc>
          <w:tcPr>
            <w:tcW w:w="5720" w:type="dxa"/>
            <w:vAlign w:val="bottom"/>
            <w:tcBorders>
              <w:bottom w:val="single" w:sz="8" w:color="B8B8B8"/>
            </w:tcBorders>
            <w:shd w:val="clear" w:color="auto" w:fill="B8B8B8"/>
          </w:tcPr>
          <w:p>
            <w:pPr>
              <w:spacing w:after="0"/>
              <w:rPr>
                <w:sz w:val="22"/>
                <w:szCs w:val="22"/>
                <w:color w:val="auto"/>
              </w:rPr>
            </w:pPr>
          </w:p>
        </w:tc>
        <w:tc>
          <w:tcPr>
            <w:tcW w:w="3620" w:type="dxa"/>
            <w:vAlign w:val="bottom"/>
            <w:tcBorders>
              <w:bottom w:val="single" w:sz="8" w:color="B8B8B8"/>
            </w:tcBorders>
            <w:shd w:val="clear" w:color="auto" w:fill="B8B8B8"/>
          </w:tcPr>
          <w:p>
            <w:pPr>
              <w:ind w:left="2520"/>
              <w:spacing w:after="0"/>
              <w:rPr>
                <w:sz w:val="20"/>
                <w:szCs w:val="20"/>
                <w:color w:val="auto"/>
              </w:rPr>
            </w:pPr>
            <w:r>
              <w:rPr>
                <w:rFonts w:ascii="Arial" w:cs="Arial" w:eastAsia="Arial" w:hAnsi="Arial"/>
                <w:sz w:val="18"/>
                <w:szCs w:val="18"/>
                <w:b w:val="1"/>
                <w:bCs w:val="1"/>
                <w:color w:val="FFFFFF"/>
              </w:rPr>
              <w:t>2021</w:t>
            </w:r>
          </w:p>
        </w:tc>
      </w:tr>
      <w:tr>
        <w:trPr>
          <w:trHeight w:val="20"/>
        </w:trPr>
        <w:tc>
          <w:tcPr>
            <w:tcW w:w="1900" w:type="dxa"/>
            <w:vAlign w:val="bottom"/>
            <w:shd w:val="clear" w:color="auto" w:fill="CC092F"/>
          </w:tcPr>
          <w:p>
            <w:pPr>
              <w:spacing w:after="0" w:line="20" w:lineRule="exact"/>
              <w:rPr>
                <w:sz w:val="1"/>
                <w:szCs w:val="1"/>
                <w:color w:val="auto"/>
              </w:rPr>
            </w:pPr>
          </w:p>
        </w:tc>
        <w:tc>
          <w:tcPr>
            <w:tcW w:w="5720" w:type="dxa"/>
            <w:vAlign w:val="bottom"/>
            <w:shd w:val="clear" w:color="auto" w:fill="CC092F"/>
          </w:tcPr>
          <w:p>
            <w:pPr>
              <w:spacing w:after="0" w:line="20" w:lineRule="exact"/>
              <w:rPr>
                <w:sz w:val="1"/>
                <w:szCs w:val="1"/>
                <w:color w:val="auto"/>
              </w:rPr>
            </w:pPr>
          </w:p>
        </w:tc>
        <w:tc>
          <w:tcPr>
            <w:tcW w:w="3620" w:type="dxa"/>
            <w:vAlign w:val="bottom"/>
            <w:shd w:val="clear" w:color="auto" w:fill="CC092F"/>
          </w:tcPr>
          <w:p>
            <w:pPr>
              <w:spacing w:after="0" w:line="20" w:lineRule="exact"/>
              <w:rPr>
                <w:sz w:val="1"/>
                <w:szCs w:val="1"/>
                <w:color w:val="auto"/>
              </w:rPr>
            </w:pPr>
          </w:p>
        </w:tc>
      </w:tr>
    </w:tbl>
    <w:p>
      <w:pPr>
        <w:spacing w:after="0" w:line="65" w:lineRule="exact"/>
        <w:rPr>
          <w:sz w:val="20"/>
          <w:szCs w:val="20"/>
          <w:color w:val="auto"/>
        </w:rPr>
      </w:pPr>
    </w:p>
    <w:p>
      <w:pPr>
        <w:sectPr>
          <w:pgSz w:w="11900" w:h="16838" w:orient="portrait"/>
          <w:cols w:equalWidth="0" w:num="1">
            <w:col w:w="11340"/>
          </w:cols>
          <w:pgMar w:left="220" w:top="340" w:right="339" w:bottom="1440" w:gutter="0" w:footer="0" w:header="0"/>
        </w:sectPr>
      </w:pPr>
    </w:p>
    <w:p>
      <w:pPr>
        <w:spacing w:after="0" w:line="67" w:lineRule="exact"/>
        <w:rPr>
          <w:sz w:val="20"/>
          <w:szCs w:val="20"/>
          <w:color w:val="auto"/>
        </w:rPr>
      </w:pPr>
    </w:p>
    <w:p>
      <w:pPr>
        <w:ind w:left="120"/>
        <w:spacing w:after="0"/>
        <w:rPr>
          <w:sz w:val="20"/>
          <w:szCs w:val="20"/>
          <w:color w:val="auto"/>
        </w:rPr>
      </w:pPr>
      <w:r>
        <w:rPr>
          <w:rFonts w:ascii="Arial" w:cs="Arial" w:eastAsia="Arial" w:hAnsi="Arial"/>
          <w:sz w:val="17"/>
          <w:szCs w:val="17"/>
          <w:color w:val="242424"/>
        </w:rPr>
        <w:t>Henry Samueli, Ph.D. (Chair)</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8"/>
          <w:szCs w:val="18"/>
          <w:color w:val="242424"/>
        </w:rPr>
        <w:t>Eddy W. Hartenstein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242424"/>
        </w:rPr>
        <w:t>Justine F. Page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242424"/>
        </w:rPr>
        <w:t>Hock E. Tan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242424"/>
        </w:rPr>
        <w:t>Harry L. You</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5860" w:type="dxa"/>
            <w:vAlign w:val="bottom"/>
          </w:tcPr>
          <w:p>
            <w:pPr>
              <w:spacing w:after="0"/>
              <w:rPr>
                <w:sz w:val="20"/>
                <w:szCs w:val="20"/>
                <w:color w:val="auto"/>
              </w:rPr>
            </w:pPr>
            <w:r>
              <w:rPr>
                <w:rFonts w:ascii="Arial" w:cs="Arial" w:eastAsia="Arial" w:hAnsi="Arial"/>
                <w:sz w:val="18"/>
                <w:szCs w:val="18"/>
                <w:color w:val="242424"/>
              </w:rPr>
              <w:t>Review and approve, subject to specified limitations:</w:t>
            </w:r>
          </w:p>
        </w:tc>
        <w:tc>
          <w:tcPr>
            <w:tcW w:w="1860" w:type="dxa"/>
            <w:vAlign w:val="bottom"/>
          </w:tcPr>
          <w:p>
            <w:pPr>
              <w:jc w:val="right"/>
              <w:spacing w:after="0"/>
              <w:rPr>
                <w:sz w:val="20"/>
                <w:szCs w:val="20"/>
                <w:color w:val="auto"/>
              </w:rPr>
            </w:pPr>
            <w:r>
              <w:rPr>
                <w:rFonts w:ascii="Arial" w:cs="Arial" w:eastAsia="Arial" w:hAnsi="Arial"/>
                <w:sz w:val="18"/>
                <w:szCs w:val="18"/>
                <w:color w:val="242424"/>
              </w:rPr>
              <w:t>1</w:t>
            </w:r>
          </w:p>
        </w:tc>
      </w:tr>
    </w:tbl>
    <w:p>
      <w:pPr>
        <w:spacing w:after="0" w:line="40" w:lineRule="exact"/>
        <w:rPr>
          <w:sz w:val="20"/>
          <w:szCs w:val="20"/>
          <w:color w:val="auto"/>
        </w:rPr>
      </w:pPr>
    </w:p>
    <w:p>
      <w:pPr>
        <w:ind w:left="480" w:hanging="323"/>
        <w:spacing w:after="0"/>
        <w:tabs>
          <w:tab w:leader="none" w:pos="480" w:val="left"/>
        </w:tabs>
        <w:numPr>
          <w:ilvl w:val="0"/>
          <w:numId w:val="22"/>
        </w:numPr>
        <w:rPr>
          <w:rFonts w:ascii="Arial" w:cs="Arial" w:eastAsia="Arial" w:hAnsi="Arial"/>
          <w:sz w:val="18"/>
          <w:szCs w:val="18"/>
          <w:color w:val="242424"/>
        </w:rPr>
      </w:pPr>
      <w:r>
        <w:rPr>
          <w:rFonts w:ascii="Arial" w:cs="Arial" w:eastAsia="Arial" w:hAnsi="Arial"/>
          <w:sz w:val="18"/>
          <w:szCs w:val="18"/>
          <w:color w:val="242424"/>
        </w:rPr>
        <w:t>investments, acquisitions, dispositions and capital expenditures</w:t>
      </w:r>
    </w:p>
    <w:p>
      <w:pPr>
        <w:spacing w:after="0" w:line="31" w:lineRule="exact"/>
        <w:rPr>
          <w:rFonts w:ascii="Arial" w:cs="Arial" w:eastAsia="Arial" w:hAnsi="Arial"/>
          <w:sz w:val="18"/>
          <w:szCs w:val="18"/>
          <w:color w:val="242424"/>
        </w:rPr>
      </w:pPr>
    </w:p>
    <w:p>
      <w:pPr>
        <w:ind w:left="480" w:right="1560" w:hanging="323"/>
        <w:spacing w:after="0" w:line="248" w:lineRule="auto"/>
        <w:tabs>
          <w:tab w:leader="none" w:pos="476" w:val="left"/>
        </w:tabs>
        <w:numPr>
          <w:ilvl w:val="0"/>
          <w:numId w:val="22"/>
        </w:numPr>
        <w:rPr>
          <w:rFonts w:ascii="Arial" w:cs="Arial" w:eastAsia="Arial" w:hAnsi="Arial"/>
          <w:sz w:val="18"/>
          <w:szCs w:val="18"/>
          <w:color w:val="242424"/>
        </w:rPr>
      </w:pPr>
      <w:r>
        <w:rPr>
          <w:rFonts w:ascii="Arial" w:cs="Arial" w:eastAsia="Arial" w:hAnsi="Arial"/>
          <w:sz w:val="18"/>
          <w:szCs w:val="18"/>
          <w:color w:val="242424"/>
        </w:rPr>
        <w:t>new or incremental debt financings or borrowings, or amendments thereto, or refinancings thereof, including convertible debt, bond financing and commercial paper</w:t>
      </w:r>
    </w:p>
    <w:p>
      <w:pPr>
        <w:spacing w:after="0" w:line="34" w:lineRule="exact"/>
        <w:rPr>
          <w:rFonts w:ascii="Arial" w:cs="Arial" w:eastAsia="Arial" w:hAnsi="Arial"/>
          <w:sz w:val="18"/>
          <w:szCs w:val="18"/>
          <w:color w:val="242424"/>
        </w:rPr>
      </w:pPr>
    </w:p>
    <w:p>
      <w:pPr>
        <w:ind w:left="480" w:hanging="323"/>
        <w:spacing w:after="0"/>
        <w:tabs>
          <w:tab w:leader="none" w:pos="480" w:val="left"/>
        </w:tabs>
        <w:numPr>
          <w:ilvl w:val="0"/>
          <w:numId w:val="22"/>
        </w:numPr>
        <w:rPr>
          <w:rFonts w:ascii="Arial" w:cs="Arial" w:eastAsia="Arial" w:hAnsi="Arial"/>
          <w:sz w:val="18"/>
          <w:szCs w:val="18"/>
          <w:color w:val="242424"/>
        </w:rPr>
      </w:pPr>
      <w:r>
        <w:rPr>
          <w:rFonts w:ascii="Arial" w:cs="Arial" w:eastAsia="Arial" w:hAnsi="Arial"/>
          <w:sz w:val="18"/>
          <w:szCs w:val="18"/>
          <w:color w:val="242424"/>
        </w:rPr>
        <w:t>treasury, cash management and other banking matters</w:t>
      </w:r>
    </w:p>
    <w:p>
      <w:pPr>
        <w:spacing w:after="0" w:line="45" w:lineRule="exact"/>
        <w:rPr>
          <w:sz w:val="20"/>
          <w:szCs w:val="20"/>
          <w:color w:val="auto"/>
        </w:rPr>
      </w:pPr>
    </w:p>
    <w:p>
      <w:pPr>
        <w:ind w:right="1780"/>
        <w:spacing w:after="0" w:line="251" w:lineRule="auto"/>
        <w:rPr>
          <w:sz w:val="20"/>
          <w:szCs w:val="20"/>
          <w:color w:val="auto"/>
        </w:rPr>
      </w:pPr>
      <w:r>
        <w:rPr>
          <w:rFonts w:ascii="Arial" w:cs="Arial" w:eastAsia="Arial" w:hAnsi="Arial"/>
          <w:sz w:val="18"/>
          <w:szCs w:val="18"/>
          <w:color w:val="242424"/>
        </w:rPr>
        <w:t>Review and provide recommendations to our Board on matters requiring full Board approval, including:</w:t>
      </w:r>
    </w:p>
    <w:p>
      <w:pPr>
        <w:spacing w:after="0" w:line="18" w:lineRule="exact"/>
        <w:rPr>
          <w:sz w:val="20"/>
          <w:szCs w:val="20"/>
          <w:color w:val="auto"/>
        </w:rPr>
      </w:pPr>
    </w:p>
    <w:p>
      <w:pPr>
        <w:ind w:left="480" w:hanging="323"/>
        <w:spacing w:after="0"/>
        <w:tabs>
          <w:tab w:leader="none" w:pos="480" w:val="left"/>
        </w:tabs>
        <w:numPr>
          <w:ilvl w:val="0"/>
          <w:numId w:val="23"/>
        </w:numPr>
        <w:rPr>
          <w:rFonts w:ascii="Arial" w:cs="Arial" w:eastAsia="Arial" w:hAnsi="Arial"/>
          <w:sz w:val="18"/>
          <w:szCs w:val="18"/>
          <w:color w:val="242424"/>
        </w:rPr>
      </w:pPr>
      <w:r>
        <w:rPr>
          <w:rFonts w:ascii="Arial" w:cs="Arial" w:eastAsia="Arial" w:hAnsi="Arial"/>
          <w:sz w:val="18"/>
          <w:szCs w:val="18"/>
          <w:color w:val="242424"/>
        </w:rPr>
        <w:t>business opportunities, strategies and proposals, and other strategic matters</w:t>
      </w:r>
    </w:p>
    <w:p>
      <w:pPr>
        <w:spacing w:after="0" w:line="44" w:lineRule="exact"/>
        <w:rPr>
          <w:rFonts w:ascii="Arial" w:cs="Arial" w:eastAsia="Arial" w:hAnsi="Arial"/>
          <w:sz w:val="18"/>
          <w:szCs w:val="18"/>
          <w:color w:val="242424"/>
        </w:rPr>
      </w:pPr>
    </w:p>
    <w:p>
      <w:pPr>
        <w:ind w:left="480" w:right="1500" w:hanging="323"/>
        <w:spacing w:after="0" w:line="251" w:lineRule="auto"/>
        <w:tabs>
          <w:tab w:leader="none" w:pos="476" w:val="left"/>
        </w:tabs>
        <w:numPr>
          <w:ilvl w:val="0"/>
          <w:numId w:val="23"/>
        </w:numPr>
        <w:rPr>
          <w:rFonts w:ascii="Arial" w:cs="Arial" w:eastAsia="Arial" w:hAnsi="Arial"/>
          <w:sz w:val="18"/>
          <w:szCs w:val="18"/>
          <w:color w:val="242424"/>
        </w:rPr>
      </w:pPr>
      <w:r>
        <w:rPr>
          <w:rFonts w:ascii="Arial" w:cs="Arial" w:eastAsia="Arial" w:hAnsi="Arial"/>
          <w:sz w:val="18"/>
          <w:szCs w:val="18"/>
          <w:color w:val="242424"/>
        </w:rPr>
        <w:t>business plans, annual budgets, targets, operational plans, capital structure and dividend policy</w:t>
      </w:r>
    </w:p>
    <w:p>
      <w:pPr>
        <w:spacing w:after="0" w:line="30" w:lineRule="exact"/>
        <w:rPr>
          <w:rFonts w:ascii="Arial" w:cs="Arial" w:eastAsia="Arial" w:hAnsi="Arial"/>
          <w:sz w:val="18"/>
          <w:szCs w:val="18"/>
          <w:color w:val="242424"/>
        </w:rPr>
      </w:pPr>
    </w:p>
    <w:p>
      <w:pPr>
        <w:ind w:left="480" w:hanging="323"/>
        <w:spacing w:after="0"/>
        <w:tabs>
          <w:tab w:leader="none" w:pos="480" w:val="left"/>
        </w:tabs>
        <w:numPr>
          <w:ilvl w:val="0"/>
          <w:numId w:val="23"/>
        </w:numPr>
        <w:rPr>
          <w:rFonts w:ascii="Arial" w:cs="Arial" w:eastAsia="Arial" w:hAnsi="Arial"/>
          <w:sz w:val="18"/>
          <w:szCs w:val="18"/>
          <w:color w:val="242424"/>
        </w:rPr>
      </w:pPr>
      <w:r>
        <w:rPr>
          <w:rFonts w:ascii="Arial" w:cs="Arial" w:eastAsia="Arial" w:hAnsi="Arial"/>
          <w:sz w:val="18"/>
          <w:szCs w:val="18"/>
          <w:color w:val="242424"/>
        </w:rPr>
        <w:t>proposed transactions that exceed its approval thresholds</w:t>
      </w:r>
    </w:p>
    <w:p>
      <w:pPr>
        <w:spacing w:after="0" w:line="31" w:lineRule="exact"/>
        <w:rPr>
          <w:rFonts w:ascii="Arial" w:cs="Arial" w:eastAsia="Arial" w:hAnsi="Arial"/>
          <w:sz w:val="18"/>
          <w:szCs w:val="18"/>
          <w:color w:val="242424"/>
        </w:rPr>
      </w:pPr>
    </w:p>
    <w:p>
      <w:pPr>
        <w:ind w:left="480" w:hanging="323"/>
        <w:spacing w:after="0"/>
        <w:tabs>
          <w:tab w:leader="none" w:pos="480" w:val="left"/>
        </w:tabs>
        <w:numPr>
          <w:ilvl w:val="0"/>
          <w:numId w:val="23"/>
        </w:numPr>
        <w:rPr>
          <w:rFonts w:ascii="Arial" w:cs="Arial" w:eastAsia="Arial" w:hAnsi="Arial"/>
          <w:sz w:val="18"/>
          <w:szCs w:val="18"/>
          <w:color w:val="242424"/>
        </w:rPr>
      </w:pPr>
      <w:r>
        <w:rPr>
          <w:rFonts w:ascii="Arial" w:cs="Arial" w:eastAsia="Arial" w:hAnsi="Arial"/>
          <w:sz w:val="18"/>
          <w:szCs w:val="18"/>
          <w:color w:val="242424"/>
        </w:rPr>
        <w:t>efficient organization and management structure of Broadcom</w:t>
      </w:r>
    </w:p>
    <w:p>
      <w:pPr>
        <w:spacing w:after="0" w:line="200" w:lineRule="exact"/>
        <w:rPr>
          <w:sz w:val="20"/>
          <w:szCs w:val="20"/>
          <w:color w:val="auto"/>
        </w:rPr>
      </w:pPr>
    </w:p>
    <w:p>
      <w:pPr>
        <w:sectPr>
          <w:pgSz w:w="11900" w:h="16838" w:orient="portrait"/>
          <w:cols w:equalWidth="0" w:num="2">
            <w:col w:w="2420" w:space="700"/>
            <w:col w:w="8220"/>
          </w:cols>
          <w:pgMar w:left="220" w:top="340" w:right="3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ind w:left="100"/>
        <w:spacing w:after="0"/>
        <w:tabs>
          <w:tab w:leader="none" w:pos="12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13</w:t>
      </w:r>
    </w:p>
    <w:p>
      <w:pPr>
        <w:sectPr>
          <w:pgSz w:w="11900" w:h="16838" w:orient="portrait"/>
          <w:cols w:equalWidth="0" w:num="1">
            <w:col w:w="11340"/>
          </w:cols>
          <w:pgMar w:left="220" w:top="340" w:right="33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16"/>
          <w:szCs w:val="16"/>
          <w:color w:val="CC092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Director Compensation</w:t>
      </w:r>
    </w:p>
    <w:p>
      <w:pPr>
        <w:spacing w:after="0" w:line="18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242424"/>
        </w:rPr>
        <w:t>On an annual basis, the Compensation Committee reviews our non-employee director compensation, with input from its independent compensation consultant regarding market practice and the competitiveness of our non-employee director compensation. Our Board approves any changes to our non-employee director compensation, taking into consideration the recommendations of the Compensation Committee and based on its own review. Our non-employee directors receive cash and equity compensation in consideration for their service on our Board, as set forth in more detail below, but do not receive any non-equity incentive compensation or participate in any company pension plan or deferred compensation plan.</w:t>
      </w:r>
    </w:p>
    <w:p>
      <w:pPr>
        <w:spacing w:after="0" w:line="158" w:lineRule="exact"/>
        <w:rPr>
          <w:sz w:val="20"/>
          <w:szCs w:val="20"/>
          <w:color w:val="auto"/>
        </w:rPr>
      </w:pPr>
    </w:p>
    <w:p>
      <w:pPr>
        <w:spacing w:after="0" w:line="247" w:lineRule="auto"/>
        <w:rPr>
          <w:sz w:val="20"/>
          <w:szCs w:val="20"/>
          <w:color w:val="auto"/>
        </w:rPr>
      </w:pPr>
      <w:r>
        <w:rPr>
          <w:rFonts w:ascii="Arial" w:cs="Arial" w:eastAsia="Arial" w:hAnsi="Arial"/>
          <w:sz w:val="18"/>
          <w:szCs w:val="18"/>
          <w:color w:val="242424"/>
        </w:rPr>
        <w:t>Dr. Samueli has declined all compensation, including equity awards, for his service on our Board and as its Chairman. However, we provide Dr. Samueli with access to office space and administrative support in connection with the discharge of his duties as Chairman. The unvested equity awards that we previously granted to Dr. Samueli during his tenure as an employee of Broadcom continue to vest, subject to the terms and conditions of the awards. We also do not compensate Mr. Tan for his service on our Board or any committee of our Board.</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Cash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242424"/>
        </w:rPr>
        <w:t>Our non-employee directors are entitled to receive the following annual cash compensation, payable quarterly: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7160" w:type="dxa"/>
            <w:vAlign w:val="bottom"/>
            <w:tcBorders>
              <w:top w:val="single" w:sz="8" w:color="CC092F"/>
              <w:bottom w:val="single" w:sz="8" w:color="CC092F"/>
            </w:tcBorders>
            <w:shd w:val="clear" w:color="auto" w:fill="B8B8B8"/>
          </w:tcPr>
          <w:p>
            <w:pPr>
              <w:ind w:left="140"/>
              <w:spacing w:after="0"/>
              <w:rPr>
                <w:sz w:val="20"/>
                <w:szCs w:val="20"/>
                <w:color w:val="auto"/>
              </w:rPr>
            </w:pPr>
            <w:r>
              <w:rPr>
                <w:rFonts w:ascii="Arial" w:cs="Arial" w:eastAsia="Arial" w:hAnsi="Arial"/>
                <w:sz w:val="18"/>
                <w:szCs w:val="18"/>
                <w:b w:val="1"/>
                <w:bCs w:val="1"/>
                <w:color w:val="FFFFFF"/>
              </w:rPr>
              <w:t>Pay Component</w:t>
            </w:r>
          </w:p>
        </w:tc>
        <w:tc>
          <w:tcPr>
            <w:tcW w:w="1940" w:type="dxa"/>
            <w:vAlign w:val="bottom"/>
            <w:tcBorders>
              <w:top w:val="single" w:sz="8" w:color="CC092F"/>
              <w:bottom w:val="single" w:sz="8" w:color="CC092F"/>
            </w:tcBorders>
            <w:shd w:val="clear" w:color="auto" w:fill="B8B8B8"/>
          </w:tcPr>
          <w:p>
            <w:pPr>
              <w:spacing w:after="0"/>
              <w:rPr>
                <w:sz w:val="24"/>
                <w:szCs w:val="24"/>
                <w:color w:val="auto"/>
              </w:rPr>
            </w:pPr>
          </w:p>
        </w:tc>
        <w:tc>
          <w:tcPr>
            <w:tcW w:w="1660" w:type="dxa"/>
            <w:vAlign w:val="bottom"/>
            <w:tcBorders>
              <w:top w:val="single" w:sz="8" w:color="CC092F"/>
              <w:bottom w:val="single" w:sz="8" w:color="CC092F"/>
            </w:tcBorders>
            <w:shd w:val="clear" w:color="auto" w:fill="B8B8B8"/>
          </w:tcPr>
          <w:p>
            <w:pPr>
              <w:jc w:val="right"/>
              <w:ind w:right="352"/>
              <w:spacing w:after="0"/>
              <w:rPr>
                <w:sz w:val="20"/>
                <w:szCs w:val="20"/>
                <w:color w:val="auto"/>
              </w:rPr>
            </w:pPr>
            <w:r>
              <w:rPr>
                <w:rFonts w:ascii="Arial" w:cs="Arial" w:eastAsia="Arial" w:hAnsi="Arial"/>
                <w:sz w:val="18"/>
                <w:szCs w:val="18"/>
                <w:b w:val="1"/>
                <w:bCs w:val="1"/>
                <w:color w:val="FFFFFF"/>
              </w:rPr>
              <w:t>Annual Fees</w:t>
            </w:r>
          </w:p>
        </w:tc>
      </w:tr>
      <w:tr>
        <w:trPr>
          <w:trHeight w:val="258"/>
        </w:trPr>
        <w:tc>
          <w:tcPr>
            <w:tcW w:w="7160" w:type="dxa"/>
            <w:vAlign w:val="bottom"/>
          </w:tcPr>
          <w:p>
            <w:pPr>
              <w:ind w:left="60"/>
              <w:spacing w:after="0"/>
              <w:rPr>
                <w:sz w:val="20"/>
                <w:szCs w:val="20"/>
                <w:color w:val="auto"/>
              </w:rPr>
            </w:pPr>
            <w:r>
              <w:rPr>
                <w:rFonts w:ascii="Arial" w:cs="Arial" w:eastAsia="Arial" w:hAnsi="Arial"/>
                <w:sz w:val="18"/>
                <w:szCs w:val="18"/>
                <w:color w:val="242424"/>
              </w:rPr>
              <w:t>Annual Retainer (payable to all non-employee directors)</w:t>
            </w:r>
          </w:p>
        </w:tc>
        <w:tc>
          <w:tcPr>
            <w:tcW w:w="1940" w:type="dxa"/>
            <w:vAlign w:val="bottom"/>
          </w:tcPr>
          <w:p>
            <w:pPr>
              <w:jc w:val="right"/>
              <w:ind w:right="72"/>
              <w:spacing w:after="0"/>
              <w:rPr>
                <w:sz w:val="20"/>
                <w:szCs w:val="20"/>
                <w:color w:val="auto"/>
              </w:rPr>
            </w:pPr>
            <w:r>
              <w:rPr>
                <w:rFonts w:ascii="Arial" w:cs="Arial" w:eastAsia="Arial" w:hAnsi="Arial"/>
                <w:sz w:val="18"/>
                <w:szCs w:val="18"/>
                <w:color w:val="242424"/>
              </w:rPr>
              <w:t>$</w:t>
            </w:r>
          </w:p>
        </w:tc>
        <w:tc>
          <w:tcPr>
            <w:tcW w:w="1660" w:type="dxa"/>
            <w:vAlign w:val="bottom"/>
          </w:tcPr>
          <w:p>
            <w:pPr>
              <w:jc w:val="right"/>
              <w:ind w:right="52"/>
              <w:spacing w:after="0"/>
              <w:rPr>
                <w:sz w:val="20"/>
                <w:szCs w:val="20"/>
                <w:color w:val="auto"/>
              </w:rPr>
            </w:pPr>
            <w:r>
              <w:rPr>
                <w:rFonts w:ascii="Arial" w:cs="Arial" w:eastAsia="Arial" w:hAnsi="Arial"/>
                <w:sz w:val="18"/>
                <w:szCs w:val="18"/>
                <w:color w:val="242424"/>
              </w:rPr>
              <w:t>90,000</w:t>
            </w:r>
          </w:p>
        </w:tc>
      </w:tr>
      <w:tr>
        <w:trPr>
          <w:trHeight w:val="246"/>
        </w:trPr>
        <w:tc>
          <w:tcPr>
            <w:tcW w:w="716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8"/>
                <w:szCs w:val="18"/>
                <w:color w:val="242424"/>
              </w:rPr>
              <w:t>Additional Fees:</w:t>
            </w:r>
          </w:p>
        </w:tc>
        <w:tc>
          <w:tcPr>
            <w:tcW w:w="1940" w:type="dxa"/>
            <w:vAlign w:val="bottom"/>
            <w:tcBorders>
              <w:bottom w:val="single" w:sz="8" w:color="EAEAEA"/>
            </w:tcBorders>
            <w:shd w:val="clear" w:color="auto" w:fill="EAEAEA"/>
          </w:tcPr>
          <w:p>
            <w:pPr>
              <w:spacing w:after="0"/>
              <w:rPr>
                <w:sz w:val="21"/>
                <w:szCs w:val="21"/>
                <w:color w:val="auto"/>
              </w:rPr>
            </w:pPr>
          </w:p>
        </w:tc>
        <w:tc>
          <w:tcPr>
            <w:tcW w:w="1660" w:type="dxa"/>
            <w:vAlign w:val="bottom"/>
            <w:tcBorders>
              <w:bottom w:val="single" w:sz="8" w:color="EAEAEA"/>
            </w:tcBorders>
            <w:shd w:val="clear" w:color="auto" w:fill="EAEAEA"/>
          </w:tcPr>
          <w:p>
            <w:pPr>
              <w:spacing w:after="0"/>
              <w:rPr>
                <w:sz w:val="21"/>
                <w:szCs w:val="21"/>
                <w:color w:val="auto"/>
              </w:rPr>
            </w:pPr>
          </w:p>
        </w:tc>
      </w:tr>
      <w:tr>
        <w:trPr>
          <w:trHeight w:val="264"/>
        </w:trPr>
        <w:tc>
          <w:tcPr>
            <w:tcW w:w="7160" w:type="dxa"/>
            <w:vAlign w:val="bottom"/>
          </w:tcPr>
          <w:p>
            <w:pPr>
              <w:ind w:left="300"/>
              <w:spacing w:after="0"/>
              <w:rPr>
                <w:sz w:val="20"/>
                <w:szCs w:val="20"/>
                <w:color w:val="auto"/>
              </w:rPr>
            </w:pPr>
            <w:r>
              <w:rPr>
                <w:rFonts w:ascii="Arial" w:cs="Arial" w:eastAsia="Arial" w:hAnsi="Arial"/>
                <w:sz w:val="18"/>
                <w:szCs w:val="18"/>
                <w:color w:val="242424"/>
              </w:rPr>
              <w:t>Independent Chairperson of the Board</w:t>
            </w:r>
          </w:p>
        </w:tc>
        <w:tc>
          <w:tcPr>
            <w:tcW w:w="1940" w:type="dxa"/>
            <w:vAlign w:val="bottom"/>
          </w:tcPr>
          <w:p>
            <w:pPr>
              <w:jc w:val="right"/>
              <w:ind w:right="72"/>
              <w:spacing w:after="0"/>
              <w:rPr>
                <w:sz w:val="20"/>
                <w:szCs w:val="20"/>
                <w:color w:val="auto"/>
              </w:rPr>
            </w:pPr>
            <w:r>
              <w:rPr>
                <w:rFonts w:ascii="Arial" w:cs="Arial" w:eastAsia="Arial" w:hAnsi="Arial"/>
                <w:sz w:val="18"/>
                <w:szCs w:val="18"/>
                <w:color w:val="242424"/>
              </w:rPr>
              <w:t>$</w:t>
            </w:r>
          </w:p>
        </w:tc>
        <w:tc>
          <w:tcPr>
            <w:tcW w:w="1660" w:type="dxa"/>
            <w:vAlign w:val="bottom"/>
          </w:tcPr>
          <w:p>
            <w:pPr>
              <w:jc w:val="right"/>
              <w:ind w:right="52"/>
              <w:spacing w:after="0"/>
              <w:rPr>
                <w:sz w:val="20"/>
                <w:szCs w:val="20"/>
                <w:color w:val="auto"/>
              </w:rPr>
            </w:pPr>
            <w:r>
              <w:rPr>
                <w:rFonts w:ascii="Arial" w:cs="Arial" w:eastAsia="Arial" w:hAnsi="Arial"/>
                <w:sz w:val="18"/>
                <w:szCs w:val="18"/>
                <w:color w:val="242424"/>
              </w:rPr>
              <w:t>150,000</w:t>
            </w:r>
          </w:p>
        </w:tc>
      </w:tr>
      <w:tr>
        <w:trPr>
          <w:trHeight w:val="266"/>
        </w:trPr>
        <w:tc>
          <w:tcPr>
            <w:tcW w:w="7160" w:type="dxa"/>
            <w:vAlign w:val="bottom"/>
            <w:shd w:val="clear" w:color="auto" w:fill="EAEAEA"/>
          </w:tcPr>
          <w:p>
            <w:pPr>
              <w:ind w:left="300"/>
              <w:spacing w:after="0"/>
              <w:rPr>
                <w:sz w:val="20"/>
                <w:szCs w:val="20"/>
                <w:color w:val="auto"/>
              </w:rPr>
            </w:pPr>
            <w:r>
              <w:rPr>
                <w:rFonts w:ascii="Arial" w:cs="Arial" w:eastAsia="Arial" w:hAnsi="Arial"/>
                <w:sz w:val="18"/>
                <w:szCs w:val="18"/>
                <w:color w:val="242424"/>
              </w:rPr>
              <w:t>Lead Independent Director</w:t>
            </w:r>
          </w:p>
        </w:tc>
        <w:tc>
          <w:tcPr>
            <w:tcW w:w="1940" w:type="dxa"/>
            <w:vAlign w:val="bottom"/>
            <w:shd w:val="clear" w:color="auto" w:fill="EAEAEA"/>
          </w:tcPr>
          <w:p>
            <w:pPr>
              <w:jc w:val="right"/>
              <w:ind w:right="72"/>
              <w:spacing w:after="0"/>
              <w:rPr>
                <w:sz w:val="20"/>
                <w:szCs w:val="20"/>
                <w:color w:val="auto"/>
              </w:rPr>
            </w:pPr>
            <w:r>
              <w:rPr>
                <w:rFonts w:ascii="Arial" w:cs="Arial" w:eastAsia="Arial" w:hAnsi="Arial"/>
                <w:sz w:val="18"/>
                <w:szCs w:val="18"/>
                <w:color w:val="242424"/>
              </w:rPr>
              <w:t>$</w:t>
            </w:r>
          </w:p>
        </w:tc>
        <w:tc>
          <w:tcPr>
            <w:tcW w:w="1660" w:type="dxa"/>
            <w:vAlign w:val="bottom"/>
            <w:shd w:val="clear" w:color="auto" w:fill="EAEAEA"/>
          </w:tcPr>
          <w:p>
            <w:pPr>
              <w:jc w:val="right"/>
              <w:ind w:right="52"/>
              <w:spacing w:after="0"/>
              <w:rPr>
                <w:sz w:val="20"/>
                <w:szCs w:val="20"/>
                <w:color w:val="auto"/>
              </w:rPr>
            </w:pPr>
            <w:r>
              <w:rPr>
                <w:rFonts w:ascii="Arial" w:cs="Arial" w:eastAsia="Arial" w:hAnsi="Arial"/>
                <w:sz w:val="18"/>
                <w:szCs w:val="18"/>
                <w:color w:val="242424"/>
              </w:rPr>
              <w:t>100,000</w:t>
            </w:r>
          </w:p>
        </w:tc>
      </w:tr>
      <w:tr>
        <w:trPr>
          <w:trHeight w:val="264"/>
        </w:trPr>
        <w:tc>
          <w:tcPr>
            <w:tcW w:w="7160" w:type="dxa"/>
            <w:vAlign w:val="bottom"/>
          </w:tcPr>
          <w:p>
            <w:pPr>
              <w:ind w:left="300"/>
              <w:spacing w:after="0"/>
              <w:rPr>
                <w:sz w:val="20"/>
                <w:szCs w:val="20"/>
                <w:color w:val="auto"/>
              </w:rPr>
            </w:pPr>
            <w:r>
              <w:rPr>
                <w:rFonts w:ascii="Arial" w:cs="Arial" w:eastAsia="Arial" w:hAnsi="Arial"/>
                <w:sz w:val="18"/>
                <w:szCs w:val="18"/>
                <w:color w:val="242424"/>
              </w:rPr>
              <w:t>Chairperson of the Audit Committee</w:t>
            </w:r>
          </w:p>
        </w:tc>
        <w:tc>
          <w:tcPr>
            <w:tcW w:w="1940" w:type="dxa"/>
            <w:vAlign w:val="bottom"/>
          </w:tcPr>
          <w:p>
            <w:pPr>
              <w:jc w:val="right"/>
              <w:ind w:right="72"/>
              <w:spacing w:after="0"/>
              <w:rPr>
                <w:sz w:val="20"/>
                <w:szCs w:val="20"/>
                <w:color w:val="auto"/>
              </w:rPr>
            </w:pPr>
            <w:r>
              <w:rPr>
                <w:rFonts w:ascii="Arial" w:cs="Arial" w:eastAsia="Arial" w:hAnsi="Arial"/>
                <w:sz w:val="18"/>
                <w:szCs w:val="18"/>
                <w:color w:val="242424"/>
              </w:rPr>
              <w:t>$</w:t>
            </w:r>
          </w:p>
        </w:tc>
        <w:tc>
          <w:tcPr>
            <w:tcW w:w="1660" w:type="dxa"/>
            <w:vAlign w:val="bottom"/>
          </w:tcPr>
          <w:p>
            <w:pPr>
              <w:jc w:val="right"/>
              <w:ind w:right="52"/>
              <w:spacing w:after="0"/>
              <w:rPr>
                <w:sz w:val="20"/>
                <w:szCs w:val="20"/>
                <w:color w:val="auto"/>
              </w:rPr>
            </w:pPr>
            <w:r>
              <w:rPr>
                <w:rFonts w:ascii="Arial" w:cs="Arial" w:eastAsia="Arial" w:hAnsi="Arial"/>
                <w:sz w:val="18"/>
                <w:szCs w:val="18"/>
                <w:color w:val="242424"/>
              </w:rPr>
              <w:t>40,000</w:t>
            </w:r>
          </w:p>
        </w:tc>
      </w:tr>
      <w:tr>
        <w:trPr>
          <w:trHeight w:val="266"/>
        </w:trPr>
        <w:tc>
          <w:tcPr>
            <w:tcW w:w="7160" w:type="dxa"/>
            <w:vAlign w:val="bottom"/>
            <w:shd w:val="clear" w:color="auto" w:fill="EAEAEA"/>
          </w:tcPr>
          <w:p>
            <w:pPr>
              <w:ind w:left="300"/>
              <w:spacing w:after="0"/>
              <w:rPr>
                <w:sz w:val="20"/>
                <w:szCs w:val="20"/>
                <w:color w:val="auto"/>
              </w:rPr>
            </w:pPr>
            <w:r>
              <w:rPr>
                <w:rFonts w:ascii="Arial" w:cs="Arial" w:eastAsia="Arial" w:hAnsi="Arial"/>
                <w:sz w:val="18"/>
                <w:szCs w:val="18"/>
                <w:color w:val="242424"/>
              </w:rPr>
              <w:t>Chairperson of the Compensation Committee</w:t>
            </w:r>
          </w:p>
        </w:tc>
        <w:tc>
          <w:tcPr>
            <w:tcW w:w="1940" w:type="dxa"/>
            <w:vAlign w:val="bottom"/>
            <w:shd w:val="clear" w:color="auto" w:fill="EAEAEA"/>
          </w:tcPr>
          <w:p>
            <w:pPr>
              <w:jc w:val="right"/>
              <w:ind w:right="72"/>
              <w:spacing w:after="0"/>
              <w:rPr>
                <w:sz w:val="20"/>
                <w:szCs w:val="20"/>
                <w:color w:val="auto"/>
              </w:rPr>
            </w:pPr>
            <w:r>
              <w:rPr>
                <w:rFonts w:ascii="Arial" w:cs="Arial" w:eastAsia="Arial" w:hAnsi="Arial"/>
                <w:sz w:val="18"/>
                <w:szCs w:val="18"/>
                <w:color w:val="242424"/>
              </w:rPr>
              <w:t>$</w:t>
            </w:r>
          </w:p>
        </w:tc>
        <w:tc>
          <w:tcPr>
            <w:tcW w:w="1660" w:type="dxa"/>
            <w:vAlign w:val="bottom"/>
            <w:shd w:val="clear" w:color="auto" w:fill="EAEAEA"/>
          </w:tcPr>
          <w:p>
            <w:pPr>
              <w:jc w:val="right"/>
              <w:ind w:right="52"/>
              <w:spacing w:after="0"/>
              <w:rPr>
                <w:sz w:val="20"/>
                <w:szCs w:val="20"/>
                <w:color w:val="auto"/>
              </w:rPr>
            </w:pPr>
            <w:r>
              <w:rPr>
                <w:rFonts w:ascii="Arial" w:cs="Arial" w:eastAsia="Arial" w:hAnsi="Arial"/>
                <w:sz w:val="18"/>
                <w:szCs w:val="18"/>
                <w:color w:val="242424"/>
              </w:rPr>
              <w:t>22,500</w:t>
            </w:r>
          </w:p>
        </w:tc>
      </w:tr>
      <w:tr>
        <w:trPr>
          <w:trHeight w:val="265"/>
        </w:trPr>
        <w:tc>
          <w:tcPr>
            <w:tcW w:w="7160" w:type="dxa"/>
            <w:vAlign w:val="bottom"/>
          </w:tcPr>
          <w:p>
            <w:pPr>
              <w:ind w:left="300"/>
              <w:spacing w:after="0"/>
              <w:rPr>
                <w:sz w:val="20"/>
                <w:szCs w:val="20"/>
                <w:color w:val="auto"/>
              </w:rPr>
            </w:pPr>
            <w:r>
              <w:rPr>
                <w:rFonts w:ascii="Arial" w:cs="Arial" w:eastAsia="Arial" w:hAnsi="Arial"/>
                <w:sz w:val="18"/>
                <w:szCs w:val="18"/>
                <w:color w:val="242424"/>
              </w:rPr>
              <w:t>Chairperson of the NESG Committee</w:t>
            </w:r>
          </w:p>
        </w:tc>
        <w:tc>
          <w:tcPr>
            <w:tcW w:w="1940" w:type="dxa"/>
            <w:vAlign w:val="bottom"/>
          </w:tcPr>
          <w:p>
            <w:pPr>
              <w:jc w:val="right"/>
              <w:ind w:right="72"/>
              <w:spacing w:after="0"/>
              <w:rPr>
                <w:sz w:val="20"/>
                <w:szCs w:val="20"/>
                <w:color w:val="auto"/>
              </w:rPr>
            </w:pPr>
            <w:r>
              <w:rPr>
                <w:rFonts w:ascii="Arial" w:cs="Arial" w:eastAsia="Arial" w:hAnsi="Arial"/>
                <w:sz w:val="18"/>
                <w:szCs w:val="18"/>
                <w:color w:val="242424"/>
              </w:rPr>
              <w:t>$</w:t>
            </w:r>
          </w:p>
        </w:tc>
        <w:tc>
          <w:tcPr>
            <w:tcW w:w="1660" w:type="dxa"/>
            <w:vAlign w:val="bottom"/>
          </w:tcPr>
          <w:p>
            <w:pPr>
              <w:jc w:val="right"/>
              <w:ind w:right="52"/>
              <w:spacing w:after="0"/>
              <w:rPr>
                <w:sz w:val="20"/>
                <w:szCs w:val="20"/>
                <w:color w:val="auto"/>
              </w:rPr>
            </w:pPr>
            <w:r>
              <w:rPr>
                <w:rFonts w:ascii="Arial" w:cs="Arial" w:eastAsia="Arial" w:hAnsi="Arial"/>
                <w:sz w:val="18"/>
                <w:szCs w:val="18"/>
                <w:color w:val="242424"/>
              </w:rPr>
              <w:t>20,000</w:t>
            </w:r>
          </w:p>
        </w:tc>
      </w:tr>
      <w:tr>
        <w:trPr>
          <w:trHeight w:val="265"/>
        </w:trPr>
        <w:tc>
          <w:tcPr>
            <w:tcW w:w="7160" w:type="dxa"/>
            <w:vAlign w:val="bottom"/>
            <w:shd w:val="clear" w:color="auto" w:fill="EAEAEA"/>
          </w:tcPr>
          <w:p>
            <w:pPr>
              <w:ind w:left="300"/>
              <w:spacing w:after="0"/>
              <w:rPr>
                <w:sz w:val="20"/>
                <w:szCs w:val="20"/>
                <w:color w:val="auto"/>
              </w:rPr>
            </w:pPr>
            <w:r>
              <w:rPr>
                <w:rFonts w:ascii="Arial" w:cs="Arial" w:eastAsia="Arial" w:hAnsi="Arial"/>
                <w:sz w:val="18"/>
                <w:szCs w:val="18"/>
                <w:color w:val="242424"/>
              </w:rPr>
              <w:t>Member of the Audit Committee (other than chairperson)</w:t>
            </w:r>
          </w:p>
        </w:tc>
        <w:tc>
          <w:tcPr>
            <w:tcW w:w="1940" w:type="dxa"/>
            <w:vAlign w:val="bottom"/>
            <w:shd w:val="clear" w:color="auto" w:fill="EAEAEA"/>
          </w:tcPr>
          <w:p>
            <w:pPr>
              <w:jc w:val="right"/>
              <w:ind w:right="72"/>
              <w:spacing w:after="0"/>
              <w:rPr>
                <w:sz w:val="20"/>
                <w:szCs w:val="20"/>
                <w:color w:val="auto"/>
              </w:rPr>
            </w:pPr>
            <w:r>
              <w:rPr>
                <w:rFonts w:ascii="Arial" w:cs="Arial" w:eastAsia="Arial" w:hAnsi="Arial"/>
                <w:sz w:val="18"/>
                <w:szCs w:val="18"/>
                <w:color w:val="242424"/>
              </w:rPr>
              <w:t>$</w:t>
            </w:r>
          </w:p>
        </w:tc>
        <w:tc>
          <w:tcPr>
            <w:tcW w:w="1660" w:type="dxa"/>
            <w:vAlign w:val="bottom"/>
            <w:shd w:val="clear" w:color="auto" w:fill="EAEAEA"/>
          </w:tcPr>
          <w:p>
            <w:pPr>
              <w:jc w:val="right"/>
              <w:ind w:right="52"/>
              <w:spacing w:after="0"/>
              <w:rPr>
                <w:sz w:val="20"/>
                <w:szCs w:val="20"/>
                <w:color w:val="auto"/>
              </w:rPr>
            </w:pPr>
            <w:r>
              <w:rPr>
                <w:rFonts w:ascii="Arial" w:cs="Arial" w:eastAsia="Arial" w:hAnsi="Arial"/>
                <w:sz w:val="18"/>
                <w:szCs w:val="18"/>
                <w:color w:val="242424"/>
              </w:rPr>
              <w:t>15,000</w:t>
            </w:r>
          </w:p>
        </w:tc>
      </w:tr>
      <w:tr>
        <w:trPr>
          <w:trHeight w:val="265"/>
        </w:trPr>
        <w:tc>
          <w:tcPr>
            <w:tcW w:w="7160" w:type="dxa"/>
            <w:vAlign w:val="bottom"/>
          </w:tcPr>
          <w:p>
            <w:pPr>
              <w:ind w:left="300"/>
              <w:spacing w:after="0"/>
              <w:rPr>
                <w:sz w:val="20"/>
                <w:szCs w:val="20"/>
                <w:color w:val="auto"/>
              </w:rPr>
            </w:pPr>
            <w:r>
              <w:rPr>
                <w:rFonts w:ascii="Arial" w:cs="Arial" w:eastAsia="Arial" w:hAnsi="Arial"/>
                <w:sz w:val="18"/>
                <w:szCs w:val="18"/>
                <w:color w:val="242424"/>
              </w:rPr>
              <w:t>Member of the Compensation Committee (other than chairperson)</w:t>
            </w:r>
          </w:p>
        </w:tc>
        <w:tc>
          <w:tcPr>
            <w:tcW w:w="1940" w:type="dxa"/>
            <w:vAlign w:val="bottom"/>
          </w:tcPr>
          <w:p>
            <w:pPr>
              <w:jc w:val="right"/>
              <w:ind w:right="72"/>
              <w:spacing w:after="0"/>
              <w:rPr>
                <w:sz w:val="20"/>
                <w:szCs w:val="20"/>
                <w:color w:val="auto"/>
              </w:rPr>
            </w:pPr>
            <w:r>
              <w:rPr>
                <w:rFonts w:ascii="Arial" w:cs="Arial" w:eastAsia="Arial" w:hAnsi="Arial"/>
                <w:sz w:val="18"/>
                <w:szCs w:val="18"/>
                <w:color w:val="242424"/>
              </w:rPr>
              <w:t>$</w:t>
            </w:r>
          </w:p>
        </w:tc>
        <w:tc>
          <w:tcPr>
            <w:tcW w:w="1660" w:type="dxa"/>
            <w:vAlign w:val="bottom"/>
          </w:tcPr>
          <w:p>
            <w:pPr>
              <w:jc w:val="right"/>
              <w:ind w:right="52"/>
              <w:spacing w:after="0"/>
              <w:rPr>
                <w:sz w:val="20"/>
                <w:szCs w:val="20"/>
                <w:color w:val="auto"/>
              </w:rPr>
            </w:pPr>
            <w:r>
              <w:rPr>
                <w:rFonts w:ascii="Arial" w:cs="Arial" w:eastAsia="Arial" w:hAnsi="Arial"/>
                <w:sz w:val="18"/>
                <w:szCs w:val="18"/>
                <w:color w:val="242424"/>
              </w:rPr>
              <w:t>10,000</w:t>
            </w:r>
          </w:p>
        </w:tc>
      </w:tr>
      <w:tr>
        <w:trPr>
          <w:trHeight w:val="265"/>
        </w:trPr>
        <w:tc>
          <w:tcPr>
            <w:tcW w:w="7160" w:type="dxa"/>
            <w:vAlign w:val="bottom"/>
            <w:shd w:val="clear" w:color="auto" w:fill="EAEAEA"/>
          </w:tcPr>
          <w:p>
            <w:pPr>
              <w:ind w:left="300"/>
              <w:spacing w:after="0"/>
              <w:rPr>
                <w:sz w:val="20"/>
                <w:szCs w:val="20"/>
                <w:color w:val="auto"/>
              </w:rPr>
            </w:pPr>
            <w:r>
              <w:rPr>
                <w:rFonts w:ascii="Arial" w:cs="Arial" w:eastAsia="Arial" w:hAnsi="Arial"/>
                <w:sz w:val="18"/>
                <w:szCs w:val="18"/>
                <w:color w:val="242424"/>
              </w:rPr>
              <w:t>Member of the NESG Committee (other than chairperson)</w:t>
            </w:r>
          </w:p>
        </w:tc>
        <w:tc>
          <w:tcPr>
            <w:tcW w:w="1940" w:type="dxa"/>
            <w:vAlign w:val="bottom"/>
            <w:shd w:val="clear" w:color="auto" w:fill="EAEAEA"/>
          </w:tcPr>
          <w:p>
            <w:pPr>
              <w:jc w:val="right"/>
              <w:ind w:right="72"/>
              <w:spacing w:after="0"/>
              <w:rPr>
                <w:sz w:val="20"/>
                <w:szCs w:val="20"/>
                <w:color w:val="auto"/>
              </w:rPr>
            </w:pPr>
            <w:r>
              <w:rPr>
                <w:rFonts w:ascii="Arial" w:cs="Arial" w:eastAsia="Arial" w:hAnsi="Arial"/>
                <w:sz w:val="18"/>
                <w:szCs w:val="18"/>
                <w:color w:val="242424"/>
              </w:rPr>
              <w:t>$</w:t>
            </w:r>
          </w:p>
        </w:tc>
        <w:tc>
          <w:tcPr>
            <w:tcW w:w="1660" w:type="dxa"/>
            <w:vAlign w:val="bottom"/>
            <w:shd w:val="clear" w:color="auto" w:fill="EAEAEA"/>
          </w:tcPr>
          <w:p>
            <w:pPr>
              <w:jc w:val="right"/>
              <w:ind w:right="52"/>
              <w:spacing w:after="0"/>
              <w:rPr>
                <w:sz w:val="20"/>
                <w:szCs w:val="20"/>
                <w:color w:val="auto"/>
              </w:rPr>
            </w:pPr>
            <w:r>
              <w:rPr>
                <w:rFonts w:ascii="Arial" w:cs="Arial" w:eastAsia="Arial" w:hAnsi="Arial"/>
                <w:sz w:val="18"/>
                <w:szCs w:val="18"/>
                <w:color w:val="242424"/>
              </w:rPr>
              <w:t>10,000</w:t>
            </w:r>
          </w:p>
        </w:tc>
      </w:tr>
    </w:tbl>
    <w:p>
      <w:pPr>
        <w:spacing w:after="0" w:line="251"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242424"/>
        </w:rPr>
        <w:t>In addition, we reimburse or pay non-employee directors for travel and other out-of-pocket expenses related to their attendance at Board and committee meetings, the annual meeting of stockholders and other Board-related travel undertaken at our request.</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Equity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242424"/>
        </w:rPr>
        <w:t>Our non-employee directors also receive the following equity awards:</w:t>
      </w:r>
    </w:p>
    <w:p>
      <w:pPr>
        <w:spacing w:after="0" w:line="151" w:lineRule="exact"/>
        <w:rPr>
          <w:sz w:val="20"/>
          <w:szCs w:val="20"/>
          <w:color w:val="auto"/>
        </w:rPr>
      </w:pPr>
    </w:p>
    <w:p>
      <w:pPr>
        <w:ind w:left="640" w:right="160" w:hanging="316"/>
        <w:spacing w:after="0" w:line="232" w:lineRule="auto"/>
        <w:tabs>
          <w:tab w:leader="none" w:pos="592" w:val="left"/>
        </w:tabs>
        <w:numPr>
          <w:ilvl w:val="0"/>
          <w:numId w:val="24"/>
        </w:numPr>
        <w:rPr>
          <w:rFonts w:ascii="Arial" w:cs="Arial" w:eastAsia="Arial" w:hAnsi="Arial"/>
          <w:sz w:val="21"/>
          <w:szCs w:val="21"/>
          <w:color w:val="242424"/>
        </w:rPr>
      </w:pPr>
      <w:r>
        <w:rPr>
          <w:rFonts w:ascii="Arial" w:cs="Arial" w:eastAsia="Arial" w:hAnsi="Arial"/>
          <w:sz w:val="18"/>
          <w:szCs w:val="18"/>
          <w:color w:val="242424"/>
        </w:rPr>
        <w:t>upon appointment to our Board, an initial service-based RSU award using a target value of $220,000, prorated based on the expected portion of a year to be served between the time of such director’s appointment and the anticipated date of our annual meeting of stockholders immediately following the director’s appointment; and</w:t>
      </w:r>
    </w:p>
    <w:p>
      <w:pPr>
        <w:spacing w:after="0" w:line="148" w:lineRule="exact"/>
        <w:rPr>
          <w:rFonts w:ascii="Arial" w:cs="Arial" w:eastAsia="Arial" w:hAnsi="Arial"/>
          <w:sz w:val="21"/>
          <w:szCs w:val="21"/>
          <w:color w:val="242424"/>
        </w:rPr>
      </w:pPr>
    </w:p>
    <w:p>
      <w:pPr>
        <w:ind w:left="640" w:right="1000" w:hanging="316"/>
        <w:spacing w:after="0" w:line="226" w:lineRule="auto"/>
        <w:tabs>
          <w:tab w:leader="none" w:pos="592" w:val="left"/>
        </w:tabs>
        <w:numPr>
          <w:ilvl w:val="0"/>
          <w:numId w:val="24"/>
        </w:numPr>
        <w:rPr>
          <w:rFonts w:ascii="Arial" w:cs="Arial" w:eastAsia="Arial" w:hAnsi="Arial"/>
          <w:sz w:val="21"/>
          <w:szCs w:val="21"/>
          <w:color w:val="242424"/>
        </w:rPr>
      </w:pPr>
      <w:r>
        <w:rPr>
          <w:rFonts w:ascii="Arial" w:cs="Arial" w:eastAsia="Arial" w:hAnsi="Arial"/>
          <w:sz w:val="18"/>
          <w:szCs w:val="18"/>
          <w:color w:val="242424"/>
        </w:rPr>
        <w:t>an annual service-based RSU award using a target value of $220,000, to be granted on the date of each annual meeting of stockholders, subject to the director’s re-election at such meeting.</w:t>
      </w:r>
    </w:p>
    <w:p>
      <w:pPr>
        <w:spacing w:after="0" w:line="16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242424"/>
        </w:rPr>
        <w:t>To determine the number of shares of common stock granted pursuant to such awards, the value of the award is divided by the average of our per share closing market prices quoted on the Nasdaq Global Select Market, over the 30 calendar days immediately preceding the grant date. These service-based RSU awards vest in full on the earlier of (i) the first anniversary of the grant date or (ii) the date on which the annual meeting of stockholders immediately following the grant date is held, subject to the director’s continued service on our Board.</w:t>
      </w:r>
    </w:p>
    <w:p>
      <w:pPr>
        <w:spacing w:after="0" w:line="15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242424"/>
        </w:rPr>
        <w:t>In connection with its annual review of non-employee director compensation, our Board approved in December 2021 an increase in the equity compensation granted to our non-employee directors based on the recommendation of the Compensation Committee and its independent compensation consultant and taking into account that no changes had been made to the non-employee director compensation since December 2018. Effective December 8, 2021, non-</w:t>
      </w:r>
    </w:p>
    <w:p>
      <w:pPr>
        <w:spacing w:after="0" w:line="200" w:lineRule="exact"/>
        <w:rPr>
          <w:sz w:val="20"/>
          <w:szCs w:val="20"/>
          <w:color w:val="auto"/>
        </w:rPr>
      </w:pPr>
    </w:p>
    <w:p>
      <w:pPr>
        <w:spacing w:after="0" w:line="249" w:lineRule="exact"/>
        <w:rPr>
          <w:sz w:val="20"/>
          <w:szCs w:val="20"/>
          <w:color w:val="auto"/>
        </w:rPr>
      </w:pPr>
    </w:p>
    <w:p>
      <w:pPr>
        <w:ind w:left="360" w:hanging="354"/>
        <w:spacing w:after="0"/>
        <w:tabs>
          <w:tab w:leader="none" w:pos="360" w:val="left"/>
        </w:tabs>
        <w:numPr>
          <w:ilvl w:val="0"/>
          <w:numId w:val="25"/>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00"/>
          </w:cols>
          <w:pgMar w:left="320" w:top="181" w:right="37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color w:val="CC092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42424"/>
        </w:rPr>
        <w:t>employee directors will be entitled to receive an initial service-based RSU award and an annual service-based RSU award with a target value of $250,000, subject to the same terms and conditions as described above</w:t>
      </w:r>
      <w:r>
        <w:rPr>
          <w:rFonts w:ascii="Arial" w:cs="Arial" w:eastAsia="Arial" w:hAnsi="Arial"/>
          <w:sz w:val="18"/>
          <w:szCs w:val="18"/>
          <w:i w:val="1"/>
          <w:iCs w:val="1"/>
          <w:color w:val="242424"/>
        </w:rPr>
        <w:t>.</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Director Compensation for Fiscal Year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242424"/>
        </w:rPr>
        <w:t>The following table sets forth information regarding compensation earned by our non-employee directors during Fiscal Year 2021.</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3760" w:type="dxa"/>
            <w:vAlign w:val="bottom"/>
            <w:tcBorders>
              <w:top w:val="single" w:sz="8" w:color="CC092F"/>
            </w:tcBorders>
            <w:vMerge w:val="restart"/>
            <w:shd w:val="clear" w:color="auto" w:fill="B8B8B8"/>
          </w:tcPr>
          <w:p>
            <w:pPr>
              <w:ind w:left="20"/>
              <w:spacing w:after="0"/>
              <w:rPr>
                <w:sz w:val="20"/>
                <w:szCs w:val="20"/>
                <w:color w:val="auto"/>
              </w:rPr>
            </w:pPr>
            <w:r>
              <w:rPr>
                <w:rFonts w:ascii="Arial" w:cs="Arial" w:eastAsia="Arial" w:hAnsi="Arial"/>
                <w:sz w:val="18"/>
                <w:szCs w:val="18"/>
                <w:b w:val="1"/>
                <w:bCs w:val="1"/>
                <w:color w:val="FFFFFF"/>
              </w:rPr>
              <w:t>Name</w:t>
            </w:r>
          </w:p>
        </w:tc>
        <w:tc>
          <w:tcPr>
            <w:tcW w:w="2320" w:type="dxa"/>
            <w:vAlign w:val="bottom"/>
            <w:tcBorders>
              <w:top w:val="single" w:sz="8" w:color="CC092F"/>
            </w:tcBorders>
            <w:shd w:val="clear" w:color="auto" w:fill="B8B8B8"/>
          </w:tcPr>
          <w:p>
            <w:pPr>
              <w:spacing w:after="0"/>
              <w:rPr>
                <w:sz w:val="18"/>
                <w:szCs w:val="18"/>
                <w:color w:val="auto"/>
              </w:rPr>
            </w:pPr>
          </w:p>
        </w:tc>
        <w:tc>
          <w:tcPr>
            <w:tcW w:w="1600" w:type="dxa"/>
            <w:vAlign w:val="bottom"/>
            <w:tcBorders>
              <w:top w:val="single" w:sz="8" w:color="CC092F"/>
            </w:tcBorders>
            <w:shd w:val="clear" w:color="auto" w:fill="B8B8B8"/>
          </w:tcPr>
          <w:p>
            <w:pPr>
              <w:jc w:val="right"/>
              <w:ind w:right="152"/>
              <w:spacing w:after="0"/>
              <w:rPr>
                <w:sz w:val="20"/>
                <w:szCs w:val="20"/>
                <w:color w:val="auto"/>
              </w:rPr>
            </w:pPr>
            <w:r>
              <w:rPr>
                <w:rFonts w:ascii="Arial" w:cs="Arial" w:eastAsia="Arial" w:hAnsi="Arial"/>
                <w:sz w:val="18"/>
                <w:szCs w:val="18"/>
                <w:b w:val="1"/>
                <w:bCs w:val="1"/>
                <w:color w:val="FFFFFF"/>
              </w:rPr>
              <w:t>Fees Earned or</w:t>
            </w:r>
          </w:p>
        </w:tc>
        <w:tc>
          <w:tcPr>
            <w:tcW w:w="320" w:type="dxa"/>
            <w:vAlign w:val="bottom"/>
            <w:tcBorders>
              <w:top w:val="single" w:sz="8" w:color="CC092F"/>
            </w:tcBorders>
            <w:shd w:val="clear" w:color="auto" w:fill="B8B8B8"/>
          </w:tcPr>
          <w:p>
            <w:pPr>
              <w:spacing w:after="0"/>
              <w:rPr>
                <w:sz w:val="18"/>
                <w:szCs w:val="18"/>
                <w:color w:val="auto"/>
              </w:rPr>
            </w:pPr>
          </w:p>
        </w:tc>
        <w:tc>
          <w:tcPr>
            <w:tcW w:w="1180" w:type="dxa"/>
            <w:vAlign w:val="bottom"/>
            <w:tcBorders>
              <w:top w:val="single" w:sz="8" w:color="CC092F"/>
            </w:tcBorders>
            <w:shd w:val="clear" w:color="auto" w:fill="B8B8B8"/>
          </w:tcPr>
          <w:p>
            <w:pPr>
              <w:jc w:val="right"/>
              <w:ind w:right="372"/>
              <w:spacing w:after="0"/>
              <w:rPr>
                <w:sz w:val="20"/>
                <w:szCs w:val="20"/>
                <w:color w:val="auto"/>
              </w:rPr>
            </w:pPr>
            <w:r>
              <w:rPr>
                <w:rFonts w:ascii="Arial" w:cs="Arial" w:eastAsia="Arial" w:hAnsi="Arial"/>
                <w:sz w:val="18"/>
                <w:szCs w:val="18"/>
                <w:b w:val="1"/>
                <w:bCs w:val="1"/>
                <w:color w:val="FFFFFF"/>
              </w:rPr>
              <w:t>Stock</w:t>
            </w:r>
          </w:p>
        </w:tc>
        <w:tc>
          <w:tcPr>
            <w:tcW w:w="480" w:type="dxa"/>
            <w:vAlign w:val="bottom"/>
            <w:tcBorders>
              <w:top w:val="single" w:sz="8" w:color="CC092F"/>
            </w:tcBorders>
            <w:shd w:val="clear" w:color="auto" w:fill="B8B8B8"/>
          </w:tcPr>
          <w:p>
            <w:pPr>
              <w:spacing w:after="0"/>
              <w:rPr>
                <w:sz w:val="18"/>
                <w:szCs w:val="18"/>
                <w:color w:val="auto"/>
              </w:rPr>
            </w:pPr>
          </w:p>
        </w:tc>
        <w:tc>
          <w:tcPr>
            <w:tcW w:w="1360" w:type="dxa"/>
            <w:vAlign w:val="bottom"/>
            <w:tcBorders>
              <w:top w:val="single" w:sz="8" w:color="CC092F"/>
            </w:tcBorders>
            <w:vMerge w:val="restart"/>
            <w:shd w:val="clear" w:color="auto" w:fill="B8B8B8"/>
          </w:tcPr>
          <w:p>
            <w:pPr>
              <w:jc w:val="right"/>
              <w:ind w:right="592"/>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65"/>
        </w:trPr>
        <w:tc>
          <w:tcPr>
            <w:tcW w:w="3760" w:type="dxa"/>
            <w:vAlign w:val="bottom"/>
            <w:tcBorders>
              <w:bottom w:val="single" w:sz="8" w:color="B8B8B8"/>
            </w:tcBorders>
            <w:vMerge w:val="continue"/>
            <w:shd w:val="clear" w:color="auto" w:fill="B8B8B8"/>
          </w:tcPr>
          <w:p>
            <w:pPr>
              <w:spacing w:after="0"/>
              <w:rPr>
                <w:sz w:val="23"/>
                <w:szCs w:val="23"/>
                <w:color w:val="auto"/>
              </w:rPr>
            </w:pPr>
          </w:p>
        </w:tc>
        <w:tc>
          <w:tcPr>
            <w:tcW w:w="2320" w:type="dxa"/>
            <w:vAlign w:val="bottom"/>
            <w:tcBorders>
              <w:bottom w:val="single" w:sz="8" w:color="B8B8B8"/>
            </w:tcBorders>
            <w:shd w:val="clear" w:color="auto" w:fill="B8B8B8"/>
          </w:tcPr>
          <w:p>
            <w:pPr>
              <w:spacing w:after="0"/>
              <w:rPr>
                <w:sz w:val="23"/>
                <w:szCs w:val="23"/>
                <w:color w:val="auto"/>
              </w:rPr>
            </w:pPr>
          </w:p>
        </w:tc>
        <w:tc>
          <w:tcPr>
            <w:tcW w:w="1600" w:type="dxa"/>
            <w:vAlign w:val="bottom"/>
            <w:tcBorders>
              <w:bottom w:val="single" w:sz="8" w:color="B8B8B8"/>
            </w:tcBorders>
            <w:shd w:val="clear" w:color="auto" w:fill="B8B8B8"/>
          </w:tcPr>
          <w:p>
            <w:pPr>
              <w:jc w:val="right"/>
              <w:ind w:right="232"/>
              <w:spacing w:after="0"/>
              <w:rPr>
                <w:sz w:val="20"/>
                <w:szCs w:val="20"/>
                <w:color w:val="auto"/>
              </w:rPr>
            </w:pPr>
            <w:r>
              <w:rPr>
                <w:rFonts w:ascii="Arial" w:cs="Arial" w:eastAsia="Arial" w:hAnsi="Arial"/>
                <w:sz w:val="18"/>
                <w:szCs w:val="18"/>
                <w:b w:val="1"/>
                <w:bCs w:val="1"/>
                <w:color w:val="FFFFFF"/>
              </w:rPr>
              <w:t>Paid in Cash</w:t>
            </w:r>
          </w:p>
        </w:tc>
        <w:tc>
          <w:tcPr>
            <w:tcW w:w="320" w:type="dxa"/>
            <w:vAlign w:val="bottom"/>
            <w:tcBorders>
              <w:bottom w:val="single" w:sz="8" w:color="B8B8B8"/>
            </w:tcBorders>
            <w:shd w:val="clear" w:color="auto" w:fill="B8B8B8"/>
          </w:tcPr>
          <w:p>
            <w:pPr>
              <w:spacing w:after="0"/>
              <w:rPr>
                <w:sz w:val="23"/>
                <w:szCs w:val="23"/>
                <w:color w:val="auto"/>
              </w:rPr>
            </w:pPr>
          </w:p>
        </w:tc>
        <w:tc>
          <w:tcPr>
            <w:tcW w:w="1180" w:type="dxa"/>
            <w:vAlign w:val="bottom"/>
            <w:tcBorders>
              <w:bottom w:val="single" w:sz="8" w:color="B8B8B8"/>
            </w:tcBorders>
            <w:shd w:val="clear" w:color="auto" w:fill="B8B8B8"/>
          </w:tcPr>
          <w:p>
            <w:pPr>
              <w:jc w:val="right"/>
              <w:ind w:right="212"/>
              <w:spacing w:after="0"/>
              <w:rPr>
                <w:sz w:val="20"/>
                <w:szCs w:val="20"/>
                <w:color w:val="auto"/>
              </w:rPr>
            </w:pPr>
            <w:r>
              <w:rPr>
                <w:rFonts w:ascii="Arial" w:cs="Arial" w:eastAsia="Arial" w:hAnsi="Arial"/>
                <w:sz w:val="18"/>
                <w:szCs w:val="18"/>
                <w:b w:val="1"/>
                <w:bCs w:val="1"/>
                <w:color w:val="FFFFFF"/>
              </w:rPr>
              <w:t>Awards</w:t>
            </w:r>
            <w:r>
              <w:rPr>
                <w:rFonts w:ascii="Arial" w:cs="Arial" w:eastAsia="Arial" w:hAnsi="Arial"/>
                <w:sz w:val="9"/>
                <w:szCs w:val="9"/>
                <w:b w:val="1"/>
                <w:bCs w:val="1"/>
                <w:color w:val="FFFFFF"/>
              </w:rPr>
              <w:t>(1)</w:t>
            </w:r>
          </w:p>
        </w:tc>
        <w:tc>
          <w:tcPr>
            <w:tcW w:w="480" w:type="dxa"/>
            <w:vAlign w:val="bottom"/>
            <w:tcBorders>
              <w:bottom w:val="single" w:sz="8" w:color="B8B8B8"/>
            </w:tcBorders>
            <w:shd w:val="clear" w:color="auto" w:fill="B8B8B8"/>
          </w:tcPr>
          <w:p>
            <w:pPr>
              <w:spacing w:after="0"/>
              <w:rPr>
                <w:sz w:val="23"/>
                <w:szCs w:val="23"/>
                <w:color w:val="auto"/>
              </w:rPr>
            </w:pPr>
          </w:p>
        </w:tc>
        <w:tc>
          <w:tcPr>
            <w:tcW w:w="1360" w:type="dxa"/>
            <w:vAlign w:val="bottom"/>
            <w:tcBorders>
              <w:bottom w:val="single" w:sz="8" w:color="B8B8B8"/>
            </w:tcBorders>
            <w:vMerge w:val="continue"/>
            <w:shd w:val="clear" w:color="auto" w:fill="B8B8B8"/>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760" w:type="dxa"/>
            <w:vAlign w:val="bottom"/>
            <w:tcBorders>
              <w:top w:val="single" w:sz="8" w:color="CC092F"/>
            </w:tcBorders>
          </w:tcPr>
          <w:p>
            <w:pPr>
              <w:ind w:left="20"/>
              <w:spacing w:after="0"/>
              <w:rPr>
                <w:sz w:val="20"/>
                <w:szCs w:val="20"/>
                <w:color w:val="auto"/>
              </w:rPr>
            </w:pPr>
            <w:r>
              <w:rPr>
                <w:rFonts w:ascii="Arial" w:cs="Arial" w:eastAsia="Arial" w:hAnsi="Arial"/>
                <w:sz w:val="18"/>
                <w:szCs w:val="18"/>
                <w:color w:val="242424"/>
              </w:rPr>
              <w:t>Diane M. Bryant</w:t>
            </w:r>
          </w:p>
        </w:tc>
        <w:tc>
          <w:tcPr>
            <w:tcW w:w="2320" w:type="dxa"/>
            <w:vAlign w:val="bottom"/>
            <w:tcBorders>
              <w:top w:val="single" w:sz="8" w:color="CC092F"/>
            </w:tcBorders>
          </w:tcPr>
          <w:p>
            <w:pPr>
              <w:jc w:val="right"/>
              <w:spacing w:after="0"/>
              <w:rPr>
                <w:sz w:val="20"/>
                <w:szCs w:val="20"/>
                <w:color w:val="auto"/>
              </w:rPr>
            </w:pPr>
            <w:r>
              <w:rPr>
                <w:rFonts w:ascii="Arial" w:cs="Arial" w:eastAsia="Arial" w:hAnsi="Arial"/>
                <w:sz w:val="18"/>
                <w:szCs w:val="18"/>
                <w:color w:val="242424"/>
              </w:rPr>
              <w:t>$</w:t>
            </w:r>
          </w:p>
        </w:tc>
        <w:tc>
          <w:tcPr>
            <w:tcW w:w="1600" w:type="dxa"/>
            <w:vAlign w:val="bottom"/>
            <w:tcBorders>
              <w:top w:val="single" w:sz="8" w:color="CC092F"/>
            </w:tcBorders>
          </w:tcPr>
          <w:p>
            <w:pPr>
              <w:jc w:val="right"/>
              <w:ind w:right="12"/>
              <w:spacing w:after="0"/>
              <w:rPr>
                <w:sz w:val="20"/>
                <w:szCs w:val="20"/>
                <w:color w:val="auto"/>
              </w:rPr>
            </w:pPr>
            <w:r>
              <w:rPr>
                <w:rFonts w:ascii="Arial" w:cs="Arial" w:eastAsia="Arial" w:hAnsi="Arial"/>
                <w:sz w:val="18"/>
                <w:szCs w:val="18"/>
                <w:color w:val="242424"/>
              </w:rPr>
              <w:t>100,000</w:t>
            </w:r>
          </w:p>
        </w:tc>
        <w:tc>
          <w:tcPr>
            <w:tcW w:w="320" w:type="dxa"/>
            <w:vAlign w:val="bottom"/>
            <w:tcBorders>
              <w:top w:val="single" w:sz="8" w:color="CC092F"/>
            </w:tcBorders>
          </w:tcPr>
          <w:p>
            <w:pPr>
              <w:jc w:val="right"/>
              <w:ind w:right="32"/>
              <w:spacing w:after="0"/>
              <w:rPr>
                <w:sz w:val="20"/>
                <w:szCs w:val="20"/>
                <w:color w:val="auto"/>
              </w:rPr>
            </w:pPr>
            <w:r>
              <w:rPr>
                <w:rFonts w:ascii="Arial" w:cs="Arial" w:eastAsia="Arial" w:hAnsi="Arial"/>
                <w:sz w:val="18"/>
                <w:szCs w:val="18"/>
                <w:color w:val="242424"/>
              </w:rPr>
              <w:t>$</w:t>
            </w:r>
          </w:p>
        </w:tc>
        <w:tc>
          <w:tcPr>
            <w:tcW w:w="1180" w:type="dxa"/>
            <w:vAlign w:val="bottom"/>
            <w:tcBorders>
              <w:top w:val="single" w:sz="8" w:color="CC092F"/>
            </w:tcBorders>
          </w:tcPr>
          <w:p>
            <w:pPr>
              <w:jc w:val="right"/>
              <w:ind w:right="12"/>
              <w:spacing w:after="0"/>
              <w:rPr>
                <w:sz w:val="20"/>
                <w:szCs w:val="20"/>
                <w:color w:val="auto"/>
              </w:rPr>
            </w:pPr>
            <w:r>
              <w:rPr>
                <w:rFonts w:ascii="Arial" w:cs="Arial" w:eastAsia="Arial" w:hAnsi="Arial"/>
                <w:sz w:val="18"/>
                <w:szCs w:val="18"/>
                <w:color w:val="242424"/>
              </w:rPr>
              <w:t>225,662</w:t>
            </w:r>
          </w:p>
        </w:tc>
        <w:tc>
          <w:tcPr>
            <w:tcW w:w="480" w:type="dxa"/>
            <w:vAlign w:val="bottom"/>
            <w:tcBorders>
              <w:top w:val="single" w:sz="8" w:color="CC092F"/>
            </w:tcBorders>
          </w:tcPr>
          <w:p>
            <w:pPr>
              <w:jc w:val="right"/>
              <w:ind w:right="192"/>
              <w:spacing w:after="0"/>
              <w:rPr>
                <w:sz w:val="20"/>
                <w:szCs w:val="20"/>
                <w:color w:val="auto"/>
              </w:rPr>
            </w:pPr>
            <w:r>
              <w:rPr>
                <w:rFonts w:ascii="Arial" w:cs="Arial" w:eastAsia="Arial" w:hAnsi="Arial"/>
                <w:sz w:val="18"/>
                <w:szCs w:val="18"/>
                <w:color w:val="242424"/>
              </w:rPr>
              <w:t>$</w:t>
            </w:r>
          </w:p>
        </w:tc>
        <w:tc>
          <w:tcPr>
            <w:tcW w:w="1360" w:type="dxa"/>
            <w:vAlign w:val="bottom"/>
            <w:tcBorders>
              <w:top w:val="single" w:sz="8" w:color="CC092F"/>
            </w:tcBorders>
          </w:tcPr>
          <w:p>
            <w:pPr>
              <w:jc w:val="right"/>
              <w:ind w:right="92"/>
              <w:spacing w:after="0"/>
              <w:rPr>
                <w:sz w:val="20"/>
                <w:szCs w:val="20"/>
                <w:color w:val="auto"/>
              </w:rPr>
            </w:pPr>
            <w:r>
              <w:rPr>
                <w:rFonts w:ascii="Arial" w:cs="Arial" w:eastAsia="Arial" w:hAnsi="Arial"/>
                <w:sz w:val="18"/>
                <w:szCs w:val="18"/>
                <w:color w:val="242424"/>
              </w:rPr>
              <w:t>325,662</w:t>
            </w:r>
          </w:p>
        </w:tc>
        <w:tc>
          <w:tcPr>
            <w:tcW w:w="0" w:type="dxa"/>
            <w:vAlign w:val="bottom"/>
          </w:tcPr>
          <w:p>
            <w:pPr>
              <w:spacing w:after="0"/>
              <w:rPr>
                <w:sz w:val="1"/>
                <w:szCs w:val="1"/>
                <w:color w:val="auto"/>
              </w:rPr>
            </w:pPr>
          </w:p>
        </w:tc>
      </w:tr>
      <w:tr>
        <w:trPr>
          <w:trHeight w:val="226"/>
        </w:trPr>
        <w:tc>
          <w:tcPr>
            <w:tcW w:w="3760" w:type="dxa"/>
            <w:vAlign w:val="bottom"/>
            <w:shd w:val="clear" w:color="auto" w:fill="EAEAEA"/>
          </w:tcPr>
          <w:p>
            <w:pPr>
              <w:ind w:left="20"/>
              <w:spacing w:after="0"/>
              <w:rPr>
                <w:sz w:val="20"/>
                <w:szCs w:val="20"/>
                <w:color w:val="auto"/>
              </w:rPr>
            </w:pPr>
            <w:r>
              <w:rPr>
                <w:rFonts w:ascii="Arial" w:cs="Arial" w:eastAsia="Arial" w:hAnsi="Arial"/>
                <w:sz w:val="18"/>
                <w:szCs w:val="18"/>
                <w:color w:val="242424"/>
              </w:rPr>
              <w:t>Gayla J. Delly</w:t>
            </w:r>
          </w:p>
        </w:tc>
        <w:tc>
          <w:tcPr>
            <w:tcW w:w="2320" w:type="dxa"/>
            <w:vAlign w:val="bottom"/>
            <w:shd w:val="clear" w:color="auto" w:fill="EAEAEA"/>
          </w:tcPr>
          <w:p>
            <w:pPr>
              <w:jc w:val="right"/>
              <w:spacing w:after="0"/>
              <w:rPr>
                <w:sz w:val="20"/>
                <w:szCs w:val="20"/>
                <w:color w:val="auto"/>
              </w:rPr>
            </w:pPr>
            <w:r>
              <w:rPr>
                <w:rFonts w:ascii="Arial" w:cs="Arial" w:eastAsia="Arial" w:hAnsi="Arial"/>
                <w:sz w:val="18"/>
                <w:szCs w:val="18"/>
                <w:color w:val="242424"/>
              </w:rPr>
              <w:t>$</w:t>
            </w:r>
          </w:p>
        </w:tc>
        <w:tc>
          <w:tcPr>
            <w:tcW w:w="1600" w:type="dxa"/>
            <w:vAlign w:val="bottom"/>
            <w:shd w:val="clear" w:color="auto" w:fill="EAEAEA"/>
          </w:tcPr>
          <w:p>
            <w:pPr>
              <w:jc w:val="right"/>
              <w:ind w:right="12"/>
              <w:spacing w:after="0"/>
              <w:rPr>
                <w:sz w:val="20"/>
                <w:szCs w:val="20"/>
                <w:color w:val="auto"/>
              </w:rPr>
            </w:pPr>
            <w:r>
              <w:rPr>
                <w:rFonts w:ascii="Arial" w:cs="Arial" w:eastAsia="Arial" w:hAnsi="Arial"/>
                <w:sz w:val="18"/>
                <w:szCs w:val="18"/>
                <w:color w:val="242424"/>
              </w:rPr>
              <w:t>115,000</w:t>
            </w:r>
          </w:p>
        </w:tc>
        <w:tc>
          <w:tcPr>
            <w:tcW w:w="320" w:type="dxa"/>
            <w:vAlign w:val="bottom"/>
            <w:shd w:val="clear" w:color="auto" w:fill="EAEAEA"/>
          </w:tcPr>
          <w:p>
            <w:pPr>
              <w:jc w:val="right"/>
              <w:ind w:right="32"/>
              <w:spacing w:after="0"/>
              <w:rPr>
                <w:sz w:val="20"/>
                <w:szCs w:val="20"/>
                <w:color w:val="auto"/>
              </w:rPr>
            </w:pPr>
            <w:r>
              <w:rPr>
                <w:rFonts w:ascii="Arial" w:cs="Arial" w:eastAsia="Arial" w:hAnsi="Arial"/>
                <w:sz w:val="18"/>
                <w:szCs w:val="18"/>
                <w:color w:val="242424"/>
              </w:rPr>
              <w:t>$</w:t>
            </w:r>
          </w:p>
        </w:tc>
        <w:tc>
          <w:tcPr>
            <w:tcW w:w="1180" w:type="dxa"/>
            <w:vAlign w:val="bottom"/>
            <w:shd w:val="clear" w:color="auto" w:fill="EAEAEA"/>
          </w:tcPr>
          <w:p>
            <w:pPr>
              <w:jc w:val="right"/>
              <w:ind w:right="12"/>
              <w:spacing w:after="0"/>
              <w:rPr>
                <w:sz w:val="20"/>
                <w:szCs w:val="20"/>
                <w:color w:val="auto"/>
              </w:rPr>
            </w:pPr>
            <w:r>
              <w:rPr>
                <w:rFonts w:ascii="Arial" w:cs="Arial" w:eastAsia="Arial" w:hAnsi="Arial"/>
                <w:sz w:val="18"/>
                <w:szCs w:val="18"/>
                <w:color w:val="242424"/>
              </w:rPr>
              <w:t>225,662</w:t>
            </w:r>
          </w:p>
        </w:tc>
        <w:tc>
          <w:tcPr>
            <w:tcW w:w="480" w:type="dxa"/>
            <w:vAlign w:val="bottom"/>
            <w:shd w:val="clear" w:color="auto" w:fill="EAEAEA"/>
          </w:tcPr>
          <w:p>
            <w:pPr>
              <w:jc w:val="right"/>
              <w:ind w:right="192"/>
              <w:spacing w:after="0"/>
              <w:rPr>
                <w:sz w:val="20"/>
                <w:szCs w:val="20"/>
                <w:color w:val="auto"/>
              </w:rPr>
            </w:pPr>
            <w:r>
              <w:rPr>
                <w:rFonts w:ascii="Arial" w:cs="Arial" w:eastAsia="Arial" w:hAnsi="Arial"/>
                <w:sz w:val="18"/>
                <w:szCs w:val="18"/>
                <w:color w:val="242424"/>
              </w:rPr>
              <w:t>$</w:t>
            </w:r>
          </w:p>
        </w:tc>
        <w:tc>
          <w:tcPr>
            <w:tcW w:w="1360" w:type="dxa"/>
            <w:vAlign w:val="bottom"/>
            <w:shd w:val="clear" w:color="auto" w:fill="EAEAEA"/>
          </w:tcPr>
          <w:p>
            <w:pPr>
              <w:jc w:val="right"/>
              <w:ind w:right="92"/>
              <w:spacing w:after="0"/>
              <w:rPr>
                <w:sz w:val="20"/>
                <w:szCs w:val="20"/>
                <w:color w:val="auto"/>
              </w:rPr>
            </w:pPr>
            <w:r>
              <w:rPr>
                <w:rFonts w:ascii="Arial" w:cs="Arial" w:eastAsia="Arial" w:hAnsi="Arial"/>
                <w:sz w:val="18"/>
                <w:szCs w:val="18"/>
                <w:color w:val="242424"/>
              </w:rPr>
              <w:t>340,662</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242424"/>
              </w:rPr>
              <w:t>Raul J. Fernandez</w:t>
            </w:r>
          </w:p>
        </w:tc>
        <w:tc>
          <w:tcPr>
            <w:tcW w:w="2320" w:type="dxa"/>
            <w:vAlign w:val="bottom"/>
          </w:tcPr>
          <w:p>
            <w:pPr>
              <w:jc w:val="right"/>
              <w:spacing w:after="0"/>
              <w:rPr>
                <w:sz w:val="20"/>
                <w:szCs w:val="20"/>
                <w:color w:val="auto"/>
              </w:rPr>
            </w:pPr>
            <w:r>
              <w:rPr>
                <w:rFonts w:ascii="Arial" w:cs="Arial" w:eastAsia="Arial" w:hAnsi="Arial"/>
                <w:sz w:val="18"/>
                <w:szCs w:val="18"/>
                <w:color w:val="242424"/>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242424"/>
              </w:rPr>
              <w:t>115,000</w:t>
            </w:r>
          </w:p>
        </w:tc>
        <w:tc>
          <w:tcPr>
            <w:tcW w:w="320" w:type="dxa"/>
            <w:vAlign w:val="bottom"/>
          </w:tcPr>
          <w:p>
            <w:pPr>
              <w:jc w:val="right"/>
              <w:ind w:right="32"/>
              <w:spacing w:after="0"/>
              <w:rPr>
                <w:sz w:val="20"/>
                <w:szCs w:val="20"/>
                <w:color w:val="auto"/>
              </w:rPr>
            </w:pPr>
            <w:r>
              <w:rPr>
                <w:rFonts w:ascii="Arial" w:cs="Arial" w:eastAsia="Arial" w:hAnsi="Arial"/>
                <w:sz w:val="18"/>
                <w:szCs w:val="18"/>
                <w:color w:val="242424"/>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242424"/>
              </w:rPr>
              <w:t>225,662</w:t>
            </w:r>
          </w:p>
        </w:tc>
        <w:tc>
          <w:tcPr>
            <w:tcW w:w="480" w:type="dxa"/>
            <w:vAlign w:val="bottom"/>
          </w:tcPr>
          <w:p>
            <w:pPr>
              <w:jc w:val="right"/>
              <w:ind w:right="192"/>
              <w:spacing w:after="0"/>
              <w:rPr>
                <w:sz w:val="20"/>
                <w:szCs w:val="20"/>
                <w:color w:val="auto"/>
              </w:rPr>
            </w:pPr>
            <w:r>
              <w:rPr>
                <w:rFonts w:ascii="Arial" w:cs="Arial" w:eastAsia="Arial" w:hAnsi="Arial"/>
                <w:sz w:val="18"/>
                <w:szCs w:val="18"/>
                <w:color w:val="242424"/>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242424"/>
              </w:rPr>
              <w:t>340,662</w:t>
            </w:r>
          </w:p>
        </w:tc>
        <w:tc>
          <w:tcPr>
            <w:tcW w:w="0" w:type="dxa"/>
            <w:vAlign w:val="bottom"/>
          </w:tcPr>
          <w:p>
            <w:pPr>
              <w:spacing w:after="0"/>
              <w:rPr>
                <w:sz w:val="1"/>
                <w:szCs w:val="1"/>
                <w:color w:val="auto"/>
              </w:rPr>
            </w:pPr>
          </w:p>
        </w:tc>
      </w:tr>
      <w:tr>
        <w:trPr>
          <w:trHeight w:val="226"/>
        </w:trPr>
        <w:tc>
          <w:tcPr>
            <w:tcW w:w="3760" w:type="dxa"/>
            <w:vAlign w:val="bottom"/>
            <w:shd w:val="clear" w:color="auto" w:fill="EAEAEA"/>
          </w:tcPr>
          <w:p>
            <w:pPr>
              <w:ind w:left="20"/>
              <w:spacing w:after="0"/>
              <w:rPr>
                <w:sz w:val="20"/>
                <w:szCs w:val="20"/>
                <w:color w:val="auto"/>
              </w:rPr>
            </w:pPr>
            <w:r>
              <w:rPr>
                <w:rFonts w:ascii="Arial" w:cs="Arial" w:eastAsia="Arial" w:hAnsi="Arial"/>
                <w:sz w:val="18"/>
                <w:szCs w:val="18"/>
                <w:color w:val="242424"/>
              </w:rPr>
              <w:t>Eddy W. Hartenstein</w:t>
            </w:r>
          </w:p>
        </w:tc>
        <w:tc>
          <w:tcPr>
            <w:tcW w:w="2320" w:type="dxa"/>
            <w:vAlign w:val="bottom"/>
            <w:shd w:val="clear" w:color="auto" w:fill="EAEAEA"/>
          </w:tcPr>
          <w:p>
            <w:pPr>
              <w:jc w:val="right"/>
              <w:spacing w:after="0"/>
              <w:rPr>
                <w:sz w:val="20"/>
                <w:szCs w:val="20"/>
                <w:color w:val="auto"/>
              </w:rPr>
            </w:pPr>
            <w:r>
              <w:rPr>
                <w:rFonts w:ascii="Arial" w:cs="Arial" w:eastAsia="Arial" w:hAnsi="Arial"/>
                <w:sz w:val="18"/>
                <w:szCs w:val="18"/>
                <w:color w:val="242424"/>
              </w:rPr>
              <w:t>$</w:t>
            </w:r>
          </w:p>
        </w:tc>
        <w:tc>
          <w:tcPr>
            <w:tcW w:w="1600" w:type="dxa"/>
            <w:vAlign w:val="bottom"/>
            <w:shd w:val="clear" w:color="auto" w:fill="EAEAEA"/>
          </w:tcPr>
          <w:p>
            <w:pPr>
              <w:jc w:val="right"/>
              <w:ind w:right="12"/>
              <w:spacing w:after="0"/>
              <w:rPr>
                <w:sz w:val="20"/>
                <w:szCs w:val="20"/>
                <w:color w:val="auto"/>
              </w:rPr>
            </w:pPr>
            <w:r>
              <w:rPr>
                <w:rFonts w:ascii="Arial" w:cs="Arial" w:eastAsia="Arial" w:hAnsi="Arial"/>
                <w:sz w:val="18"/>
                <w:szCs w:val="18"/>
                <w:color w:val="242424"/>
              </w:rPr>
              <w:t>232,500</w:t>
            </w:r>
          </w:p>
        </w:tc>
        <w:tc>
          <w:tcPr>
            <w:tcW w:w="320" w:type="dxa"/>
            <w:vAlign w:val="bottom"/>
            <w:shd w:val="clear" w:color="auto" w:fill="EAEAEA"/>
          </w:tcPr>
          <w:p>
            <w:pPr>
              <w:jc w:val="right"/>
              <w:ind w:right="32"/>
              <w:spacing w:after="0"/>
              <w:rPr>
                <w:sz w:val="20"/>
                <w:szCs w:val="20"/>
                <w:color w:val="auto"/>
              </w:rPr>
            </w:pPr>
            <w:r>
              <w:rPr>
                <w:rFonts w:ascii="Arial" w:cs="Arial" w:eastAsia="Arial" w:hAnsi="Arial"/>
                <w:sz w:val="18"/>
                <w:szCs w:val="18"/>
                <w:color w:val="242424"/>
              </w:rPr>
              <w:t>$</w:t>
            </w:r>
          </w:p>
        </w:tc>
        <w:tc>
          <w:tcPr>
            <w:tcW w:w="1180" w:type="dxa"/>
            <w:vAlign w:val="bottom"/>
            <w:shd w:val="clear" w:color="auto" w:fill="EAEAEA"/>
          </w:tcPr>
          <w:p>
            <w:pPr>
              <w:jc w:val="right"/>
              <w:ind w:right="12"/>
              <w:spacing w:after="0"/>
              <w:rPr>
                <w:sz w:val="20"/>
                <w:szCs w:val="20"/>
                <w:color w:val="auto"/>
              </w:rPr>
            </w:pPr>
            <w:r>
              <w:rPr>
                <w:rFonts w:ascii="Arial" w:cs="Arial" w:eastAsia="Arial" w:hAnsi="Arial"/>
                <w:sz w:val="18"/>
                <w:szCs w:val="18"/>
                <w:color w:val="242424"/>
              </w:rPr>
              <w:t>225,662</w:t>
            </w:r>
          </w:p>
        </w:tc>
        <w:tc>
          <w:tcPr>
            <w:tcW w:w="480" w:type="dxa"/>
            <w:vAlign w:val="bottom"/>
            <w:shd w:val="clear" w:color="auto" w:fill="EAEAEA"/>
          </w:tcPr>
          <w:p>
            <w:pPr>
              <w:jc w:val="right"/>
              <w:ind w:right="192"/>
              <w:spacing w:after="0"/>
              <w:rPr>
                <w:sz w:val="20"/>
                <w:szCs w:val="20"/>
                <w:color w:val="auto"/>
              </w:rPr>
            </w:pPr>
            <w:r>
              <w:rPr>
                <w:rFonts w:ascii="Arial" w:cs="Arial" w:eastAsia="Arial" w:hAnsi="Arial"/>
                <w:sz w:val="18"/>
                <w:szCs w:val="18"/>
                <w:color w:val="242424"/>
              </w:rPr>
              <w:t>$</w:t>
            </w:r>
          </w:p>
        </w:tc>
        <w:tc>
          <w:tcPr>
            <w:tcW w:w="1360" w:type="dxa"/>
            <w:vAlign w:val="bottom"/>
            <w:shd w:val="clear" w:color="auto" w:fill="EAEAEA"/>
          </w:tcPr>
          <w:p>
            <w:pPr>
              <w:jc w:val="right"/>
              <w:ind w:right="92"/>
              <w:spacing w:after="0"/>
              <w:rPr>
                <w:sz w:val="20"/>
                <w:szCs w:val="20"/>
                <w:color w:val="auto"/>
              </w:rPr>
            </w:pPr>
            <w:r>
              <w:rPr>
                <w:rFonts w:ascii="Arial" w:cs="Arial" w:eastAsia="Arial" w:hAnsi="Arial"/>
                <w:sz w:val="18"/>
                <w:szCs w:val="18"/>
                <w:color w:val="242424"/>
              </w:rPr>
              <w:t>458,162</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242424"/>
              </w:rPr>
              <w:t>Check Kian Low</w:t>
            </w:r>
          </w:p>
        </w:tc>
        <w:tc>
          <w:tcPr>
            <w:tcW w:w="2320" w:type="dxa"/>
            <w:vAlign w:val="bottom"/>
          </w:tcPr>
          <w:p>
            <w:pPr>
              <w:jc w:val="right"/>
              <w:spacing w:after="0"/>
              <w:rPr>
                <w:sz w:val="20"/>
                <w:szCs w:val="20"/>
                <w:color w:val="auto"/>
              </w:rPr>
            </w:pPr>
            <w:r>
              <w:rPr>
                <w:rFonts w:ascii="Arial" w:cs="Arial" w:eastAsia="Arial" w:hAnsi="Arial"/>
                <w:sz w:val="18"/>
                <w:szCs w:val="18"/>
                <w:color w:val="242424"/>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242424"/>
              </w:rPr>
              <w:t>110,000</w:t>
            </w:r>
          </w:p>
        </w:tc>
        <w:tc>
          <w:tcPr>
            <w:tcW w:w="320" w:type="dxa"/>
            <w:vAlign w:val="bottom"/>
          </w:tcPr>
          <w:p>
            <w:pPr>
              <w:jc w:val="right"/>
              <w:ind w:right="32"/>
              <w:spacing w:after="0"/>
              <w:rPr>
                <w:sz w:val="20"/>
                <w:szCs w:val="20"/>
                <w:color w:val="auto"/>
              </w:rPr>
            </w:pPr>
            <w:r>
              <w:rPr>
                <w:rFonts w:ascii="Arial" w:cs="Arial" w:eastAsia="Arial" w:hAnsi="Arial"/>
                <w:sz w:val="18"/>
                <w:szCs w:val="18"/>
                <w:color w:val="242424"/>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242424"/>
              </w:rPr>
              <w:t>225,662</w:t>
            </w:r>
          </w:p>
        </w:tc>
        <w:tc>
          <w:tcPr>
            <w:tcW w:w="480" w:type="dxa"/>
            <w:vAlign w:val="bottom"/>
          </w:tcPr>
          <w:p>
            <w:pPr>
              <w:jc w:val="right"/>
              <w:ind w:right="192"/>
              <w:spacing w:after="0"/>
              <w:rPr>
                <w:sz w:val="20"/>
                <w:szCs w:val="20"/>
                <w:color w:val="auto"/>
              </w:rPr>
            </w:pPr>
            <w:r>
              <w:rPr>
                <w:rFonts w:ascii="Arial" w:cs="Arial" w:eastAsia="Arial" w:hAnsi="Arial"/>
                <w:sz w:val="18"/>
                <w:szCs w:val="18"/>
                <w:color w:val="242424"/>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242424"/>
              </w:rPr>
              <w:t>335,662</w:t>
            </w:r>
          </w:p>
        </w:tc>
        <w:tc>
          <w:tcPr>
            <w:tcW w:w="0" w:type="dxa"/>
            <w:vAlign w:val="bottom"/>
          </w:tcPr>
          <w:p>
            <w:pPr>
              <w:spacing w:after="0"/>
              <w:rPr>
                <w:sz w:val="1"/>
                <w:szCs w:val="1"/>
                <w:color w:val="auto"/>
              </w:rPr>
            </w:pPr>
          </w:p>
        </w:tc>
      </w:tr>
      <w:tr>
        <w:trPr>
          <w:trHeight w:val="226"/>
        </w:trPr>
        <w:tc>
          <w:tcPr>
            <w:tcW w:w="3760" w:type="dxa"/>
            <w:vAlign w:val="bottom"/>
            <w:shd w:val="clear" w:color="auto" w:fill="EAEAEA"/>
          </w:tcPr>
          <w:p>
            <w:pPr>
              <w:ind w:left="20"/>
              <w:spacing w:after="0"/>
              <w:rPr>
                <w:sz w:val="20"/>
                <w:szCs w:val="20"/>
                <w:color w:val="auto"/>
              </w:rPr>
            </w:pPr>
            <w:r>
              <w:rPr>
                <w:rFonts w:ascii="Arial" w:cs="Arial" w:eastAsia="Arial" w:hAnsi="Arial"/>
                <w:sz w:val="18"/>
                <w:szCs w:val="18"/>
                <w:color w:val="242424"/>
              </w:rPr>
              <w:t>Justine F. Page</w:t>
            </w:r>
          </w:p>
        </w:tc>
        <w:tc>
          <w:tcPr>
            <w:tcW w:w="2320" w:type="dxa"/>
            <w:vAlign w:val="bottom"/>
            <w:shd w:val="clear" w:color="auto" w:fill="EAEAEA"/>
          </w:tcPr>
          <w:p>
            <w:pPr>
              <w:jc w:val="right"/>
              <w:spacing w:after="0"/>
              <w:rPr>
                <w:sz w:val="20"/>
                <w:szCs w:val="20"/>
                <w:color w:val="auto"/>
              </w:rPr>
            </w:pPr>
            <w:r>
              <w:rPr>
                <w:rFonts w:ascii="Arial" w:cs="Arial" w:eastAsia="Arial" w:hAnsi="Arial"/>
                <w:sz w:val="18"/>
                <w:szCs w:val="18"/>
                <w:color w:val="242424"/>
              </w:rPr>
              <w:t>$</w:t>
            </w:r>
          </w:p>
        </w:tc>
        <w:tc>
          <w:tcPr>
            <w:tcW w:w="1600" w:type="dxa"/>
            <w:vAlign w:val="bottom"/>
            <w:shd w:val="clear" w:color="auto" w:fill="EAEAEA"/>
          </w:tcPr>
          <w:p>
            <w:pPr>
              <w:jc w:val="right"/>
              <w:ind w:right="12"/>
              <w:spacing w:after="0"/>
              <w:rPr>
                <w:sz w:val="20"/>
                <w:szCs w:val="20"/>
                <w:color w:val="auto"/>
              </w:rPr>
            </w:pPr>
            <w:r>
              <w:rPr>
                <w:rFonts w:ascii="Arial" w:cs="Arial" w:eastAsia="Arial" w:hAnsi="Arial"/>
                <w:sz w:val="18"/>
                <w:szCs w:val="18"/>
                <w:color w:val="242424"/>
              </w:rPr>
              <w:t>130,000</w:t>
            </w:r>
          </w:p>
        </w:tc>
        <w:tc>
          <w:tcPr>
            <w:tcW w:w="320" w:type="dxa"/>
            <w:vAlign w:val="bottom"/>
            <w:shd w:val="clear" w:color="auto" w:fill="EAEAEA"/>
          </w:tcPr>
          <w:p>
            <w:pPr>
              <w:jc w:val="right"/>
              <w:ind w:right="32"/>
              <w:spacing w:after="0"/>
              <w:rPr>
                <w:sz w:val="20"/>
                <w:szCs w:val="20"/>
                <w:color w:val="auto"/>
              </w:rPr>
            </w:pPr>
            <w:r>
              <w:rPr>
                <w:rFonts w:ascii="Arial" w:cs="Arial" w:eastAsia="Arial" w:hAnsi="Arial"/>
                <w:sz w:val="18"/>
                <w:szCs w:val="18"/>
                <w:color w:val="242424"/>
              </w:rPr>
              <w:t>$</w:t>
            </w:r>
          </w:p>
        </w:tc>
        <w:tc>
          <w:tcPr>
            <w:tcW w:w="1180" w:type="dxa"/>
            <w:vAlign w:val="bottom"/>
            <w:shd w:val="clear" w:color="auto" w:fill="EAEAEA"/>
          </w:tcPr>
          <w:p>
            <w:pPr>
              <w:jc w:val="right"/>
              <w:ind w:right="12"/>
              <w:spacing w:after="0"/>
              <w:rPr>
                <w:sz w:val="20"/>
                <w:szCs w:val="20"/>
                <w:color w:val="auto"/>
              </w:rPr>
            </w:pPr>
            <w:r>
              <w:rPr>
                <w:rFonts w:ascii="Arial" w:cs="Arial" w:eastAsia="Arial" w:hAnsi="Arial"/>
                <w:sz w:val="18"/>
                <w:szCs w:val="18"/>
                <w:color w:val="242424"/>
              </w:rPr>
              <w:t>225,662</w:t>
            </w:r>
          </w:p>
        </w:tc>
        <w:tc>
          <w:tcPr>
            <w:tcW w:w="480" w:type="dxa"/>
            <w:vAlign w:val="bottom"/>
            <w:shd w:val="clear" w:color="auto" w:fill="EAEAEA"/>
          </w:tcPr>
          <w:p>
            <w:pPr>
              <w:jc w:val="right"/>
              <w:ind w:right="192"/>
              <w:spacing w:after="0"/>
              <w:rPr>
                <w:sz w:val="20"/>
                <w:szCs w:val="20"/>
                <w:color w:val="auto"/>
              </w:rPr>
            </w:pPr>
            <w:r>
              <w:rPr>
                <w:rFonts w:ascii="Arial" w:cs="Arial" w:eastAsia="Arial" w:hAnsi="Arial"/>
                <w:sz w:val="18"/>
                <w:szCs w:val="18"/>
                <w:color w:val="242424"/>
              </w:rPr>
              <w:t>$</w:t>
            </w:r>
          </w:p>
        </w:tc>
        <w:tc>
          <w:tcPr>
            <w:tcW w:w="1360" w:type="dxa"/>
            <w:vAlign w:val="bottom"/>
            <w:shd w:val="clear" w:color="auto" w:fill="EAEAEA"/>
          </w:tcPr>
          <w:p>
            <w:pPr>
              <w:jc w:val="right"/>
              <w:ind w:right="92"/>
              <w:spacing w:after="0"/>
              <w:rPr>
                <w:sz w:val="20"/>
                <w:szCs w:val="20"/>
                <w:color w:val="auto"/>
              </w:rPr>
            </w:pPr>
            <w:r>
              <w:rPr>
                <w:rFonts w:ascii="Arial" w:cs="Arial" w:eastAsia="Arial" w:hAnsi="Arial"/>
                <w:sz w:val="18"/>
                <w:szCs w:val="18"/>
                <w:color w:val="242424"/>
              </w:rPr>
              <w:t>355,662</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Arial" w:cs="Arial" w:eastAsia="Arial" w:hAnsi="Arial"/>
                <w:sz w:val="18"/>
                <w:szCs w:val="18"/>
                <w:color w:val="242424"/>
              </w:rPr>
              <w:t>Harry L. You</w:t>
            </w:r>
          </w:p>
        </w:tc>
        <w:tc>
          <w:tcPr>
            <w:tcW w:w="2320" w:type="dxa"/>
            <w:vAlign w:val="bottom"/>
          </w:tcPr>
          <w:p>
            <w:pPr>
              <w:jc w:val="right"/>
              <w:spacing w:after="0"/>
              <w:rPr>
                <w:sz w:val="20"/>
                <w:szCs w:val="20"/>
                <w:color w:val="auto"/>
              </w:rPr>
            </w:pPr>
            <w:r>
              <w:rPr>
                <w:rFonts w:ascii="Arial" w:cs="Arial" w:eastAsia="Arial" w:hAnsi="Arial"/>
                <w:sz w:val="18"/>
                <w:szCs w:val="18"/>
                <w:color w:val="242424"/>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242424"/>
              </w:rPr>
              <w:t>115,000</w:t>
            </w:r>
          </w:p>
        </w:tc>
        <w:tc>
          <w:tcPr>
            <w:tcW w:w="320" w:type="dxa"/>
            <w:vAlign w:val="bottom"/>
          </w:tcPr>
          <w:p>
            <w:pPr>
              <w:jc w:val="right"/>
              <w:ind w:right="32"/>
              <w:spacing w:after="0"/>
              <w:rPr>
                <w:sz w:val="20"/>
                <w:szCs w:val="20"/>
                <w:color w:val="auto"/>
              </w:rPr>
            </w:pPr>
            <w:r>
              <w:rPr>
                <w:rFonts w:ascii="Arial" w:cs="Arial" w:eastAsia="Arial" w:hAnsi="Arial"/>
                <w:sz w:val="18"/>
                <w:szCs w:val="18"/>
                <w:color w:val="242424"/>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242424"/>
              </w:rPr>
              <w:t>225,662</w:t>
            </w:r>
          </w:p>
        </w:tc>
        <w:tc>
          <w:tcPr>
            <w:tcW w:w="480" w:type="dxa"/>
            <w:vAlign w:val="bottom"/>
          </w:tcPr>
          <w:p>
            <w:pPr>
              <w:jc w:val="right"/>
              <w:ind w:right="192"/>
              <w:spacing w:after="0"/>
              <w:rPr>
                <w:sz w:val="20"/>
                <w:szCs w:val="20"/>
                <w:color w:val="auto"/>
              </w:rPr>
            </w:pPr>
            <w:r>
              <w:rPr>
                <w:rFonts w:ascii="Arial" w:cs="Arial" w:eastAsia="Arial" w:hAnsi="Arial"/>
                <w:sz w:val="18"/>
                <w:szCs w:val="18"/>
                <w:color w:val="242424"/>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242424"/>
              </w:rPr>
              <w:t>340,662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143510</wp:posOffset>
            </wp:positionV>
            <wp:extent cx="1993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77" w:lineRule="exact"/>
        <w:rPr>
          <w:sz w:val="20"/>
          <w:szCs w:val="20"/>
          <w:color w:val="auto"/>
        </w:rPr>
      </w:pPr>
    </w:p>
    <w:p>
      <w:pPr>
        <w:ind w:left="480" w:right="40" w:hanging="315"/>
        <w:spacing w:after="0"/>
        <w:tabs>
          <w:tab w:leader="none" w:pos="491" w:val="left"/>
        </w:tabs>
        <w:numPr>
          <w:ilvl w:val="0"/>
          <w:numId w:val="26"/>
        </w:numPr>
        <w:rPr>
          <w:rFonts w:ascii="Arial" w:cs="Arial" w:eastAsia="Arial" w:hAnsi="Arial"/>
          <w:sz w:val="14"/>
          <w:szCs w:val="14"/>
          <w:color w:val="242424"/>
        </w:rPr>
      </w:pPr>
      <w:r>
        <w:rPr>
          <w:rFonts w:ascii="Arial" w:cs="Arial" w:eastAsia="Arial" w:hAnsi="Arial"/>
          <w:sz w:val="14"/>
          <w:szCs w:val="14"/>
          <w:color w:val="242424"/>
        </w:rPr>
        <w:t>Represents the grant date fair value of service-based RSU awards granted in Fiscal Year 2021, determined in accordance with Accounting Standards Codification Topic Number 718 (“ASC 718”), which is the closing market price of Broadcom common stock on the date of grant, reduced by the present value of dividends expected to be paid on Broadcom common stock prior to vesting. The amounts shown represent the grant date fair value of a service-based RSU award for 476 shares of common stock granted to the director on April 5, 2021 following his or her election to our Board. The table below shows the aggregate number of shares of common stock underlying service-based RSUs held by our non-employee directors as of October 31, 2021:</w:t>
      </w:r>
    </w:p>
    <w:p>
      <w:pPr>
        <w:spacing w:after="0" w:line="151" w:lineRule="exact"/>
        <w:rPr>
          <w:sz w:val="20"/>
          <w:szCs w:val="20"/>
          <w:color w:val="auto"/>
        </w:rPr>
      </w:pPr>
    </w:p>
    <w:tbl>
      <w:tblPr>
        <w:tblLayout w:type="fixed"/>
        <w:tblInd w:w="2000" w:type="dxa"/>
        <w:tblCellMar>
          <w:top w:w="0" w:type="dxa"/>
          <w:left w:w="0" w:type="dxa"/>
          <w:bottom w:w="0" w:type="dxa"/>
          <w:right w:w="0" w:type="dxa"/>
        </w:tblCellMar>
      </w:tblPr>
      <w:tr>
        <w:trPr>
          <w:trHeight w:val="172"/>
        </w:trPr>
        <w:tc>
          <w:tcPr>
            <w:tcW w:w="3200" w:type="dxa"/>
            <w:vAlign w:val="bottom"/>
            <w:tcBorders>
              <w:top w:val="single" w:sz="8" w:color="CC092F"/>
            </w:tcBorders>
            <w:vMerge w:val="restart"/>
            <w:shd w:val="clear" w:color="auto" w:fill="B8B8B8"/>
          </w:tcPr>
          <w:p>
            <w:pPr>
              <w:ind w:left="20"/>
              <w:spacing w:after="0"/>
              <w:rPr>
                <w:sz w:val="20"/>
                <w:szCs w:val="20"/>
                <w:color w:val="auto"/>
              </w:rPr>
            </w:pPr>
            <w:r>
              <w:rPr>
                <w:rFonts w:ascii="Arial" w:cs="Arial" w:eastAsia="Arial" w:hAnsi="Arial"/>
                <w:sz w:val="16"/>
                <w:szCs w:val="16"/>
                <w:b w:val="1"/>
                <w:bCs w:val="1"/>
                <w:color w:val="FFFFFF"/>
              </w:rPr>
              <w:t>Name</w:t>
            </w:r>
          </w:p>
        </w:tc>
        <w:tc>
          <w:tcPr>
            <w:tcW w:w="4060" w:type="dxa"/>
            <w:vAlign w:val="bottom"/>
            <w:tcBorders>
              <w:top w:val="single" w:sz="8" w:color="CC092F"/>
            </w:tcBorders>
            <w:shd w:val="clear" w:color="auto" w:fill="B8B8B8"/>
          </w:tcPr>
          <w:p>
            <w:pPr>
              <w:jc w:val="center"/>
              <w:ind w:left="1581"/>
              <w:spacing w:after="0" w:line="172" w:lineRule="exact"/>
              <w:rPr>
                <w:sz w:val="20"/>
                <w:szCs w:val="20"/>
                <w:color w:val="auto"/>
              </w:rPr>
            </w:pPr>
            <w:r>
              <w:rPr>
                <w:rFonts w:ascii="Arial" w:cs="Arial" w:eastAsia="Arial" w:hAnsi="Arial"/>
                <w:sz w:val="16"/>
                <w:szCs w:val="16"/>
                <w:b w:val="1"/>
                <w:bCs w:val="1"/>
                <w:color w:val="FFFFFF"/>
                <w:w w:val="99"/>
              </w:rPr>
              <w:t>Number of Shares Underlying</w:t>
            </w:r>
          </w:p>
        </w:tc>
        <w:tc>
          <w:tcPr>
            <w:tcW w:w="0" w:type="dxa"/>
            <w:vAlign w:val="bottom"/>
          </w:tcPr>
          <w:p>
            <w:pPr>
              <w:spacing w:after="0"/>
              <w:rPr>
                <w:sz w:val="1"/>
                <w:szCs w:val="1"/>
                <w:color w:val="auto"/>
              </w:rPr>
            </w:pPr>
          </w:p>
        </w:tc>
      </w:tr>
      <w:tr>
        <w:trPr>
          <w:trHeight w:val="252"/>
        </w:trPr>
        <w:tc>
          <w:tcPr>
            <w:tcW w:w="3200" w:type="dxa"/>
            <w:vAlign w:val="bottom"/>
            <w:tcBorders>
              <w:bottom w:val="single" w:sz="8" w:color="B8B8B8"/>
            </w:tcBorders>
            <w:vMerge w:val="continue"/>
            <w:shd w:val="clear" w:color="auto" w:fill="B8B8B8"/>
          </w:tcPr>
          <w:p>
            <w:pPr>
              <w:spacing w:after="0"/>
              <w:rPr>
                <w:sz w:val="21"/>
                <w:szCs w:val="21"/>
                <w:color w:val="auto"/>
              </w:rPr>
            </w:pPr>
          </w:p>
        </w:tc>
        <w:tc>
          <w:tcPr>
            <w:tcW w:w="4060" w:type="dxa"/>
            <w:vAlign w:val="bottom"/>
            <w:tcBorders>
              <w:bottom w:val="single" w:sz="8" w:color="B8B8B8"/>
            </w:tcBorders>
            <w:shd w:val="clear" w:color="auto" w:fill="B8B8B8"/>
          </w:tcPr>
          <w:p>
            <w:pPr>
              <w:jc w:val="center"/>
              <w:ind w:left="1601"/>
              <w:spacing w:after="0"/>
              <w:rPr>
                <w:sz w:val="20"/>
                <w:szCs w:val="20"/>
                <w:color w:val="auto"/>
              </w:rPr>
            </w:pPr>
            <w:r>
              <w:rPr>
                <w:rFonts w:ascii="Arial" w:cs="Arial" w:eastAsia="Arial" w:hAnsi="Arial"/>
                <w:sz w:val="16"/>
                <w:szCs w:val="16"/>
                <w:b w:val="1"/>
                <w:bCs w:val="1"/>
                <w:color w:val="FFFFFF"/>
                <w:w w:val="98"/>
              </w:rPr>
              <w:t>RSUs</w:t>
            </w:r>
          </w:p>
        </w:tc>
        <w:tc>
          <w:tcPr>
            <w:tcW w:w="0" w:type="dxa"/>
            <w:vAlign w:val="bottom"/>
          </w:tcPr>
          <w:p>
            <w:pPr>
              <w:spacing w:after="0"/>
              <w:rPr>
                <w:sz w:val="1"/>
                <w:szCs w:val="1"/>
                <w:color w:val="auto"/>
              </w:rPr>
            </w:pPr>
          </w:p>
        </w:tc>
      </w:tr>
      <w:tr>
        <w:trPr>
          <w:trHeight w:val="203"/>
        </w:trPr>
        <w:tc>
          <w:tcPr>
            <w:tcW w:w="3200" w:type="dxa"/>
            <w:vAlign w:val="bottom"/>
            <w:tcBorders>
              <w:top w:val="single" w:sz="8" w:color="CC092F"/>
            </w:tcBorders>
          </w:tcPr>
          <w:p>
            <w:pPr>
              <w:ind w:left="20"/>
              <w:spacing w:after="0"/>
              <w:rPr>
                <w:sz w:val="20"/>
                <w:szCs w:val="20"/>
                <w:color w:val="auto"/>
              </w:rPr>
            </w:pPr>
            <w:r>
              <w:rPr>
                <w:rFonts w:ascii="Arial" w:cs="Arial" w:eastAsia="Arial" w:hAnsi="Arial"/>
                <w:sz w:val="16"/>
                <w:szCs w:val="16"/>
                <w:color w:val="242424"/>
              </w:rPr>
              <w:t>Diane M. Bryant</w:t>
            </w:r>
          </w:p>
        </w:tc>
        <w:tc>
          <w:tcPr>
            <w:tcW w:w="4060" w:type="dxa"/>
            <w:vAlign w:val="bottom"/>
            <w:tcBorders>
              <w:top w:val="single" w:sz="8" w:color="CC092F"/>
            </w:tcBorders>
          </w:tcPr>
          <w:p>
            <w:pPr>
              <w:jc w:val="center"/>
              <w:ind w:left="1581"/>
              <w:spacing w:after="0"/>
              <w:rPr>
                <w:sz w:val="20"/>
                <w:szCs w:val="20"/>
                <w:color w:val="auto"/>
              </w:rPr>
            </w:pPr>
            <w:r>
              <w:rPr>
                <w:rFonts w:ascii="Arial" w:cs="Arial" w:eastAsia="Arial" w:hAnsi="Arial"/>
                <w:sz w:val="16"/>
                <w:szCs w:val="16"/>
                <w:color w:val="242424"/>
              </w:rPr>
              <w:t>476</w:t>
            </w:r>
          </w:p>
        </w:tc>
        <w:tc>
          <w:tcPr>
            <w:tcW w:w="0" w:type="dxa"/>
            <w:vAlign w:val="bottom"/>
          </w:tcPr>
          <w:p>
            <w:pPr>
              <w:spacing w:after="0"/>
              <w:rPr>
                <w:sz w:val="1"/>
                <w:szCs w:val="1"/>
                <w:color w:val="auto"/>
              </w:rPr>
            </w:pPr>
          </w:p>
        </w:tc>
      </w:tr>
      <w:tr>
        <w:trPr>
          <w:trHeight w:val="215"/>
        </w:trPr>
        <w:tc>
          <w:tcPr>
            <w:tcW w:w="320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Gayla J. Delly</w:t>
            </w:r>
          </w:p>
        </w:tc>
        <w:tc>
          <w:tcPr>
            <w:tcW w:w="4060" w:type="dxa"/>
            <w:vAlign w:val="bottom"/>
            <w:shd w:val="clear" w:color="auto" w:fill="EAEAEA"/>
          </w:tcPr>
          <w:p>
            <w:pPr>
              <w:jc w:val="center"/>
              <w:ind w:left="1581"/>
              <w:spacing w:after="0"/>
              <w:rPr>
                <w:sz w:val="20"/>
                <w:szCs w:val="20"/>
                <w:color w:val="auto"/>
              </w:rPr>
            </w:pPr>
            <w:r>
              <w:rPr>
                <w:rFonts w:ascii="Arial" w:cs="Arial" w:eastAsia="Arial" w:hAnsi="Arial"/>
                <w:sz w:val="16"/>
                <w:szCs w:val="16"/>
                <w:color w:val="242424"/>
              </w:rPr>
              <w:t>476</w:t>
            </w:r>
          </w:p>
        </w:tc>
        <w:tc>
          <w:tcPr>
            <w:tcW w:w="0" w:type="dxa"/>
            <w:vAlign w:val="bottom"/>
          </w:tcPr>
          <w:p>
            <w:pPr>
              <w:spacing w:after="0"/>
              <w:rPr>
                <w:sz w:val="1"/>
                <w:szCs w:val="1"/>
                <w:color w:val="auto"/>
              </w:rPr>
            </w:pPr>
          </w:p>
        </w:tc>
      </w:tr>
      <w:tr>
        <w:trPr>
          <w:trHeight w:val="209"/>
        </w:trPr>
        <w:tc>
          <w:tcPr>
            <w:tcW w:w="3200" w:type="dxa"/>
            <w:vAlign w:val="bottom"/>
          </w:tcPr>
          <w:p>
            <w:pPr>
              <w:ind w:left="20"/>
              <w:spacing w:after="0"/>
              <w:rPr>
                <w:sz w:val="20"/>
                <w:szCs w:val="20"/>
                <w:color w:val="auto"/>
              </w:rPr>
            </w:pPr>
            <w:r>
              <w:rPr>
                <w:rFonts w:ascii="Arial" w:cs="Arial" w:eastAsia="Arial" w:hAnsi="Arial"/>
                <w:sz w:val="16"/>
                <w:szCs w:val="16"/>
                <w:color w:val="242424"/>
              </w:rPr>
              <w:t>Raul J. Fernandez</w:t>
            </w:r>
          </w:p>
        </w:tc>
        <w:tc>
          <w:tcPr>
            <w:tcW w:w="4060" w:type="dxa"/>
            <w:vAlign w:val="bottom"/>
          </w:tcPr>
          <w:p>
            <w:pPr>
              <w:jc w:val="center"/>
              <w:ind w:left="1581"/>
              <w:spacing w:after="0"/>
              <w:rPr>
                <w:sz w:val="20"/>
                <w:szCs w:val="20"/>
                <w:color w:val="auto"/>
              </w:rPr>
            </w:pPr>
            <w:r>
              <w:rPr>
                <w:rFonts w:ascii="Arial" w:cs="Arial" w:eastAsia="Arial" w:hAnsi="Arial"/>
                <w:sz w:val="16"/>
                <w:szCs w:val="16"/>
                <w:color w:val="242424"/>
              </w:rPr>
              <w:t>476</w:t>
            </w:r>
          </w:p>
        </w:tc>
        <w:tc>
          <w:tcPr>
            <w:tcW w:w="0" w:type="dxa"/>
            <w:vAlign w:val="bottom"/>
          </w:tcPr>
          <w:p>
            <w:pPr>
              <w:spacing w:after="0"/>
              <w:rPr>
                <w:sz w:val="1"/>
                <w:szCs w:val="1"/>
                <w:color w:val="auto"/>
              </w:rPr>
            </w:pPr>
          </w:p>
        </w:tc>
      </w:tr>
      <w:tr>
        <w:trPr>
          <w:trHeight w:val="215"/>
        </w:trPr>
        <w:tc>
          <w:tcPr>
            <w:tcW w:w="320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Eddy W. Hartenstein</w:t>
            </w:r>
          </w:p>
        </w:tc>
        <w:tc>
          <w:tcPr>
            <w:tcW w:w="4060" w:type="dxa"/>
            <w:vAlign w:val="bottom"/>
            <w:shd w:val="clear" w:color="auto" w:fill="EAEAEA"/>
          </w:tcPr>
          <w:p>
            <w:pPr>
              <w:jc w:val="center"/>
              <w:ind w:left="1581"/>
              <w:spacing w:after="0"/>
              <w:rPr>
                <w:sz w:val="20"/>
                <w:szCs w:val="20"/>
                <w:color w:val="auto"/>
              </w:rPr>
            </w:pPr>
            <w:r>
              <w:rPr>
                <w:rFonts w:ascii="Arial" w:cs="Arial" w:eastAsia="Arial" w:hAnsi="Arial"/>
                <w:sz w:val="16"/>
                <w:szCs w:val="16"/>
                <w:color w:val="242424"/>
              </w:rPr>
              <w:t>476</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Arial" w:cs="Arial" w:eastAsia="Arial" w:hAnsi="Arial"/>
                <w:sz w:val="16"/>
                <w:szCs w:val="16"/>
                <w:color w:val="242424"/>
              </w:rPr>
              <w:t>Check Kian Low</w:t>
            </w:r>
          </w:p>
        </w:tc>
        <w:tc>
          <w:tcPr>
            <w:tcW w:w="4060" w:type="dxa"/>
            <w:vAlign w:val="bottom"/>
          </w:tcPr>
          <w:p>
            <w:pPr>
              <w:jc w:val="center"/>
              <w:ind w:left="1581"/>
              <w:spacing w:after="0"/>
              <w:rPr>
                <w:sz w:val="20"/>
                <w:szCs w:val="20"/>
                <w:color w:val="auto"/>
              </w:rPr>
            </w:pPr>
            <w:r>
              <w:rPr>
                <w:rFonts w:ascii="Arial" w:cs="Arial" w:eastAsia="Arial" w:hAnsi="Arial"/>
                <w:sz w:val="16"/>
                <w:szCs w:val="16"/>
                <w:color w:val="242424"/>
              </w:rPr>
              <w:t>476</w:t>
            </w:r>
          </w:p>
        </w:tc>
        <w:tc>
          <w:tcPr>
            <w:tcW w:w="0" w:type="dxa"/>
            <w:vAlign w:val="bottom"/>
          </w:tcPr>
          <w:p>
            <w:pPr>
              <w:spacing w:after="0"/>
              <w:rPr>
                <w:sz w:val="1"/>
                <w:szCs w:val="1"/>
                <w:color w:val="auto"/>
              </w:rPr>
            </w:pPr>
          </w:p>
        </w:tc>
      </w:tr>
      <w:tr>
        <w:trPr>
          <w:trHeight w:val="228"/>
        </w:trPr>
        <w:tc>
          <w:tcPr>
            <w:tcW w:w="3200" w:type="dxa"/>
            <w:vAlign w:val="bottom"/>
            <w:shd w:val="clear" w:color="auto" w:fill="EAEAEA"/>
          </w:tcPr>
          <w:p>
            <w:pPr>
              <w:ind w:left="20"/>
              <w:spacing w:after="0"/>
              <w:rPr>
                <w:sz w:val="20"/>
                <w:szCs w:val="20"/>
                <w:color w:val="auto"/>
              </w:rPr>
            </w:pPr>
            <w:r>
              <w:rPr>
                <w:rFonts w:ascii="Arial" w:cs="Arial" w:eastAsia="Arial" w:hAnsi="Arial"/>
                <w:sz w:val="18"/>
                <w:szCs w:val="18"/>
                <w:color w:val="242424"/>
              </w:rPr>
              <w:t>Justine F. Page</w:t>
            </w:r>
          </w:p>
        </w:tc>
        <w:tc>
          <w:tcPr>
            <w:tcW w:w="4060" w:type="dxa"/>
            <w:vAlign w:val="bottom"/>
            <w:shd w:val="clear" w:color="auto" w:fill="EAEAEA"/>
          </w:tcPr>
          <w:p>
            <w:pPr>
              <w:jc w:val="center"/>
              <w:ind w:left="1581"/>
              <w:spacing w:after="0"/>
              <w:rPr>
                <w:sz w:val="20"/>
                <w:szCs w:val="20"/>
                <w:color w:val="auto"/>
              </w:rPr>
            </w:pPr>
            <w:r>
              <w:rPr>
                <w:rFonts w:ascii="Arial" w:cs="Arial" w:eastAsia="Arial" w:hAnsi="Arial"/>
                <w:sz w:val="16"/>
                <w:szCs w:val="16"/>
                <w:color w:val="242424"/>
              </w:rPr>
              <w:t>476</w:t>
            </w:r>
          </w:p>
        </w:tc>
        <w:tc>
          <w:tcPr>
            <w:tcW w:w="0" w:type="dxa"/>
            <w:vAlign w:val="bottom"/>
          </w:tcPr>
          <w:p>
            <w:pPr>
              <w:spacing w:after="0"/>
              <w:rPr>
                <w:sz w:val="1"/>
                <w:szCs w:val="1"/>
                <w:color w:val="auto"/>
              </w:rPr>
            </w:pPr>
          </w:p>
        </w:tc>
      </w:tr>
      <w:tr>
        <w:trPr>
          <w:trHeight w:val="207"/>
        </w:trPr>
        <w:tc>
          <w:tcPr>
            <w:tcW w:w="3200" w:type="dxa"/>
            <w:vAlign w:val="bottom"/>
          </w:tcPr>
          <w:p>
            <w:pPr>
              <w:ind w:left="20"/>
              <w:spacing w:after="0"/>
              <w:rPr>
                <w:sz w:val="20"/>
                <w:szCs w:val="20"/>
                <w:color w:val="auto"/>
              </w:rPr>
            </w:pPr>
            <w:r>
              <w:rPr>
                <w:rFonts w:ascii="Arial" w:cs="Arial" w:eastAsia="Arial" w:hAnsi="Arial"/>
                <w:sz w:val="16"/>
                <w:szCs w:val="16"/>
                <w:color w:val="242424"/>
              </w:rPr>
              <w:t>Harry L. You</w:t>
            </w:r>
          </w:p>
        </w:tc>
        <w:tc>
          <w:tcPr>
            <w:tcW w:w="4060" w:type="dxa"/>
            <w:vAlign w:val="bottom"/>
          </w:tcPr>
          <w:p>
            <w:pPr>
              <w:jc w:val="center"/>
              <w:ind w:left="1581"/>
              <w:spacing w:after="0"/>
              <w:rPr>
                <w:sz w:val="20"/>
                <w:szCs w:val="20"/>
                <w:color w:val="auto"/>
              </w:rPr>
            </w:pPr>
            <w:r>
              <w:rPr>
                <w:rFonts w:ascii="Arial" w:cs="Arial" w:eastAsia="Arial" w:hAnsi="Arial"/>
                <w:sz w:val="16"/>
                <w:szCs w:val="16"/>
                <w:color w:val="242424"/>
              </w:rPr>
              <w:t>476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15</w:t>
      </w:r>
    </w:p>
    <w:p>
      <w:pPr>
        <w:sectPr>
          <w:pgSz w:w="11900" w:h="16838" w:orient="portrait"/>
          <w:cols w:equalWidth="0" w:num="1">
            <w:col w:w="11220"/>
          </w:cols>
          <w:pgMar w:left="320" w:top="340" w:right="359" w:bottom="1440" w:gutter="0" w:footer="0" w:header="0"/>
        </w:sectPr>
      </w:pPr>
    </w:p>
    <w:bookmarkStart w:id="18" w:name="page19"/>
    <w:bookmarkEnd w:id="18"/>
    <w:p>
      <w:pPr>
        <w:ind w:left="20"/>
        <w:spacing w:after="0"/>
        <w:rPr>
          <w:sz w:val="20"/>
          <w:szCs w:val="20"/>
          <w:color w:val="auto"/>
        </w:rPr>
      </w:pPr>
      <w:r>
        <w:rPr>
          <w:rFonts w:ascii="Arial" w:cs="Arial" w:eastAsia="Arial" w:hAnsi="Arial"/>
          <w:sz w:val="16"/>
          <w:szCs w:val="16"/>
          <w:color w:val="CC092F"/>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28"/>
          <w:szCs w:val="28"/>
          <w:color w:val="CC092F"/>
        </w:rPr>
        <w:t>PROPOSAL 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CC092F"/>
        </w:rPr>
        <w:t>ELECTION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Director Nominees</w:t>
      </w:r>
    </w:p>
    <w:p>
      <w:pPr>
        <w:spacing w:after="0" w:line="18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242424"/>
        </w:rPr>
        <w:t>Our Board is comprised of nine directors and our directors are elected each year at the annual meeting of stockholders. Upon the recommendation of the NESG Committee, our Board nominated the nine individuals below for election as directors, all of whom are currently directors. Our Board expects that each of the director nominees will be available to serve as a director. Stockholders may not vote their proxies for a greater number of persons than the number of nominees named below.</w:t>
      </w:r>
    </w:p>
    <w:p>
      <w:pPr>
        <w:spacing w:after="0" w:line="155" w:lineRule="exact"/>
        <w:rPr>
          <w:sz w:val="20"/>
          <w:szCs w:val="20"/>
          <w:color w:val="auto"/>
        </w:rPr>
      </w:pPr>
    </w:p>
    <w:p>
      <w:pPr>
        <w:spacing w:after="0" w:line="246" w:lineRule="auto"/>
        <w:rPr>
          <w:sz w:val="20"/>
          <w:szCs w:val="20"/>
          <w:color w:val="auto"/>
        </w:rPr>
      </w:pPr>
      <w:r>
        <w:rPr>
          <w:rFonts w:ascii="Arial" w:cs="Arial" w:eastAsia="Arial" w:hAnsi="Arial"/>
          <w:sz w:val="18"/>
          <w:szCs w:val="18"/>
          <w:color w:val="242424"/>
        </w:rPr>
        <w:t>In the event a director nominee resigns or otherwise becomes unwilling or unable to serve after the mailing of the Internet Notice but before the Annual Meeting, our intention would be to make a public announcement of such resignation and either reduce the size of our Board or appoint a substitute nominee, in accordance with our Amended and Restated Bylaws (the “Bylaws”). If we reduce the size of our Board, this would reduce the number of nominees to be elected at the Annual Meeting. Votes received in respect of such director would not be counted in such circumstances. In the event that we instead propose to elect a substitute nominee at the Annual Meeting to fill any such vacancy, it is intended that the shares represented by the proxy will be voted for such substitute nominee.</w:t>
      </w:r>
    </w:p>
    <w:p>
      <w:pPr>
        <w:spacing w:after="0" w:line="15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242424"/>
        </w:rPr>
        <w:t>Our Board believes that each director nominee has the experience, qualification, personal and professional integrity, and diversity of background and understands our business and industry. After careful consideration, our Board believes that each director nominee has demonstrated the willingness and the ability to dedicate adequate time and attention to fulfill the responsibilities required as a director and that the service with other public companies does not and will not impact service on our Board. We also believe that the director nominees together have the skills and experience to form a board that is well suited to oversee the risks and opportunities facing Broadcom.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242424"/>
        </w:rPr>
        <w:t>The biographical information of each director nominee provided below is as of February 7, 2022.</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Diane M.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025640" cy="168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5640" cy="16827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242424"/>
        </w:rPr>
        <w:t>Independent Director</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242424"/>
        </w:rPr>
        <w:t>Director since 2019</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242424"/>
        </w:rPr>
        <w:t>Board Committees:</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8"/>
          <w:szCs w:val="18"/>
          <w:color w:val="242424"/>
        </w:rPr>
        <w:t>• Compensation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242424"/>
        </w:rPr>
        <w:t>Ms. Bryant has served as Chief Executive Officer of NovaSignal Corp. since January 2020. She was Chief Operating Officer of Google Cloud (cloud computing services) from December 2017 to July 2018. Prior to Google Cloud, she held several executive leadership positions at Intel Corporation, including as Group President in 2017 and Executive Vice President and General Manager from January 2012 to July 2017 of the Data Center Group, the worldwide organization that develops server, storage and network platforms for the digital services economy, and Corporate Vice President and Chief Information Officer from 2008 to 2012. She also serves on the Chancellor’s Board of Advisors at the University of California at Davis.</w:t>
      </w:r>
    </w:p>
    <w:p>
      <w:pPr>
        <w:spacing w:after="0" w:line="64" w:lineRule="exact"/>
        <w:rPr>
          <w:sz w:val="20"/>
          <w:szCs w:val="20"/>
          <w:color w:val="auto"/>
        </w:rPr>
      </w:pPr>
    </w:p>
    <w:p>
      <w:pPr>
        <w:sectPr>
          <w:pgSz w:w="11900" w:h="16838" w:orient="portrait"/>
          <w:cols w:equalWidth="0" w:num="2">
            <w:col w:w="2000" w:space="720"/>
            <w:col w:w="8500"/>
          </w:cols>
          <w:pgMar w:left="320" w:top="340" w:right="359" w:bottom="1440" w:gutter="0" w:footer="0" w:header="0"/>
          <w:type w:val="continuous"/>
        </w:sectPr>
      </w:pPr>
    </w:p>
    <w:tbl>
      <w:tblPr>
        <w:tblLayout w:type="fixed"/>
        <w:tblInd w:w="2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r>
              <w:rPr>
                <w:rFonts w:ascii="Arial" w:cs="Arial" w:eastAsia="Arial" w:hAnsi="Arial"/>
                <w:sz w:val="18"/>
                <w:szCs w:val="18"/>
                <w:color w:val="242424"/>
              </w:rPr>
              <w:t>Age: 59</w:t>
            </w:r>
          </w:p>
        </w:tc>
        <w:tc>
          <w:tcPr>
            <w:tcW w:w="9280" w:type="dxa"/>
            <w:vAlign w:val="bottom"/>
          </w:tcPr>
          <w:p>
            <w:pPr>
              <w:ind w:left="1040"/>
              <w:spacing w:after="0"/>
              <w:rPr>
                <w:sz w:val="20"/>
                <w:szCs w:val="20"/>
                <w:color w:val="auto"/>
              </w:rPr>
            </w:pPr>
            <w:r>
              <w:rPr>
                <w:rFonts w:ascii="Arial" w:cs="Arial" w:eastAsia="Arial" w:hAnsi="Arial"/>
                <w:sz w:val="18"/>
                <w:szCs w:val="18"/>
                <w:color w:val="242424"/>
                <w:w w:val="97"/>
              </w:rPr>
              <w:t>Ms. Bryant served as a director of United Technologies Corporation from January 2017 until its acquisition</w:t>
            </w:r>
          </w:p>
        </w:tc>
      </w:tr>
      <w:tr>
        <w:trPr>
          <w:trHeight w:val="212"/>
        </w:trPr>
        <w:tc>
          <w:tcPr>
            <w:tcW w:w="1660" w:type="dxa"/>
            <w:vAlign w:val="bottom"/>
          </w:tcPr>
          <w:p>
            <w:pPr>
              <w:spacing w:after="0"/>
              <w:rPr>
                <w:sz w:val="18"/>
                <w:szCs w:val="18"/>
                <w:color w:val="auto"/>
              </w:rPr>
            </w:pPr>
          </w:p>
        </w:tc>
        <w:tc>
          <w:tcPr>
            <w:tcW w:w="9280" w:type="dxa"/>
            <w:vAlign w:val="bottom"/>
          </w:tcPr>
          <w:p>
            <w:pPr>
              <w:ind w:left="1040"/>
              <w:spacing w:after="0"/>
              <w:rPr>
                <w:sz w:val="20"/>
                <w:szCs w:val="20"/>
                <w:color w:val="auto"/>
              </w:rPr>
            </w:pPr>
            <w:r>
              <w:rPr>
                <w:rFonts w:ascii="Arial" w:cs="Arial" w:eastAsia="Arial" w:hAnsi="Arial"/>
                <w:sz w:val="18"/>
                <w:szCs w:val="18"/>
                <w:color w:val="242424"/>
              </w:rPr>
              <w:t>by Raytheon Company in April 2020.</w:t>
            </w:r>
          </w:p>
        </w:tc>
      </w:tr>
      <w:tr>
        <w:trPr>
          <w:trHeight w:val="318"/>
        </w:trPr>
        <w:tc>
          <w:tcPr>
            <w:tcW w:w="1660" w:type="dxa"/>
            <w:vAlign w:val="bottom"/>
          </w:tcPr>
          <w:p>
            <w:pPr>
              <w:spacing w:after="0"/>
              <w:rPr>
                <w:sz w:val="24"/>
                <w:szCs w:val="24"/>
                <w:color w:val="auto"/>
              </w:rPr>
            </w:pPr>
          </w:p>
        </w:tc>
        <w:tc>
          <w:tcPr>
            <w:tcW w:w="9280" w:type="dxa"/>
            <w:vAlign w:val="bottom"/>
          </w:tcPr>
          <w:p>
            <w:pPr>
              <w:ind w:left="1040"/>
              <w:spacing w:after="0"/>
              <w:rPr>
                <w:sz w:val="20"/>
                <w:szCs w:val="20"/>
                <w:color w:val="auto"/>
              </w:rPr>
            </w:pPr>
            <w:r>
              <w:rPr>
                <w:rFonts w:ascii="Arial" w:cs="Arial" w:eastAsia="Arial" w:hAnsi="Arial"/>
                <w:sz w:val="18"/>
                <w:szCs w:val="18"/>
                <w:i w:val="1"/>
                <w:iCs w:val="1"/>
                <w:color w:val="242424"/>
                <w:w w:val="99"/>
              </w:rPr>
              <w:t>Qualifications</w:t>
            </w:r>
            <w:r>
              <w:rPr>
                <w:rFonts w:ascii="Arial" w:cs="Arial" w:eastAsia="Arial" w:hAnsi="Arial"/>
                <w:sz w:val="18"/>
                <w:szCs w:val="18"/>
                <w:color w:val="242424"/>
                <w:w w:val="99"/>
              </w:rPr>
              <w:t>: Ms. Bryant brings semiconductor, manufacturing/supply chain, software/cloud computing,</w:t>
            </w:r>
          </w:p>
        </w:tc>
      </w:tr>
      <w:tr>
        <w:trPr>
          <w:trHeight w:val="212"/>
        </w:trPr>
        <w:tc>
          <w:tcPr>
            <w:tcW w:w="1660" w:type="dxa"/>
            <w:vAlign w:val="bottom"/>
          </w:tcPr>
          <w:p>
            <w:pPr>
              <w:spacing w:after="0"/>
              <w:rPr>
                <w:sz w:val="18"/>
                <w:szCs w:val="18"/>
                <w:color w:val="auto"/>
              </w:rPr>
            </w:pPr>
          </w:p>
        </w:tc>
        <w:tc>
          <w:tcPr>
            <w:tcW w:w="9280" w:type="dxa"/>
            <w:vAlign w:val="bottom"/>
          </w:tcPr>
          <w:p>
            <w:pPr>
              <w:ind w:left="1040"/>
              <w:spacing w:after="0"/>
              <w:rPr>
                <w:sz w:val="20"/>
                <w:szCs w:val="20"/>
                <w:color w:val="auto"/>
              </w:rPr>
            </w:pPr>
            <w:r>
              <w:rPr>
                <w:rFonts w:ascii="Arial" w:cs="Arial" w:eastAsia="Arial" w:hAnsi="Arial"/>
                <w:sz w:val="18"/>
                <w:szCs w:val="18"/>
                <w:color w:val="242424"/>
                <w:w w:val="98"/>
              </w:rPr>
              <w:t>technology/innovation, global business, cybersecurity, business development and strategy, and executive</w:t>
            </w:r>
          </w:p>
        </w:tc>
      </w:tr>
      <w:tr>
        <w:trPr>
          <w:trHeight w:val="212"/>
        </w:trPr>
        <w:tc>
          <w:tcPr>
            <w:tcW w:w="1660" w:type="dxa"/>
            <w:vAlign w:val="bottom"/>
          </w:tcPr>
          <w:p>
            <w:pPr>
              <w:spacing w:after="0"/>
              <w:rPr>
                <w:sz w:val="18"/>
                <w:szCs w:val="18"/>
                <w:color w:val="auto"/>
              </w:rPr>
            </w:pPr>
          </w:p>
        </w:tc>
        <w:tc>
          <w:tcPr>
            <w:tcW w:w="9280" w:type="dxa"/>
            <w:vAlign w:val="bottom"/>
          </w:tcPr>
          <w:p>
            <w:pPr>
              <w:ind w:left="1040"/>
              <w:spacing w:after="0"/>
              <w:rPr>
                <w:sz w:val="20"/>
                <w:szCs w:val="20"/>
                <w:color w:val="auto"/>
              </w:rPr>
            </w:pPr>
            <w:r>
              <w:rPr>
                <w:rFonts w:ascii="Arial" w:cs="Arial" w:eastAsia="Arial" w:hAnsi="Arial"/>
                <w:sz w:val="18"/>
                <w:szCs w:val="18"/>
                <w:color w:val="242424"/>
                <w:w w:val="98"/>
              </w:rPr>
              <w:t>leadership expertise to the Board from serving as Chief Executive Officer at NovaSignal, accelerating the</w:t>
            </w:r>
          </w:p>
        </w:tc>
      </w:tr>
      <w:tr>
        <w:trPr>
          <w:trHeight w:val="212"/>
        </w:trPr>
        <w:tc>
          <w:tcPr>
            <w:tcW w:w="1660" w:type="dxa"/>
            <w:vAlign w:val="bottom"/>
          </w:tcPr>
          <w:p>
            <w:pPr>
              <w:spacing w:after="0"/>
              <w:rPr>
                <w:sz w:val="18"/>
                <w:szCs w:val="18"/>
                <w:color w:val="auto"/>
              </w:rPr>
            </w:pPr>
          </w:p>
        </w:tc>
        <w:tc>
          <w:tcPr>
            <w:tcW w:w="9280" w:type="dxa"/>
            <w:vAlign w:val="bottom"/>
          </w:tcPr>
          <w:p>
            <w:pPr>
              <w:ind w:left="1040"/>
              <w:spacing w:after="0"/>
              <w:rPr>
                <w:sz w:val="20"/>
                <w:szCs w:val="20"/>
                <w:color w:val="auto"/>
              </w:rPr>
            </w:pPr>
            <w:r>
              <w:rPr>
                <w:rFonts w:ascii="Arial" w:cs="Arial" w:eastAsia="Arial" w:hAnsi="Arial"/>
                <w:sz w:val="18"/>
                <w:szCs w:val="18"/>
                <w:color w:val="242424"/>
              </w:rPr>
              <w:t>scale and reach of Google Cloud’s business, and from her extensive business leadership experience at</w:t>
            </w:r>
          </w:p>
        </w:tc>
      </w:tr>
      <w:tr>
        <w:trPr>
          <w:trHeight w:val="212"/>
        </w:trPr>
        <w:tc>
          <w:tcPr>
            <w:tcW w:w="1660" w:type="dxa"/>
            <w:vAlign w:val="bottom"/>
          </w:tcPr>
          <w:p>
            <w:pPr>
              <w:spacing w:after="0"/>
              <w:rPr>
                <w:sz w:val="18"/>
                <w:szCs w:val="18"/>
                <w:color w:val="auto"/>
              </w:rPr>
            </w:pPr>
          </w:p>
        </w:tc>
        <w:tc>
          <w:tcPr>
            <w:tcW w:w="9280" w:type="dxa"/>
            <w:vAlign w:val="bottom"/>
          </w:tcPr>
          <w:p>
            <w:pPr>
              <w:ind w:left="1040"/>
              <w:spacing w:after="0"/>
              <w:rPr>
                <w:sz w:val="20"/>
                <w:szCs w:val="20"/>
                <w:color w:val="auto"/>
              </w:rPr>
            </w:pPr>
            <w:r>
              <w:rPr>
                <w:rFonts w:ascii="Arial" w:cs="Arial" w:eastAsia="Arial" w:hAnsi="Arial"/>
                <w:sz w:val="18"/>
                <w:szCs w:val="18"/>
                <w:color w:val="242424"/>
              </w:rPr>
              <w:t>Intel Corporation, as well as her public company board and committee experience.</w:t>
            </w:r>
          </w:p>
        </w:tc>
      </w:tr>
    </w:tbl>
    <w:p>
      <w:pPr>
        <w:spacing w:after="0" w:line="200" w:lineRule="exact"/>
        <w:rPr>
          <w:sz w:val="20"/>
          <w:szCs w:val="20"/>
          <w:color w:val="auto"/>
        </w:rPr>
      </w:pPr>
    </w:p>
    <w:p>
      <w:pPr>
        <w:spacing w:after="0" w:line="373" w:lineRule="exact"/>
        <w:rPr>
          <w:sz w:val="20"/>
          <w:szCs w:val="20"/>
          <w:color w:val="auto"/>
        </w:rPr>
      </w:pPr>
    </w:p>
    <w:p>
      <w:pPr>
        <w:ind w:left="360" w:hanging="354"/>
        <w:spacing w:after="0"/>
        <w:tabs>
          <w:tab w:leader="none" w:pos="360" w:val="left"/>
        </w:tabs>
        <w:numPr>
          <w:ilvl w:val="0"/>
          <w:numId w:val="27"/>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20"/>
          </w:cols>
          <w:pgMar w:left="320" w:top="340" w:right="35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6"/>
          <w:szCs w:val="16"/>
          <w:color w:val="CC092F"/>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Gayla J. Delly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025640" cy="168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5640" cy="168275"/>
                    </a:xfrm>
                    <a:prstGeom prst="rect">
                      <a:avLst/>
                    </a:prstGeom>
                    <a:noFill/>
                  </pic:spPr>
                </pic:pic>
              </a:graphicData>
            </a:graphic>
          </wp:anchor>
        </w:drawing>
      </w:r>
    </w:p>
    <w:p>
      <w:pPr>
        <w:sectPr>
          <w:pgSz w:w="11900" w:h="16838" w:orient="portrait"/>
          <w:cols w:equalWidth="0" w:num="1">
            <w:col w:w="11220"/>
          </w:cols>
          <w:pgMar w:left="320" w:top="181" w:right="35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262626"/>
        </w:rPr>
        <w:t>Independent Director</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Director since 2017</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Board Committees:</w:t>
      </w:r>
    </w:p>
    <w:p>
      <w:pPr>
        <w:spacing w:after="0" w:line="5" w:lineRule="exact"/>
        <w:rPr>
          <w:sz w:val="20"/>
          <w:szCs w:val="20"/>
          <w:color w:val="auto"/>
        </w:rPr>
      </w:pPr>
    </w:p>
    <w:p>
      <w:pPr>
        <w:ind w:left="260" w:hanging="157"/>
        <w:spacing w:after="0"/>
        <w:tabs>
          <w:tab w:leader="none" w:pos="260" w:val="left"/>
        </w:tabs>
        <w:numPr>
          <w:ilvl w:val="0"/>
          <w:numId w:val="28"/>
        </w:numPr>
        <w:rPr>
          <w:rFonts w:ascii="Arial" w:cs="Arial" w:eastAsia="Arial" w:hAnsi="Arial"/>
          <w:sz w:val="18"/>
          <w:szCs w:val="18"/>
          <w:color w:val="262626"/>
        </w:rPr>
      </w:pPr>
      <w:r>
        <w:rPr>
          <w:rFonts w:ascii="Arial" w:cs="Arial" w:eastAsia="Arial" w:hAnsi="Arial"/>
          <w:sz w:val="18"/>
          <w:szCs w:val="18"/>
          <w:color w:val="262626"/>
        </w:rPr>
        <w:t>Audit</w:t>
      </w:r>
    </w:p>
    <w:p>
      <w:pPr>
        <w:spacing w:after="0" w:line="5" w:lineRule="exact"/>
        <w:rPr>
          <w:rFonts w:ascii="Arial" w:cs="Arial" w:eastAsia="Arial" w:hAnsi="Arial"/>
          <w:sz w:val="18"/>
          <w:szCs w:val="18"/>
          <w:color w:val="262626"/>
        </w:rPr>
      </w:pPr>
    </w:p>
    <w:p>
      <w:pPr>
        <w:ind w:left="260" w:hanging="157"/>
        <w:spacing w:after="0"/>
        <w:tabs>
          <w:tab w:leader="none" w:pos="260" w:val="left"/>
        </w:tabs>
        <w:numPr>
          <w:ilvl w:val="0"/>
          <w:numId w:val="28"/>
        </w:numPr>
        <w:rPr>
          <w:rFonts w:ascii="Arial" w:cs="Arial" w:eastAsia="Arial" w:hAnsi="Arial"/>
          <w:sz w:val="18"/>
          <w:szCs w:val="18"/>
          <w:color w:val="262626"/>
        </w:rPr>
      </w:pPr>
      <w:r>
        <w:rPr>
          <w:rFonts w:ascii="Arial" w:cs="Arial" w:eastAsia="Arial" w:hAnsi="Arial"/>
          <w:sz w:val="18"/>
          <w:szCs w:val="18"/>
          <w:color w:val="262626"/>
        </w:rPr>
        <w:t>NESG</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Age: 62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262626"/>
        </w:rPr>
        <w:t>Ms. Delly served as Chief Executive Officer of Benchmark Electronics Inc., a company that provides contract manufacturing, design, engineering, test and distribution services to manufacturers of computers, medical devices, telecommunications equipment and industrial control and test instruments, from 2012 to 2016. She also held several executive leadership positions at Benchmark, including as President from 2006 to 2011, Executive Vice President and Chief Financial Officer from 2001 to 2006, and Corporate Controller and Treasurer from 1995 to 2001. She is a certified public accountant and was a senior audit manager at KPMG before joining Benchmark.</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262626"/>
        </w:rPr>
        <w:t>Ms. Delly currently serves as a director of Flowserve Corporation and National Instruments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262626"/>
        </w:rPr>
        <w:t>She also served as a director of Benchmark from 2011 to 2016.</w:t>
      </w:r>
    </w:p>
    <w:p>
      <w:pPr>
        <w:spacing w:after="0" w:line="93"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i w:val="1"/>
          <w:iCs w:val="1"/>
          <w:color w:val="262626"/>
        </w:rPr>
        <w:t>Qualifications</w:t>
      </w:r>
      <w:r>
        <w:rPr>
          <w:rFonts w:ascii="Arial" w:cs="Arial" w:eastAsia="Arial" w:hAnsi="Arial"/>
          <w:sz w:val="18"/>
          <w:szCs w:val="18"/>
          <w:color w:val="262626"/>
        </w:rPr>
        <w:t>: Ms. Delly brings semiconductor, manufacturing/supply chain, technology/innovation,</w:t>
      </w:r>
      <w:r>
        <w:rPr>
          <w:rFonts w:ascii="Arial" w:cs="Arial" w:eastAsia="Arial" w:hAnsi="Arial"/>
          <w:sz w:val="18"/>
          <w:szCs w:val="18"/>
          <w:i w:val="1"/>
          <w:iCs w:val="1"/>
          <w:color w:val="262626"/>
        </w:rPr>
        <w:t xml:space="preserve"> </w:t>
      </w:r>
      <w:r>
        <w:rPr>
          <w:rFonts w:ascii="Arial" w:cs="Arial" w:eastAsia="Arial" w:hAnsi="Arial"/>
          <w:sz w:val="18"/>
          <w:szCs w:val="18"/>
          <w:color w:val="262626"/>
        </w:rPr>
        <w:t>cybersecurity, global business, business development and strategy, executive leadership and finance/accounting expertise to the Board from her experience in senior executive and financial management positions, organizational management, international manufacturing and accounting, as well as her public company board and committee experience.</w:t>
      </w:r>
    </w:p>
    <w:p>
      <w:pPr>
        <w:spacing w:after="0" w:line="200" w:lineRule="exact"/>
        <w:rPr>
          <w:sz w:val="20"/>
          <w:szCs w:val="20"/>
          <w:color w:val="auto"/>
        </w:rPr>
      </w:pPr>
    </w:p>
    <w:p>
      <w:pPr>
        <w:sectPr>
          <w:pgSz w:w="11900" w:h="16838" w:orient="portrait"/>
          <w:cols w:equalWidth="0" w:num="2">
            <w:col w:w="2000" w:space="720"/>
            <w:col w:w="8500"/>
          </w:cols>
          <w:pgMar w:left="320" w:top="181" w:right="359" w:bottom="1440" w:gutter="0" w:footer="0" w:header="0"/>
          <w:type w:val="continuous"/>
        </w:sectPr>
      </w:pPr>
    </w:p>
    <w:p>
      <w:pPr>
        <w:spacing w:after="0" w:line="18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Raul J.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025640" cy="168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25640" cy="168275"/>
                    </a:xfrm>
                    <a:prstGeom prst="rect">
                      <a:avLst/>
                    </a:prstGeom>
                    <a:noFill/>
                  </pic:spPr>
                </pic:pic>
              </a:graphicData>
            </a:graphic>
          </wp:anchor>
        </w:drawing>
      </w:r>
    </w:p>
    <w:p>
      <w:pPr>
        <w:sectPr>
          <w:pgSz w:w="11900" w:h="16838" w:orient="portrait"/>
          <w:cols w:equalWidth="0" w:num="1">
            <w:col w:w="11220"/>
          </w:cols>
          <w:pgMar w:left="320" w:top="181" w:right="359" w:bottom="1440" w:gutter="0" w:footer="0" w:header="0"/>
          <w:type w:val="continuous"/>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262626"/>
        </w:rPr>
        <w:t>Independent Director</w:t>
      </w: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Director since 2020</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Board Committees:</w:t>
      </w:r>
    </w:p>
    <w:p>
      <w:pPr>
        <w:spacing w:after="0" w:line="5" w:lineRule="exact"/>
        <w:rPr>
          <w:sz w:val="20"/>
          <w:szCs w:val="20"/>
          <w:color w:val="auto"/>
        </w:rPr>
      </w:pPr>
    </w:p>
    <w:p>
      <w:pPr>
        <w:ind w:left="260" w:hanging="157"/>
        <w:spacing w:after="0"/>
        <w:tabs>
          <w:tab w:leader="none" w:pos="260" w:val="left"/>
        </w:tabs>
        <w:numPr>
          <w:ilvl w:val="0"/>
          <w:numId w:val="29"/>
        </w:numPr>
        <w:rPr>
          <w:rFonts w:ascii="Arial" w:cs="Arial" w:eastAsia="Arial" w:hAnsi="Arial"/>
          <w:sz w:val="18"/>
          <w:szCs w:val="18"/>
          <w:color w:val="262626"/>
        </w:rPr>
      </w:pPr>
      <w:r>
        <w:rPr>
          <w:rFonts w:ascii="Arial" w:cs="Arial" w:eastAsia="Arial" w:hAnsi="Arial"/>
          <w:sz w:val="18"/>
          <w:szCs w:val="18"/>
          <w:color w:val="262626"/>
        </w:rPr>
        <w:t>Audit</w:t>
      </w:r>
    </w:p>
    <w:p>
      <w:pPr>
        <w:spacing w:after="0" w:line="5" w:lineRule="exact"/>
        <w:rPr>
          <w:rFonts w:ascii="Arial" w:cs="Arial" w:eastAsia="Arial" w:hAnsi="Arial"/>
          <w:sz w:val="18"/>
          <w:szCs w:val="18"/>
          <w:color w:val="262626"/>
        </w:rPr>
      </w:pPr>
    </w:p>
    <w:p>
      <w:pPr>
        <w:ind w:left="260" w:hanging="157"/>
        <w:spacing w:after="0"/>
        <w:tabs>
          <w:tab w:leader="none" w:pos="260" w:val="left"/>
        </w:tabs>
        <w:numPr>
          <w:ilvl w:val="0"/>
          <w:numId w:val="29"/>
        </w:numPr>
        <w:rPr>
          <w:rFonts w:ascii="Arial" w:cs="Arial" w:eastAsia="Arial" w:hAnsi="Arial"/>
          <w:sz w:val="18"/>
          <w:szCs w:val="18"/>
          <w:color w:val="262626"/>
        </w:rPr>
      </w:pPr>
      <w:r>
        <w:rPr>
          <w:rFonts w:ascii="Arial" w:cs="Arial" w:eastAsia="Arial" w:hAnsi="Arial"/>
          <w:sz w:val="18"/>
          <w:szCs w:val="18"/>
          <w:color w:val="262626"/>
        </w:rPr>
        <w:t>NESG</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Age: 55</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262626"/>
        </w:rPr>
        <w:t>Mr. Fernandez has served as Vice Chairman and owner of Monumental Sports &amp; Entertainment, a private partnership that co-owns the National Basketball Association’s Washington Wizards, the National Hockey League’s Washington Capitals, the Women’s National Basketball Association’s Washington Mystics and the Wizards District Gaming NBA 2K team and co-owns and operates the Capital One Arena in Washington, DC, since 2010. He is a Senior Advisor to and a Limited Partner of General Atlantic Partners, a growth equity firm, a Special Advisor to and a Limited Partner of Carrick Capital Partners, a private equity firm, and a member of the Strategic Advisory Board and a Limited Partner of Volition Capital, a growth equity firm. He was Chairman and Chief Executive Officer of ObjectVideo, Inc., a developer of intelligent video surveillance software, from January 2004 to March 2017. He founded and was Chief Executive Officer of Proxicom, Inc., a global provider of e-commerce solutions for Fortune 500 companies, from its inception in 1991 until its acquisition in 2001. He was also a member of President George W. Bush’s Council of Advisors on Science and Technology.</w:t>
      </w:r>
    </w:p>
    <w:p>
      <w:pPr>
        <w:spacing w:after="0" w:line="104"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262626"/>
        </w:rPr>
        <w:t>Mr. Fernandez currently serves as a director of DXC Technology Company. He also served as a director of Capitol Investment Corp. V from October 2020 to July 2021, GameStop Corp. from April 2019 to June</w:t>
      </w:r>
    </w:p>
    <w:p>
      <w:pPr>
        <w:ind w:right="180"/>
        <w:spacing w:after="0" w:line="251" w:lineRule="auto"/>
        <w:rPr>
          <w:sz w:val="20"/>
          <w:szCs w:val="20"/>
          <w:color w:val="auto"/>
        </w:rPr>
      </w:pPr>
      <w:r>
        <w:rPr>
          <w:rFonts w:ascii="Arial" w:cs="Arial" w:eastAsia="Arial" w:hAnsi="Arial"/>
          <w:sz w:val="18"/>
          <w:szCs w:val="18"/>
          <w:color w:val="262626"/>
        </w:rPr>
        <w:t>2021 and Kate Spade &amp; Co. from 2001 until its acquisition by Coach, Inc. in July 2017, and as Chairman of the board of Proxicom from 1991 until its acquisition in 2001.</w:t>
      </w:r>
    </w:p>
    <w:p>
      <w:pPr>
        <w:spacing w:after="0" w:line="79"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i w:val="1"/>
          <w:iCs w:val="1"/>
          <w:color w:val="262626"/>
        </w:rPr>
        <w:t>Qualifications</w:t>
      </w:r>
      <w:r>
        <w:rPr>
          <w:rFonts w:ascii="Arial" w:cs="Arial" w:eastAsia="Arial" w:hAnsi="Arial"/>
          <w:sz w:val="17"/>
          <w:szCs w:val="17"/>
          <w:color w:val="262626"/>
        </w:rPr>
        <w:t>: Mr. Fernandez brings software/cloud computing, cybersecurity, technology/innovation,</w:t>
      </w:r>
      <w:r>
        <w:rPr>
          <w:rFonts w:ascii="Arial" w:cs="Arial" w:eastAsia="Arial" w:hAnsi="Arial"/>
          <w:sz w:val="17"/>
          <w:szCs w:val="17"/>
          <w:i w:val="1"/>
          <w:iCs w:val="1"/>
          <w:color w:val="262626"/>
        </w:rPr>
        <w:t xml:space="preserve"> </w:t>
      </w:r>
      <w:r>
        <w:rPr>
          <w:rFonts w:ascii="Arial" w:cs="Arial" w:eastAsia="Arial" w:hAnsi="Arial"/>
          <w:sz w:val="17"/>
          <w:szCs w:val="17"/>
          <w:color w:val="262626"/>
        </w:rPr>
        <w:t>global business, business development and strategy, executive leadership and finance/accounting expertise to the Board from his more than two decades of extensive operating experience and executive leadership, his experience as a founder and chief executive officer of technology and software companies, and his familiarity in government affairs, as well as his public company board and committee experience.</w:t>
      </w:r>
    </w:p>
    <w:p>
      <w:pPr>
        <w:spacing w:after="0" w:line="200" w:lineRule="exact"/>
        <w:rPr>
          <w:sz w:val="20"/>
          <w:szCs w:val="20"/>
          <w:color w:val="auto"/>
        </w:rPr>
      </w:pPr>
    </w:p>
    <w:p>
      <w:pPr>
        <w:sectPr>
          <w:pgSz w:w="11900" w:h="16838" w:orient="portrait"/>
          <w:cols w:equalWidth="0" w:num="2">
            <w:col w:w="2000" w:space="720"/>
            <w:col w:w="8500"/>
          </w:cols>
          <w:pgMar w:left="320" w:top="181" w:right="359" w:bottom="1440" w:gutter="0" w:footer="0" w:header="0"/>
          <w:type w:val="continuous"/>
        </w:sectPr>
      </w:pPr>
    </w:p>
    <w:p>
      <w:pPr>
        <w:spacing w:after="0" w:line="351"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17</w:t>
      </w:r>
    </w:p>
    <w:p>
      <w:pPr>
        <w:sectPr>
          <w:pgSz w:w="11900" w:h="16838" w:orient="portrait"/>
          <w:cols w:equalWidth="0" w:num="1">
            <w:col w:w="11220"/>
          </w:cols>
          <w:pgMar w:left="320" w:top="181" w:right="359" w:bottom="1440" w:gutter="0" w:footer="0" w:header="0"/>
          <w:type w:val="continuous"/>
        </w:sectPr>
      </w:pPr>
    </w:p>
    <w:bookmarkStart w:id="20" w:name="page21"/>
    <w:bookmarkEnd w:id="20"/>
    <w:p>
      <w:pPr>
        <w:ind w:left="14"/>
        <w:spacing w:after="0"/>
        <w:rPr>
          <w:sz w:val="20"/>
          <w:szCs w:val="20"/>
          <w:color w:val="auto"/>
        </w:rPr>
      </w:pPr>
      <w:r>
        <w:rPr>
          <w:rFonts w:ascii="Arial" w:cs="Arial" w:eastAsia="Arial" w:hAnsi="Arial"/>
          <w:sz w:val="15"/>
          <w:szCs w:val="15"/>
          <w:color w:val="CC092F"/>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34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4"/>
        <w:spacing w:after="0"/>
        <w:rPr>
          <w:sz w:val="20"/>
          <w:szCs w:val="20"/>
          <w:color w:val="auto"/>
        </w:rPr>
      </w:pPr>
      <w:r>
        <w:rPr>
          <w:rFonts w:ascii="Arial" w:cs="Arial" w:eastAsia="Arial" w:hAnsi="Arial"/>
          <w:sz w:val="19"/>
          <w:szCs w:val="19"/>
          <w:b w:val="1"/>
          <w:bCs w:val="1"/>
          <w:color w:val="FFFFFF"/>
        </w:rPr>
        <w:t>Eddy W. Hartenstein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7025640" cy="168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25640" cy="168275"/>
                    </a:xfrm>
                    <a:prstGeom prst="rect">
                      <a:avLst/>
                    </a:prstGeom>
                    <a:noFill/>
                  </pic:spPr>
                </pic:pic>
              </a:graphicData>
            </a:graphic>
          </wp:anchor>
        </w:drawing>
      </w:r>
    </w:p>
    <w:p>
      <w:pPr>
        <w:sectPr>
          <w:pgSz w:w="11900" w:h="16838" w:orient="portrait"/>
          <w:cols w:equalWidth="0" w:num="1">
            <w:col w:w="11034"/>
          </w:cols>
          <w:pgMar w:left="326" w:top="181" w:right="539" w:bottom="1440" w:gutter="0" w:footer="0" w:header="0"/>
        </w:sectPr>
      </w:pPr>
    </w:p>
    <w:p>
      <w:pPr>
        <w:spacing w:after="0" w:line="113" w:lineRule="exact"/>
        <w:rPr>
          <w:sz w:val="20"/>
          <w:szCs w:val="20"/>
          <w:color w:val="auto"/>
        </w:rPr>
      </w:pPr>
    </w:p>
    <w:p>
      <w:pPr>
        <w:ind w:left="14"/>
        <w:spacing w:after="0" w:line="251" w:lineRule="auto"/>
        <w:rPr>
          <w:sz w:val="20"/>
          <w:szCs w:val="20"/>
          <w:color w:val="auto"/>
        </w:rPr>
      </w:pPr>
      <w:r>
        <w:rPr>
          <w:rFonts w:ascii="Arial" w:cs="Arial" w:eastAsia="Arial" w:hAnsi="Arial"/>
          <w:sz w:val="18"/>
          <w:szCs w:val="18"/>
          <w:color w:val="262626"/>
        </w:rPr>
        <w:t>Lead Independent Director since 2018</w:t>
      </w:r>
    </w:p>
    <w:p>
      <w:pPr>
        <w:spacing w:after="0" w:line="230" w:lineRule="exact"/>
        <w:rPr>
          <w:sz w:val="20"/>
          <w:szCs w:val="20"/>
          <w:color w:val="auto"/>
        </w:rPr>
      </w:pPr>
    </w:p>
    <w:p>
      <w:pPr>
        <w:ind w:left="14"/>
        <w:spacing w:after="0"/>
        <w:rPr>
          <w:sz w:val="20"/>
          <w:szCs w:val="20"/>
          <w:color w:val="auto"/>
        </w:rPr>
      </w:pPr>
      <w:r>
        <w:rPr>
          <w:rFonts w:ascii="Arial" w:cs="Arial" w:eastAsia="Arial" w:hAnsi="Arial"/>
          <w:sz w:val="18"/>
          <w:szCs w:val="18"/>
          <w:color w:val="262626"/>
        </w:rPr>
        <w:t>Director since 2016</w:t>
      </w:r>
    </w:p>
    <w:p>
      <w:pPr>
        <w:spacing w:after="0" w:line="244" w:lineRule="exact"/>
        <w:rPr>
          <w:sz w:val="20"/>
          <w:szCs w:val="20"/>
          <w:color w:val="auto"/>
        </w:rPr>
      </w:pPr>
    </w:p>
    <w:p>
      <w:pPr>
        <w:ind w:left="14"/>
        <w:spacing w:after="0"/>
        <w:rPr>
          <w:sz w:val="20"/>
          <w:szCs w:val="20"/>
          <w:color w:val="auto"/>
        </w:rPr>
      </w:pPr>
      <w:r>
        <w:rPr>
          <w:rFonts w:ascii="Arial" w:cs="Arial" w:eastAsia="Arial" w:hAnsi="Arial"/>
          <w:sz w:val="18"/>
          <w:szCs w:val="18"/>
          <w:color w:val="262626"/>
        </w:rPr>
        <w:t>Board Committees:</w:t>
      </w:r>
    </w:p>
    <w:p>
      <w:pPr>
        <w:spacing w:after="0" w:line="5" w:lineRule="exact"/>
        <w:rPr>
          <w:sz w:val="20"/>
          <w:szCs w:val="20"/>
          <w:color w:val="auto"/>
        </w:rPr>
      </w:pPr>
    </w:p>
    <w:p>
      <w:pPr>
        <w:ind w:left="254" w:hanging="157"/>
        <w:spacing w:after="0"/>
        <w:tabs>
          <w:tab w:leader="none" w:pos="254" w:val="left"/>
        </w:tabs>
        <w:numPr>
          <w:ilvl w:val="0"/>
          <w:numId w:val="30"/>
        </w:numPr>
        <w:rPr>
          <w:rFonts w:ascii="Arial" w:cs="Arial" w:eastAsia="Arial" w:hAnsi="Arial"/>
          <w:sz w:val="18"/>
          <w:szCs w:val="18"/>
          <w:color w:val="262626"/>
        </w:rPr>
      </w:pPr>
      <w:r>
        <w:rPr>
          <w:rFonts w:ascii="Arial" w:cs="Arial" w:eastAsia="Arial" w:hAnsi="Arial"/>
          <w:sz w:val="18"/>
          <w:szCs w:val="18"/>
          <w:color w:val="262626"/>
        </w:rPr>
        <w:t>Compensation</w:t>
      </w:r>
    </w:p>
    <w:p>
      <w:pPr>
        <w:spacing w:after="0" w:line="5" w:lineRule="exact"/>
        <w:rPr>
          <w:rFonts w:ascii="Arial" w:cs="Arial" w:eastAsia="Arial" w:hAnsi="Arial"/>
          <w:sz w:val="18"/>
          <w:szCs w:val="18"/>
          <w:color w:val="262626"/>
        </w:rPr>
      </w:pPr>
    </w:p>
    <w:p>
      <w:pPr>
        <w:ind w:left="254" w:hanging="157"/>
        <w:spacing w:after="0"/>
        <w:tabs>
          <w:tab w:leader="none" w:pos="254" w:val="left"/>
        </w:tabs>
        <w:numPr>
          <w:ilvl w:val="0"/>
          <w:numId w:val="30"/>
        </w:numPr>
        <w:rPr>
          <w:rFonts w:ascii="Arial" w:cs="Arial" w:eastAsia="Arial" w:hAnsi="Arial"/>
          <w:sz w:val="18"/>
          <w:szCs w:val="18"/>
          <w:color w:val="262626"/>
        </w:rPr>
      </w:pPr>
      <w:r>
        <w:rPr>
          <w:rFonts w:ascii="Arial" w:cs="Arial" w:eastAsia="Arial" w:hAnsi="Arial"/>
          <w:sz w:val="18"/>
          <w:szCs w:val="18"/>
          <w:color w:val="262626"/>
        </w:rPr>
        <w:t>NESG (Chair)</w:t>
      </w:r>
    </w:p>
    <w:p>
      <w:pPr>
        <w:spacing w:after="0" w:line="5" w:lineRule="exact"/>
        <w:rPr>
          <w:rFonts w:ascii="Arial" w:cs="Arial" w:eastAsia="Arial" w:hAnsi="Arial"/>
          <w:sz w:val="18"/>
          <w:szCs w:val="18"/>
          <w:color w:val="262626"/>
        </w:rPr>
      </w:pPr>
    </w:p>
    <w:p>
      <w:pPr>
        <w:ind w:left="254" w:hanging="157"/>
        <w:spacing w:after="0"/>
        <w:tabs>
          <w:tab w:leader="none" w:pos="254" w:val="left"/>
        </w:tabs>
        <w:numPr>
          <w:ilvl w:val="0"/>
          <w:numId w:val="30"/>
        </w:numPr>
        <w:rPr>
          <w:rFonts w:ascii="Arial" w:cs="Arial" w:eastAsia="Arial" w:hAnsi="Arial"/>
          <w:sz w:val="18"/>
          <w:szCs w:val="18"/>
          <w:color w:val="262626"/>
        </w:rPr>
      </w:pPr>
      <w:r>
        <w:rPr>
          <w:rFonts w:ascii="Arial" w:cs="Arial" w:eastAsia="Arial" w:hAnsi="Arial"/>
          <w:sz w:val="18"/>
          <w:szCs w:val="18"/>
          <w:color w:val="262626"/>
        </w:rPr>
        <w:t>Executive</w:t>
      </w:r>
    </w:p>
    <w:p>
      <w:pPr>
        <w:spacing w:after="0" w:line="217" w:lineRule="exact"/>
        <w:rPr>
          <w:sz w:val="20"/>
          <w:szCs w:val="20"/>
          <w:color w:val="auto"/>
        </w:rPr>
      </w:pPr>
    </w:p>
    <w:p>
      <w:pPr>
        <w:ind w:left="14"/>
        <w:spacing w:after="0"/>
        <w:rPr>
          <w:sz w:val="20"/>
          <w:szCs w:val="20"/>
          <w:color w:val="auto"/>
        </w:rPr>
      </w:pPr>
      <w:r>
        <w:rPr>
          <w:rFonts w:ascii="Arial" w:cs="Arial" w:eastAsia="Arial" w:hAnsi="Arial"/>
          <w:sz w:val="18"/>
          <w:szCs w:val="18"/>
          <w:color w:val="262626"/>
        </w:rPr>
        <w:t>Age: 71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247" w:lineRule="auto"/>
        <w:rPr>
          <w:sz w:val="20"/>
          <w:szCs w:val="20"/>
          <w:color w:val="auto"/>
        </w:rPr>
      </w:pPr>
      <w:r>
        <w:rPr>
          <w:rFonts w:ascii="Arial" w:cs="Arial" w:eastAsia="Arial" w:hAnsi="Arial"/>
          <w:sz w:val="18"/>
          <w:szCs w:val="18"/>
          <w:color w:val="262626"/>
        </w:rPr>
        <w:t>Mr. Hartenstein served as the publisher and Chief Executive Officer of the Los Angeles Times from 2008 to 2014. He was President and Chief Executive Officer from 2011 to 2013 and co-President from 2010 to 2011 of the Tribune Company. He was Chief Executive Officer from 2001 to 2004 and President from its inception in 1990 to 2001 of DIRECTV Inc.</w:t>
      </w:r>
    </w:p>
    <w:p>
      <w:pPr>
        <w:spacing w:after="0" w:line="10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262626"/>
        </w:rPr>
        <w:t>Mr. Hartenstein currently serves as lead independent director on the board of SIRIUS XM Holdings Inc. He also served as a director of TiVo Corporation from September 2016 until its acquisition by Xperi Corporation in June 2020, Tribune Publishing Company from August 2014 to May 2020, Yahoo, Inc. from April 2016 to June 2017, Broadcom Corporation from 2008 to 2016, Rovi Corporation from 2015 until its acquisition by TiVo Corporation in 2016, and SanDisk Corporation from 2005 to until its acquisition by Western Digital Corporation in 2016, and as Vice Chairman of the board of The DIRECTV Group Inc. from 2003 to 2004 and Chairman of the board of DIRECTV Inc. from 2001 to 2004.</w:t>
      </w:r>
    </w:p>
    <w:p>
      <w:pPr>
        <w:spacing w:after="0" w:line="8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i w:val="1"/>
          <w:iCs w:val="1"/>
          <w:color w:val="262626"/>
        </w:rPr>
        <w:t>Qualifications</w:t>
      </w:r>
      <w:r>
        <w:rPr>
          <w:rFonts w:ascii="Arial" w:cs="Arial" w:eastAsia="Arial" w:hAnsi="Arial"/>
          <w:sz w:val="18"/>
          <w:szCs w:val="18"/>
          <w:color w:val="262626"/>
        </w:rPr>
        <w:t>: Mr. Hartenstein brings semiconductor, technology/innovation, global business, business</w:t>
      </w:r>
      <w:r>
        <w:rPr>
          <w:rFonts w:ascii="Arial" w:cs="Arial" w:eastAsia="Arial" w:hAnsi="Arial"/>
          <w:sz w:val="18"/>
          <w:szCs w:val="18"/>
          <w:i w:val="1"/>
          <w:iCs w:val="1"/>
          <w:color w:val="262626"/>
        </w:rPr>
        <w:t xml:space="preserve"> </w:t>
      </w:r>
      <w:r>
        <w:rPr>
          <w:rFonts w:ascii="Arial" w:cs="Arial" w:eastAsia="Arial" w:hAnsi="Arial"/>
          <w:sz w:val="18"/>
          <w:szCs w:val="18"/>
          <w:color w:val="262626"/>
        </w:rPr>
        <w:t>development and strategy, executive leadership and finance/accounting expertise to the Board from serving as Chief Executive Officer of the Los Angeles Times, the Tribune Company and DIRECTV and his extensive executive leadership in successfully creating and entering new markets and organizational management, as well as his considerable public company board and committee experience at various global technology companies.</w:t>
      </w:r>
    </w:p>
    <w:p>
      <w:pPr>
        <w:spacing w:after="0" w:line="200" w:lineRule="exact"/>
        <w:rPr>
          <w:sz w:val="20"/>
          <w:szCs w:val="20"/>
          <w:color w:val="auto"/>
        </w:rPr>
      </w:pPr>
    </w:p>
    <w:p>
      <w:pPr>
        <w:sectPr>
          <w:pgSz w:w="11900" w:h="16838" w:orient="portrait"/>
          <w:cols w:equalWidth="0" w:num="2">
            <w:col w:w="2574" w:space="140"/>
            <w:col w:w="8320"/>
          </w:cols>
          <w:pgMar w:left="326" w:top="181" w:right="539" w:bottom="1440" w:gutter="0" w:footer="0" w:header="0"/>
          <w:type w:val="continuous"/>
        </w:sectPr>
      </w:pPr>
    </w:p>
    <w:p>
      <w:pPr>
        <w:spacing w:after="0" w:line="188" w:lineRule="exact"/>
        <w:rPr>
          <w:sz w:val="20"/>
          <w:szCs w:val="20"/>
          <w:color w:val="auto"/>
        </w:rPr>
      </w:pPr>
    </w:p>
    <w:p>
      <w:pPr>
        <w:ind w:left="14"/>
        <w:spacing w:after="0"/>
        <w:rPr>
          <w:sz w:val="20"/>
          <w:szCs w:val="20"/>
          <w:color w:val="auto"/>
        </w:rPr>
      </w:pPr>
      <w:r>
        <w:rPr>
          <w:rFonts w:ascii="Arial" w:cs="Arial" w:eastAsia="Arial" w:hAnsi="Arial"/>
          <w:sz w:val="19"/>
          <w:szCs w:val="19"/>
          <w:b w:val="1"/>
          <w:bCs w:val="1"/>
          <w:color w:val="FFFFFF"/>
        </w:rPr>
        <w:t>Check Kian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7025640" cy="168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25640" cy="168275"/>
                    </a:xfrm>
                    <a:prstGeom prst="rect">
                      <a:avLst/>
                    </a:prstGeom>
                    <a:noFill/>
                  </pic:spPr>
                </pic:pic>
              </a:graphicData>
            </a:graphic>
          </wp:anchor>
        </w:drawing>
      </w:r>
    </w:p>
    <w:p>
      <w:pPr>
        <w:sectPr>
          <w:pgSz w:w="11900" w:h="16838" w:orient="portrait"/>
          <w:cols w:equalWidth="0" w:num="1">
            <w:col w:w="11034"/>
          </w:cols>
          <w:pgMar w:left="326" w:top="181" w:right="539" w:bottom="1440" w:gutter="0" w:footer="0" w:header="0"/>
          <w:type w:val="continuous"/>
        </w:sectPr>
      </w:pPr>
    </w:p>
    <w:p>
      <w:pPr>
        <w:spacing w:after="0" w:line="166" w:lineRule="exact"/>
        <w:rPr>
          <w:sz w:val="20"/>
          <w:szCs w:val="20"/>
          <w:color w:val="auto"/>
        </w:rPr>
      </w:pPr>
    </w:p>
    <w:p>
      <w:pPr>
        <w:ind w:left="14"/>
        <w:spacing w:after="0"/>
        <w:rPr>
          <w:sz w:val="20"/>
          <w:szCs w:val="20"/>
          <w:color w:val="auto"/>
        </w:rPr>
      </w:pPr>
      <w:r>
        <w:rPr>
          <w:rFonts w:ascii="Arial" w:cs="Arial" w:eastAsia="Arial" w:hAnsi="Arial"/>
          <w:sz w:val="17"/>
          <w:szCs w:val="17"/>
          <w:color w:val="262626"/>
        </w:rPr>
        <w:t>Independent Director</w:t>
      </w:r>
    </w:p>
    <w:p>
      <w:pPr>
        <w:spacing w:after="0" w:line="308" w:lineRule="exact"/>
        <w:rPr>
          <w:sz w:val="20"/>
          <w:szCs w:val="20"/>
          <w:color w:val="auto"/>
        </w:rPr>
      </w:pPr>
    </w:p>
    <w:p>
      <w:pPr>
        <w:ind w:left="14"/>
        <w:spacing w:after="0"/>
        <w:rPr>
          <w:sz w:val="20"/>
          <w:szCs w:val="20"/>
          <w:color w:val="auto"/>
        </w:rPr>
      </w:pPr>
      <w:r>
        <w:rPr>
          <w:rFonts w:ascii="Arial" w:cs="Arial" w:eastAsia="Arial" w:hAnsi="Arial"/>
          <w:sz w:val="18"/>
          <w:szCs w:val="18"/>
          <w:color w:val="262626"/>
        </w:rPr>
        <w:t>Director since 2016</w:t>
      </w:r>
    </w:p>
    <w:p>
      <w:pPr>
        <w:spacing w:after="0" w:line="244" w:lineRule="exact"/>
        <w:rPr>
          <w:sz w:val="20"/>
          <w:szCs w:val="20"/>
          <w:color w:val="auto"/>
        </w:rPr>
      </w:pPr>
    </w:p>
    <w:p>
      <w:pPr>
        <w:ind w:left="14"/>
        <w:spacing w:after="0"/>
        <w:rPr>
          <w:sz w:val="20"/>
          <w:szCs w:val="20"/>
          <w:color w:val="auto"/>
        </w:rPr>
      </w:pPr>
      <w:r>
        <w:rPr>
          <w:rFonts w:ascii="Arial" w:cs="Arial" w:eastAsia="Arial" w:hAnsi="Arial"/>
          <w:sz w:val="18"/>
          <w:szCs w:val="18"/>
          <w:color w:val="262626"/>
        </w:rPr>
        <w:t>Board Committees:</w:t>
      </w:r>
    </w:p>
    <w:p>
      <w:pPr>
        <w:spacing w:after="0" w:line="5" w:lineRule="exact"/>
        <w:rPr>
          <w:sz w:val="20"/>
          <w:szCs w:val="20"/>
          <w:color w:val="auto"/>
        </w:rPr>
      </w:pPr>
    </w:p>
    <w:p>
      <w:pPr>
        <w:ind w:left="254" w:hanging="157"/>
        <w:spacing w:after="0"/>
        <w:tabs>
          <w:tab w:leader="none" w:pos="254" w:val="left"/>
        </w:tabs>
        <w:numPr>
          <w:ilvl w:val="0"/>
          <w:numId w:val="31"/>
        </w:numPr>
        <w:rPr>
          <w:rFonts w:ascii="Arial" w:cs="Arial" w:eastAsia="Arial" w:hAnsi="Arial"/>
          <w:sz w:val="18"/>
          <w:szCs w:val="18"/>
          <w:color w:val="262626"/>
        </w:rPr>
      </w:pPr>
      <w:r>
        <w:rPr>
          <w:rFonts w:ascii="Arial" w:cs="Arial" w:eastAsia="Arial" w:hAnsi="Arial"/>
          <w:sz w:val="18"/>
          <w:szCs w:val="18"/>
          <w:color w:val="262626"/>
        </w:rPr>
        <w:t>Compensation</w:t>
      </w:r>
    </w:p>
    <w:p>
      <w:pPr>
        <w:spacing w:after="0" w:line="5" w:lineRule="exact"/>
        <w:rPr>
          <w:rFonts w:ascii="Arial" w:cs="Arial" w:eastAsia="Arial" w:hAnsi="Arial"/>
          <w:sz w:val="18"/>
          <w:szCs w:val="18"/>
          <w:color w:val="262626"/>
        </w:rPr>
      </w:pPr>
    </w:p>
    <w:p>
      <w:pPr>
        <w:ind w:left="254" w:hanging="157"/>
        <w:spacing w:after="0"/>
        <w:tabs>
          <w:tab w:leader="none" w:pos="254" w:val="left"/>
        </w:tabs>
        <w:numPr>
          <w:ilvl w:val="0"/>
          <w:numId w:val="31"/>
        </w:numPr>
        <w:rPr>
          <w:rFonts w:ascii="Arial" w:cs="Arial" w:eastAsia="Arial" w:hAnsi="Arial"/>
          <w:sz w:val="18"/>
          <w:szCs w:val="18"/>
          <w:color w:val="262626"/>
        </w:rPr>
      </w:pPr>
      <w:r>
        <w:rPr>
          <w:rFonts w:ascii="Arial" w:cs="Arial" w:eastAsia="Arial" w:hAnsi="Arial"/>
          <w:sz w:val="18"/>
          <w:szCs w:val="18"/>
          <w:color w:val="262626"/>
        </w:rPr>
        <w:t>NESG</w:t>
      </w:r>
    </w:p>
    <w:p>
      <w:pPr>
        <w:spacing w:after="0" w:line="217" w:lineRule="exact"/>
        <w:rPr>
          <w:sz w:val="20"/>
          <w:szCs w:val="20"/>
          <w:color w:val="auto"/>
        </w:rPr>
      </w:pPr>
    </w:p>
    <w:p>
      <w:pPr>
        <w:ind w:left="14"/>
        <w:spacing w:after="0"/>
        <w:rPr>
          <w:sz w:val="20"/>
          <w:szCs w:val="20"/>
          <w:color w:val="auto"/>
        </w:rPr>
      </w:pPr>
      <w:r>
        <w:rPr>
          <w:rFonts w:ascii="Arial" w:cs="Arial" w:eastAsia="Arial" w:hAnsi="Arial"/>
          <w:sz w:val="18"/>
          <w:szCs w:val="18"/>
          <w:color w:val="262626"/>
        </w:rPr>
        <w:t>Age: 62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262626"/>
        </w:rPr>
        <w:t>Mr. Low has served as a founding partner and director of NewSmith Capital Partners LLP, an independent partnership providing corporate finance advice and investment management services, for which he manages the Asia Pacific offices, since 2003. He is an owner and director of Cluny Capital Limited (BVI) since 2007. He has also served as Special Advisor to Singapore Telecommunications Limited since October 2021. Prior to founding NewSmith in 2003, he held various positions at Merrill Lynch &amp; Co., including as Senior Vice-President, member of the Executive Management Committee and Chairman for the Asia Pacific Region. Mr. Low also serves as a trustee of the Nanyang Technological University and Singapore London School of Economics Trust.</w:t>
      </w:r>
    </w:p>
    <w:p>
      <w:pPr>
        <w:spacing w:after="0" w:line="105"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262626"/>
        </w:rPr>
        <w:t>Mr. Low served as a director of Singapore Telecommunications Limited from May 2011 to July 2021 and Neptune Orient Lines Limited from 2011 to 2016.</w:t>
      </w:r>
    </w:p>
    <w:p>
      <w:pPr>
        <w:spacing w:after="0" w:line="7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i w:val="1"/>
          <w:iCs w:val="1"/>
          <w:color w:val="262626"/>
        </w:rPr>
        <w:t>Qualifications</w:t>
      </w:r>
      <w:r>
        <w:rPr>
          <w:rFonts w:ascii="Arial" w:cs="Arial" w:eastAsia="Arial" w:hAnsi="Arial"/>
          <w:sz w:val="18"/>
          <w:szCs w:val="18"/>
          <w:color w:val="262626"/>
        </w:rPr>
        <w:t>: Mr. Low brings global business, business development and strategy, executive leadership</w:t>
      </w:r>
      <w:r>
        <w:rPr>
          <w:rFonts w:ascii="Arial" w:cs="Arial" w:eastAsia="Arial" w:hAnsi="Arial"/>
          <w:sz w:val="18"/>
          <w:szCs w:val="18"/>
          <w:i w:val="1"/>
          <w:iCs w:val="1"/>
          <w:color w:val="262626"/>
        </w:rPr>
        <w:t xml:space="preserve"> </w:t>
      </w:r>
      <w:r>
        <w:rPr>
          <w:rFonts w:ascii="Arial" w:cs="Arial" w:eastAsia="Arial" w:hAnsi="Arial"/>
          <w:sz w:val="18"/>
          <w:szCs w:val="18"/>
          <w:color w:val="262626"/>
        </w:rPr>
        <w:t>and finance/accounting expertise to the Board from his considerable executive management, global business and financial and investment experience, as well as his public company board and committee experience.</w:t>
      </w:r>
    </w:p>
    <w:p>
      <w:pPr>
        <w:spacing w:after="0" w:line="200" w:lineRule="exact"/>
        <w:rPr>
          <w:sz w:val="20"/>
          <w:szCs w:val="20"/>
          <w:color w:val="auto"/>
        </w:rPr>
      </w:pPr>
    </w:p>
    <w:p>
      <w:pPr>
        <w:sectPr>
          <w:pgSz w:w="11900" w:h="16838" w:orient="portrait"/>
          <w:cols w:equalWidth="0" w:num="2">
            <w:col w:w="1994" w:space="720"/>
            <w:col w:w="8320"/>
          </w:cols>
          <w:pgMar w:left="326" w:top="181" w:right="5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354" w:hanging="354"/>
        <w:spacing w:after="0"/>
        <w:tabs>
          <w:tab w:leader="none" w:pos="354" w:val="left"/>
        </w:tabs>
        <w:numPr>
          <w:ilvl w:val="0"/>
          <w:numId w:val="32"/>
        </w:numPr>
        <w:rPr>
          <w:rFonts w:ascii="Arial" w:cs="Arial" w:eastAsia="Arial" w:hAnsi="Arial"/>
          <w:sz w:val="15"/>
          <w:szCs w:val="15"/>
          <w:color w:val="242424"/>
        </w:rPr>
      </w:pPr>
      <w:r>
        <w:rPr>
          <w:rFonts w:ascii="Arial" w:cs="Arial" w:eastAsia="Arial" w:hAnsi="Arial"/>
          <w:sz w:val="15"/>
          <w:szCs w:val="15"/>
          <w:color w:val="CC092F"/>
        </w:rPr>
        <w:t>2022 Proxy Statement</w:t>
      </w:r>
    </w:p>
    <w:p>
      <w:pPr>
        <w:sectPr>
          <w:pgSz w:w="11900" w:h="16838" w:orient="portrait"/>
          <w:cols w:equalWidth="0" w:num="1">
            <w:col w:w="11034"/>
          </w:cols>
          <w:pgMar w:left="326" w:top="181" w:right="53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6"/>
          <w:szCs w:val="16"/>
          <w:color w:val="CC092F"/>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Justine F.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033895" cy="168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3895" cy="168275"/>
                    </a:xfrm>
                    <a:prstGeom prst="rect">
                      <a:avLst/>
                    </a:prstGeom>
                    <a:noFill/>
                  </pic:spPr>
                </pic:pic>
              </a:graphicData>
            </a:graphic>
          </wp:anchor>
        </w:drawing>
      </w:r>
    </w:p>
    <w:p>
      <w:pPr>
        <w:sectPr>
          <w:pgSz w:w="11900" w:h="16838" w:orient="portrait"/>
          <w:cols w:equalWidth="0" w:num="1">
            <w:col w:w="11220"/>
          </w:cols>
          <w:pgMar w:left="320" w:top="181" w:right="359" w:bottom="1440" w:gutter="0" w:footer="0" w:header="0"/>
        </w:sect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7"/>
          <w:szCs w:val="17"/>
          <w:color w:val="262626"/>
        </w:rPr>
        <w:t>Independent Director</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Director since 2019</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Board Committees:</w:t>
      </w:r>
    </w:p>
    <w:p>
      <w:pPr>
        <w:spacing w:after="0" w:line="5" w:lineRule="exact"/>
        <w:rPr>
          <w:sz w:val="20"/>
          <w:szCs w:val="20"/>
          <w:color w:val="auto"/>
        </w:rPr>
      </w:pPr>
    </w:p>
    <w:p>
      <w:pPr>
        <w:ind w:left="260" w:hanging="157"/>
        <w:spacing w:after="0"/>
        <w:tabs>
          <w:tab w:leader="none" w:pos="260" w:val="left"/>
        </w:tabs>
        <w:numPr>
          <w:ilvl w:val="0"/>
          <w:numId w:val="33"/>
        </w:numPr>
        <w:rPr>
          <w:rFonts w:ascii="Arial" w:cs="Arial" w:eastAsia="Arial" w:hAnsi="Arial"/>
          <w:sz w:val="18"/>
          <w:szCs w:val="18"/>
          <w:color w:val="262626"/>
        </w:rPr>
      </w:pPr>
      <w:r>
        <w:rPr>
          <w:rFonts w:ascii="Arial" w:cs="Arial" w:eastAsia="Arial" w:hAnsi="Arial"/>
          <w:sz w:val="18"/>
          <w:szCs w:val="18"/>
          <w:color w:val="262626"/>
        </w:rPr>
        <w:t>Audit (Chair)</w:t>
      </w:r>
    </w:p>
    <w:p>
      <w:pPr>
        <w:spacing w:after="0" w:line="5" w:lineRule="exact"/>
        <w:rPr>
          <w:rFonts w:ascii="Arial" w:cs="Arial" w:eastAsia="Arial" w:hAnsi="Arial"/>
          <w:sz w:val="18"/>
          <w:szCs w:val="18"/>
          <w:color w:val="262626"/>
        </w:rPr>
      </w:pPr>
    </w:p>
    <w:p>
      <w:pPr>
        <w:ind w:left="260" w:hanging="157"/>
        <w:spacing w:after="0"/>
        <w:tabs>
          <w:tab w:leader="none" w:pos="260" w:val="left"/>
        </w:tabs>
        <w:numPr>
          <w:ilvl w:val="0"/>
          <w:numId w:val="33"/>
        </w:numPr>
        <w:rPr>
          <w:rFonts w:ascii="Arial" w:cs="Arial" w:eastAsia="Arial" w:hAnsi="Arial"/>
          <w:sz w:val="18"/>
          <w:szCs w:val="18"/>
          <w:color w:val="262626"/>
        </w:rPr>
      </w:pPr>
      <w:r>
        <w:rPr>
          <w:rFonts w:ascii="Arial" w:cs="Arial" w:eastAsia="Arial" w:hAnsi="Arial"/>
          <w:sz w:val="18"/>
          <w:szCs w:val="18"/>
          <w:color w:val="262626"/>
        </w:rPr>
        <w:t>Executive</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Age: 59</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262626"/>
        </w:rPr>
        <w:t>Ms. Page served as Vice President of Finance, Chief Financial Officer and Secretary of Integrated Circuit Systems, Inc. (“ICS”), a publicly-traded timing solutions IC company, from 1999 until its acquisition by Integrated Device Technology, Inc. (“IDT”) in 2005. She also held several leadership positions at ICS, including as Director of Finance and Administration and Assistant Treasurer from 1993 to 1999. She holds a B.A. degree in accounting from Immaculata College and a Master of Taxation degree from Villanova University.</w:t>
      </w:r>
    </w:p>
    <w:p>
      <w:pPr>
        <w:spacing w:after="0" w:line="105"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262626"/>
        </w:rPr>
        <w:t>Ms. Page served as a director of Broadcom Limited from 2016 to 2017, SunEdison Semiconductor Limited from 2014 to 2016 and Avago Technologies Limited from 2008 to 2016.</w:t>
      </w:r>
    </w:p>
    <w:p>
      <w:pPr>
        <w:spacing w:after="0" w:line="79"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i w:val="1"/>
          <w:iCs w:val="1"/>
          <w:color w:val="262626"/>
        </w:rPr>
        <w:t>Qualifications</w:t>
      </w:r>
      <w:r>
        <w:rPr>
          <w:rFonts w:ascii="Arial" w:cs="Arial" w:eastAsia="Arial" w:hAnsi="Arial"/>
          <w:sz w:val="17"/>
          <w:szCs w:val="17"/>
          <w:color w:val="262626"/>
        </w:rPr>
        <w:t>: Ms. Page brings semiconductor, manufacturing/supply chain, cybersecurity, global</w:t>
      </w:r>
      <w:r>
        <w:rPr>
          <w:rFonts w:ascii="Arial" w:cs="Arial" w:eastAsia="Arial" w:hAnsi="Arial"/>
          <w:sz w:val="17"/>
          <w:szCs w:val="17"/>
          <w:i w:val="1"/>
          <w:iCs w:val="1"/>
          <w:color w:val="262626"/>
        </w:rPr>
        <w:t xml:space="preserve"> </w:t>
      </w:r>
      <w:r>
        <w:rPr>
          <w:rFonts w:ascii="Arial" w:cs="Arial" w:eastAsia="Arial" w:hAnsi="Arial"/>
          <w:sz w:val="17"/>
          <w:szCs w:val="17"/>
          <w:color w:val="262626"/>
        </w:rPr>
        <w:t>business, executive leadership and finance/accounting expertise to the Board from serving as Chief Financial Officer of ICS, her leadership positions in finance at semiconductor companies and her education and training in accounting, as well as her public company board and committee experience.</w:t>
      </w:r>
    </w:p>
    <w:p>
      <w:pPr>
        <w:spacing w:after="0" w:line="200" w:lineRule="exact"/>
        <w:rPr>
          <w:sz w:val="20"/>
          <w:szCs w:val="20"/>
          <w:color w:val="auto"/>
        </w:rPr>
      </w:pPr>
    </w:p>
    <w:p>
      <w:pPr>
        <w:sectPr>
          <w:pgSz w:w="11900" w:h="16838" w:orient="portrait"/>
          <w:cols w:equalWidth="0" w:num="2">
            <w:col w:w="2000" w:space="720"/>
            <w:col w:w="8500"/>
          </w:cols>
          <w:pgMar w:left="320" w:top="181" w:right="359" w:bottom="1440" w:gutter="0" w:footer="0" w:header="0"/>
          <w:type w:val="continuous"/>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Henry Samueli,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025640" cy="168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25640" cy="168275"/>
                    </a:xfrm>
                    <a:prstGeom prst="rect">
                      <a:avLst/>
                    </a:prstGeom>
                    <a:noFill/>
                  </pic:spPr>
                </pic:pic>
              </a:graphicData>
            </a:graphic>
          </wp:anchor>
        </w:drawing>
      </w:r>
    </w:p>
    <w:p>
      <w:pPr>
        <w:sectPr>
          <w:pgSz w:w="11900" w:h="16838" w:orient="portrait"/>
          <w:cols w:equalWidth="0" w:num="1">
            <w:col w:w="11220"/>
          </w:cols>
          <w:pgMar w:left="320" w:top="181" w:right="359" w:bottom="1440" w:gutter="0" w:footer="0" w:header="0"/>
          <w:type w:val="continuous"/>
        </w:sectPr>
      </w:pPr>
    </w:p>
    <w:p>
      <w:pPr>
        <w:spacing w:after="0" w:line="179" w:lineRule="exact"/>
        <w:rPr>
          <w:sz w:val="20"/>
          <w:szCs w:val="20"/>
          <w:color w:val="auto"/>
        </w:rPr>
      </w:pPr>
    </w:p>
    <w:p>
      <w:pPr>
        <w:ind w:left="20"/>
        <w:spacing w:after="0" w:line="251" w:lineRule="auto"/>
        <w:rPr>
          <w:sz w:val="20"/>
          <w:szCs w:val="20"/>
          <w:color w:val="auto"/>
        </w:rPr>
      </w:pPr>
      <w:r>
        <w:rPr>
          <w:rFonts w:ascii="Arial" w:cs="Arial" w:eastAsia="Arial" w:hAnsi="Arial"/>
          <w:sz w:val="18"/>
          <w:szCs w:val="18"/>
          <w:color w:val="262626"/>
        </w:rPr>
        <w:t>Chairman of the Board since 2018</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Director since 2016</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Board Committees:</w:t>
      </w:r>
    </w:p>
    <w:p>
      <w:pPr>
        <w:spacing w:after="0" w:line="5" w:lineRule="exact"/>
        <w:rPr>
          <w:sz w:val="20"/>
          <w:szCs w:val="20"/>
          <w:color w:val="auto"/>
        </w:rPr>
      </w:pPr>
    </w:p>
    <w:p>
      <w:pPr>
        <w:ind w:left="20" w:right="640" w:firstLine="83"/>
        <w:spacing w:after="0" w:line="497" w:lineRule="auto"/>
        <w:tabs>
          <w:tab w:leader="none" w:pos="254" w:val="left"/>
        </w:tabs>
        <w:numPr>
          <w:ilvl w:val="0"/>
          <w:numId w:val="34"/>
        </w:numPr>
        <w:rPr>
          <w:rFonts w:ascii="Arial" w:cs="Arial" w:eastAsia="Arial" w:hAnsi="Arial"/>
          <w:sz w:val="18"/>
          <w:szCs w:val="18"/>
          <w:color w:val="262626"/>
        </w:rPr>
      </w:pPr>
      <w:r>
        <w:rPr>
          <w:rFonts w:ascii="Arial" w:cs="Arial" w:eastAsia="Arial" w:hAnsi="Arial"/>
          <w:sz w:val="18"/>
          <w:szCs w:val="18"/>
          <w:color w:val="262626"/>
        </w:rPr>
        <w:t>Executive (Chair) Age: 67</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262626"/>
        </w:rPr>
        <w:t>Dr. Samueli served as our as Chief Technical Officer from February 2016 to December 2018. He co-founded Broadcom Corporation and was Chief Technical Officer from its inception in 1991 to 2008 and 2009 to 2016, a technology advisor from 2008 to 2009, and Vice President of Research and Development from 1991 to 2003. He is also the co-owner of the National Hockey League’s Anaheim Ducks since 2005. He is a Professor in the Electrical and Computer Engineering Department at the University of California, Los Angeles since 1985 (on leave of absence since 1995) and a Distinguished Adjunct Professor in the Electrical Engineering and Computer Science Department at the University of California, Irvine since 2003. Prior to Broadcom Corporation, he co-founded and was Chief Scientist at PairGain Technologies from 1988 to 1994. He held various engineering and management positions in the Electronics and Technology Division of TRW, Inc. from 1980 to 1985. He is a Fellow of the Institute of Electrical and Electronics Engineers (IEEE), a Fellow of the American Academy of Arts and Sciences, a Fellow of the National Academy of Inventors and a Member of the National Academy of Engineering.</w:t>
      </w:r>
    </w:p>
    <w:p>
      <w:pPr>
        <w:spacing w:after="0" w:line="104" w:lineRule="exact"/>
        <w:rPr>
          <w:sz w:val="20"/>
          <w:szCs w:val="20"/>
          <w:color w:val="auto"/>
        </w:rPr>
      </w:pPr>
    </w:p>
    <w:p>
      <w:pPr>
        <w:ind w:right="460"/>
        <w:spacing w:after="0" w:line="251" w:lineRule="auto"/>
        <w:rPr>
          <w:sz w:val="20"/>
          <w:szCs w:val="20"/>
          <w:color w:val="auto"/>
        </w:rPr>
      </w:pPr>
      <w:r>
        <w:rPr>
          <w:rFonts w:ascii="Arial" w:cs="Arial" w:eastAsia="Arial" w:hAnsi="Arial"/>
          <w:sz w:val="18"/>
          <w:szCs w:val="18"/>
          <w:color w:val="262626"/>
        </w:rPr>
        <w:t>Dr. Samueli served as Chairman and Co-Chairman of the board of Broadcom Corporation from 2011 to 2016 and from 1991 to 2008.</w:t>
      </w:r>
    </w:p>
    <w:p>
      <w:pPr>
        <w:spacing w:after="0" w:line="79" w:lineRule="exact"/>
        <w:rPr>
          <w:sz w:val="20"/>
          <w:szCs w:val="20"/>
          <w:color w:val="auto"/>
        </w:rPr>
      </w:pPr>
    </w:p>
    <w:p>
      <w:pPr>
        <w:ind w:right="440"/>
        <w:spacing w:after="0" w:line="251" w:lineRule="auto"/>
        <w:rPr>
          <w:sz w:val="20"/>
          <w:szCs w:val="20"/>
          <w:color w:val="auto"/>
        </w:rPr>
      </w:pPr>
      <w:r>
        <w:rPr>
          <w:rFonts w:ascii="Arial" w:cs="Arial" w:eastAsia="Arial" w:hAnsi="Arial"/>
          <w:sz w:val="18"/>
          <w:szCs w:val="18"/>
          <w:i w:val="1"/>
          <w:iCs w:val="1"/>
          <w:color w:val="262626"/>
        </w:rPr>
        <w:t>Qualifications</w:t>
      </w:r>
      <w:r>
        <w:rPr>
          <w:rFonts w:ascii="Arial" w:cs="Arial" w:eastAsia="Arial" w:hAnsi="Arial"/>
          <w:sz w:val="18"/>
          <w:szCs w:val="18"/>
          <w:color w:val="262626"/>
        </w:rPr>
        <w:t>: Dr. Samueli brings semiconductor, manufacturing/supply chain, technology/innovation,</w:t>
      </w:r>
      <w:r>
        <w:rPr>
          <w:rFonts w:ascii="Arial" w:cs="Arial" w:eastAsia="Arial" w:hAnsi="Arial"/>
          <w:sz w:val="18"/>
          <w:szCs w:val="18"/>
          <w:i w:val="1"/>
          <w:iCs w:val="1"/>
          <w:color w:val="262626"/>
        </w:rPr>
        <w:t xml:space="preserve"> </w:t>
      </w:r>
      <w:r>
        <w:rPr>
          <w:rFonts w:ascii="Arial" w:cs="Arial" w:eastAsia="Arial" w:hAnsi="Arial"/>
          <w:sz w:val="18"/>
          <w:szCs w:val="18"/>
          <w:color w:val="262626"/>
        </w:rPr>
        <w:t>global business, business development and strategy, executive leadership and finance/accounting expertise to the Board from co-founding Broadcom Corporation and PairGain Technologies, his over 40 years of engineering and management experience in the fields of communications systems and semiconductors, serving as Chief Technical Officer and his understanding of our technologies, business and industry.</w:t>
      </w:r>
    </w:p>
    <w:p>
      <w:pPr>
        <w:spacing w:after="0" w:line="200" w:lineRule="exact"/>
        <w:rPr>
          <w:sz w:val="20"/>
          <w:szCs w:val="20"/>
          <w:color w:val="auto"/>
        </w:rPr>
      </w:pPr>
    </w:p>
    <w:p>
      <w:pPr>
        <w:sectPr>
          <w:pgSz w:w="11900" w:h="16838" w:orient="portrait"/>
          <w:cols w:equalWidth="0" w:num="2">
            <w:col w:w="2260" w:space="460"/>
            <w:col w:w="8500"/>
          </w:cols>
          <w:pgMar w:left="320" w:top="181" w:right="35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19</w:t>
      </w:r>
    </w:p>
    <w:p>
      <w:pPr>
        <w:sectPr>
          <w:pgSz w:w="11900" w:h="16838" w:orient="portrait"/>
          <w:cols w:equalWidth="0" w:num="1">
            <w:col w:w="11220"/>
          </w:cols>
          <w:pgMar w:left="320" w:top="181" w:right="359" w:bottom="1440" w:gutter="0" w:footer="0" w:header="0"/>
          <w:type w:val="continuous"/>
        </w:sectPr>
      </w:pPr>
    </w:p>
    <w:bookmarkStart w:id="22" w:name="page23"/>
    <w:bookmarkEnd w:id="22"/>
    <w:p>
      <w:pPr>
        <w:ind w:left="20"/>
        <w:spacing w:after="0"/>
        <w:rPr>
          <w:sz w:val="20"/>
          <w:szCs w:val="20"/>
          <w:color w:val="auto"/>
        </w:rPr>
      </w:pPr>
      <w:r>
        <w:rPr>
          <w:rFonts w:ascii="Arial" w:cs="Arial" w:eastAsia="Arial" w:hAnsi="Arial"/>
          <w:sz w:val="15"/>
          <w:szCs w:val="15"/>
          <w:color w:val="CC092F"/>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025640" cy="168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25640" cy="168275"/>
                    </a:xfrm>
                    <a:prstGeom prst="rect">
                      <a:avLst/>
                    </a:prstGeom>
                    <a:noFill/>
                  </pic:spPr>
                </pic:pic>
              </a:graphicData>
            </a:graphic>
          </wp:anchor>
        </w:drawing>
      </w:r>
    </w:p>
    <w:p>
      <w:pPr>
        <w:sectPr>
          <w:pgSz w:w="11900" w:h="16838" w:orient="portrait"/>
          <w:cols w:equalWidth="0" w:num="1">
            <w:col w:w="11040"/>
          </w:cols>
          <w:pgMar w:left="320" w:top="181" w:right="53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President &amp; CEO</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7"/>
          <w:szCs w:val="17"/>
          <w:color w:val="262626"/>
        </w:rPr>
        <w:t>Director since 2006</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7"/>
          <w:szCs w:val="17"/>
          <w:color w:val="262626"/>
        </w:rPr>
        <w:t>Board Committees:</w:t>
      </w:r>
    </w:p>
    <w:p>
      <w:pPr>
        <w:spacing w:after="0" w:line="17" w:lineRule="exact"/>
        <w:rPr>
          <w:sz w:val="20"/>
          <w:szCs w:val="20"/>
          <w:color w:val="auto"/>
        </w:rPr>
      </w:pPr>
    </w:p>
    <w:p>
      <w:pPr>
        <w:ind w:left="20" w:right="980" w:firstLine="83"/>
        <w:spacing w:after="0" w:line="540" w:lineRule="auto"/>
        <w:tabs>
          <w:tab w:leader="none" w:pos="254" w:val="left"/>
        </w:tabs>
        <w:numPr>
          <w:ilvl w:val="0"/>
          <w:numId w:val="35"/>
        </w:numPr>
        <w:rPr>
          <w:rFonts w:ascii="Arial" w:cs="Arial" w:eastAsia="Arial" w:hAnsi="Arial"/>
          <w:sz w:val="17"/>
          <w:szCs w:val="17"/>
          <w:color w:val="262626"/>
        </w:rPr>
      </w:pPr>
      <w:r>
        <w:rPr>
          <w:rFonts w:ascii="Arial" w:cs="Arial" w:eastAsia="Arial" w:hAnsi="Arial"/>
          <w:sz w:val="17"/>
          <w:szCs w:val="17"/>
          <w:color w:val="262626"/>
        </w:rPr>
        <w:t>Executive Age: 70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Mr. Tan has served as our President and CEO since March 2006. He was President and Chief Executive Officer at Integrated Circuit Systems, Inc. (“ICS”), a publicly-traded timing solutions IC company, from 1999 until its acquisition by Integrated Device Technology (“IDT”) in 2005. He also served in a number of executive positions at ICS, including as Chief Operating Officer from 1996 to 1999 and Senior Vice President and Chief Financial Officer from 1995 to 1999. He was Vice President of Finance at Commodore International, Ltd. from 1992 to 1994, and held senior management positions at PepsiCo, Inc. and General Motors Corporation. He was also managing director of Pacven Investment, Ltd., a venture capital fund in Singapore, from 1988 to 1992, and was managing director of Hume Industries Ltd. in Malaysia from 1983 to 1988.</w:t>
      </w:r>
    </w:p>
    <w:p>
      <w:pPr>
        <w:spacing w:after="0" w:line="105" w:lineRule="exact"/>
        <w:rPr>
          <w:sz w:val="20"/>
          <w:szCs w:val="20"/>
          <w:color w:val="auto"/>
        </w:rPr>
      </w:pPr>
    </w:p>
    <w:p>
      <w:pPr>
        <w:ind w:right="720"/>
        <w:spacing w:after="0" w:line="251" w:lineRule="auto"/>
        <w:rPr>
          <w:sz w:val="20"/>
          <w:szCs w:val="20"/>
          <w:color w:val="auto"/>
        </w:rPr>
      </w:pPr>
      <w:r>
        <w:rPr>
          <w:rFonts w:ascii="Arial" w:cs="Arial" w:eastAsia="Arial" w:hAnsi="Arial"/>
          <w:sz w:val="18"/>
          <w:szCs w:val="18"/>
          <w:color w:val="auto"/>
        </w:rPr>
        <w:t>Mr. Tan was Chairman of the board of IDT, a publicly-traded semiconductor company, following its acquisition of ICS from 2005 to 2008.</w:t>
      </w:r>
    </w:p>
    <w:p>
      <w:pPr>
        <w:spacing w:after="0" w:line="7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i w:val="1"/>
          <w:iCs w:val="1"/>
          <w:color w:val="auto"/>
        </w:rPr>
        <w:t>Qualifications</w:t>
      </w:r>
      <w:r>
        <w:rPr>
          <w:rFonts w:ascii="Arial" w:cs="Arial" w:eastAsia="Arial" w:hAnsi="Arial"/>
          <w:sz w:val="18"/>
          <w:szCs w:val="18"/>
          <w:color w:val="auto"/>
        </w:rPr>
        <w:t>: Mr. Tan brings semiconductor, software/cloud computing, manufacturing/supply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technology/innovation, global business, cybersecurity, business development and strategy, executive leadership and finance/accounting expertise to the Board from serving as our President and CEO and President and Chief Executive Officer of ICS and his extensive executive leadership in the technology and semiconductor industry and organizational management, as well as serving as Chairman of the board of IDT.</w:t>
      </w:r>
    </w:p>
    <w:p>
      <w:pPr>
        <w:spacing w:after="0" w:line="200" w:lineRule="exact"/>
        <w:rPr>
          <w:sz w:val="20"/>
          <w:szCs w:val="20"/>
          <w:color w:val="auto"/>
        </w:rPr>
      </w:pPr>
    </w:p>
    <w:p>
      <w:pPr>
        <w:sectPr>
          <w:pgSz w:w="11900" w:h="16838" w:orient="portrait"/>
          <w:cols w:equalWidth="0" w:num="2">
            <w:col w:w="2000" w:space="720"/>
            <w:col w:w="8320"/>
          </w:cols>
          <w:pgMar w:left="320" w:top="181" w:right="539" w:bottom="1440" w:gutter="0" w:footer="0" w:header="0"/>
          <w:type w:val="continuous"/>
        </w:sectPr>
      </w:pPr>
    </w:p>
    <w:p>
      <w:pPr>
        <w:spacing w:after="0" w:line="18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Harry L.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025640" cy="168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5640" cy="168275"/>
                    </a:xfrm>
                    <a:prstGeom prst="rect">
                      <a:avLst/>
                    </a:prstGeom>
                    <a:noFill/>
                  </pic:spPr>
                </pic:pic>
              </a:graphicData>
            </a:graphic>
          </wp:anchor>
        </w:drawing>
      </w:r>
    </w:p>
    <w:p>
      <w:pPr>
        <w:sectPr>
          <w:pgSz w:w="11900" w:h="16838" w:orient="portrait"/>
          <w:cols w:equalWidth="0" w:num="1">
            <w:col w:w="11040"/>
          </w:cols>
          <w:pgMar w:left="320" w:top="181" w:right="539" w:bottom="1440" w:gutter="0" w:footer="0" w:header="0"/>
          <w:type w:val="continuous"/>
        </w:sect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Independent Director</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Director since 2019</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Board Committees:</w:t>
      </w:r>
    </w:p>
    <w:p>
      <w:pPr>
        <w:spacing w:after="0" w:line="5" w:lineRule="exact"/>
        <w:rPr>
          <w:sz w:val="20"/>
          <w:szCs w:val="20"/>
          <w:color w:val="auto"/>
        </w:rPr>
      </w:pPr>
    </w:p>
    <w:p>
      <w:pPr>
        <w:ind w:left="260" w:hanging="157"/>
        <w:spacing w:after="0"/>
        <w:tabs>
          <w:tab w:leader="none" w:pos="260" w:val="left"/>
        </w:tabs>
        <w:numPr>
          <w:ilvl w:val="0"/>
          <w:numId w:val="36"/>
        </w:numPr>
        <w:rPr>
          <w:rFonts w:ascii="Arial" w:cs="Arial" w:eastAsia="Arial" w:hAnsi="Arial"/>
          <w:sz w:val="18"/>
          <w:szCs w:val="18"/>
          <w:color w:val="262626"/>
        </w:rPr>
      </w:pPr>
      <w:r>
        <w:rPr>
          <w:rFonts w:ascii="Arial" w:cs="Arial" w:eastAsia="Arial" w:hAnsi="Arial"/>
          <w:sz w:val="18"/>
          <w:szCs w:val="18"/>
          <w:color w:val="262626"/>
        </w:rPr>
        <w:t>Audit</w:t>
      </w:r>
    </w:p>
    <w:p>
      <w:pPr>
        <w:spacing w:after="0" w:line="5" w:lineRule="exact"/>
        <w:rPr>
          <w:rFonts w:ascii="Arial" w:cs="Arial" w:eastAsia="Arial" w:hAnsi="Arial"/>
          <w:sz w:val="18"/>
          <w:szCs w:val="18"/>
          <w:color w:val="262626"/>
        </w:rPr>
      </w:pPr>
    </w:p>
    <w:p>
      <w:pPr>
        <w:ind w:left="260" w:hanging="157"/>
        <w:spacing w:after="0"/>
        <w:tabs>
          <w:tab w:leader="none" w:pos="260" w:val="left"/>
        </w:tabs>
        <w:numPr>
          <w:ilvl w:val="0"/>
          <w:numId w:val="36"/>
        </w:numPr>
        <w:rPr>
          <w:rFonts w:ascii="Arial" w:cs="Arial" w:eastAsia="Arial" w:hAnsi="Arial"/>
          <w:sz w:val="17"/>
          <w:szCs w:val="17"/>
          <w:color w:val="262626"/>
        </w:rPr>
      </w:pPr>
      <w:r>
        <w:rPr>
          <w:rFonts w:ascii="Arial" w:cs="Arial" w:eastAsia="Arial" w:hAnsi="Arial"/>
          <w:sz w:val="17"/>
          <w:szCs w:val="17"/>
          <w:color w:val="262626"/>
        </w:rPr>
        <w:t>Compensation (Chair)</w:t>
      </w:r>
    </w:p>
    <w:p>
      <w:pPr>
        <w:spacing w:after="0" w:line="16" w:lineRule="exact"/>
        <w:rPr>
          <w:rFonts w:ascii="Arial" w:cs="Arial" w:eastAsia="Arial" w:hAnsi="Arial"/>
          <w:sz w:val="17"/>
          <w:szCs w:val="17"/>
          <w:color w:val="262626"/>
        </w:rPr>
      </w:pPr>
    </w:p>
    <w:p>
      <w:pPr>
        <w:ind w:left="260" w:hanging="157"/>
        <w:spacing w:after="0"/>
        <w:tabs>
          <w:tab w:leader="none" w:pos="260" w:val="left"/>
        </w:tabs>
        <w:numPr>
          <w:ilvl w:val="0"/>
          <w:numId w:val="36"/>
        </w:numPr>
        <w:rPr>
          <w:rFonts w:ascii="Arial" w:cs="Arial" w:eastAsia="Arial" w:hAnsi="Arial"/>
          <w:sz w:val="18"/>
          <w:szCs w:val="18"/>
          <w:color w:val="262626"/>
        </w:rPr>
      </w:pPr>
      <w:r>
        <w:rPr>
          <w:rFonts w:ascii="Arial" w:cs="Arial" w:eastAsia="Arial" w:hAnsi="Arial"/>
          <w:sz w:val="18"/>
          <w:szCs w:val="18"/>
          <w:color w:val="262626"/>
        </w:rPr>
        <w:t>Executive</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262626"/>
        </w:rPr>
        <w:t>Age: 62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Mr. You served as Chief Financial Officer from September 2016 to August 2019 and President in May 2019 and from September 2016 to February 2019 of GTY Technology Holdings Inc., a software as a service company that offers cloud-based solutions for the public sector. He was Executive Vice President in the Office of the Chairman of EMC Corporation from 2008 to 2016. When Mr. You joined EMC in 2008, he oversaw corporate strategy and new business development, including mergers and acquisitions, joint ventures and venture capital activity. He was Chief Executive Officer from 2005 to 2007 and Interim Chief Financial Officer from 2005 to 2006 of BearingPoint Inc. He was Executive Vice President and Chief Financial Officer of Oracle Corporation from 2004 to 2005. Prior to joining Oracle, he held several key positions in finance, including as Chief Financial Officer of Accenture Ltd. and managing director in the Investment Banking Division of Morgan Stanley. He has also served as a trustee of the U.S. Olympic Committee Foundation since 2016.</w:t>
      </w:r>
    </w:p>
    <w:p>
      <w:pPr>
        <w:spacing w:after="0" w:line="104"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Mr. You currently serves as a director of Coupang, Inc., Genius Sports Limited, Rush Street Interactive, Inc. and IonQ, Inc. and as Vice Chairman of the board of GTY. Mr. You is also Chairman of the board of dMY Technology Group, Inc. VI, a special purpose acquisition company. Mr. You plans to reduce the number of boards on which he serves to no more than four other boards by the end of calendar 2022.</w:t>
      </w:r>
    </w:p>
    <w:p>
      <w:pPr>
        <w:spacing w:after="0" w:line="8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Mr. You also served as director of dMY Technology Group, Inc. II, a special purpose acquisition company, from June 2020 to April 2021, dMY Technology Group, Inc. IV, a special purpose acquisition company, from December 2020 to December 2021, and Korn/Ferry International from 2005 to 2016.</w:t>
      </w:r>
    </w:p>
    <w:p>
      <w:pPr>
        <w:spacing w:after="0" w:line="82"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i w:val="1"/>
          <w:iCs w:val="1"/>
          <w:color w:val="auto"/>
        </w:rPr>
        <w:t>Qualifications</w:t>
      </w:r>
      <w:r>
        <w:rPr>
          <w:rFonts w:ascii="Arial" w:cs="Arial" w:eastAsia="Arial" w:hAnsi="Arial"/>
          <w:sz w:val="18"/>
          <w:szCs w:val="18"/>
          <w:color w:val="auto"/>
        </w:rPr>
        <w:t>: Mr. You brings software/cloud computing, global business, cybersecurity,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strategy, executive leadership and finance/accounting expertise to the Board from serving as chief financial officer of multi-national companies, his extensive experience in mergers and acquisitions, financial and strategic planning, public company financial management, cybersecurity and organizational management and his executive leadership positions at various technology-driven companies, as well as his public company board and committee experience.</w:t>
      </w:r>
    </w:p>
    <w:p>
      <w:pPr>
        <w:spacing w:after="0" w:line="92" w:lineRule="exact"/>
        <w:rPr>
          <w:sz w:val="20"/>
          <w:szCs w:val="20"/>
          <w:color w:val="auto"/>
        </w:rPr>
      </w:pPr>
    </w:p>
    <w:p>
      <w:pPr>
        <w:sectPr>
          <w:pgSz w:w="11900" w:h="16838" w:orient="portrait"/>
          <w:cols w:equalWidth="0" w:num="2">
            <w:col w:w="2000" w:space="720"/>
            <w:col w:w="8320"/>
          </w:cols>
          <w:pgMar w:left="320" w:top="181" w:right="539" w:bottom="1440" w:gutter="0" w:footer="0" w:header="0"/>
          <w:type w:val="continuous"/>
        </w:sectPr>
      </w:pPr>
    </w:p>
    <w:p>
      <w:pPr>
        <w:jc w:val="right"/>
        <w:ind w:right="1300"/>
        <w:spacing w:after="0"/>
        <w:rPr>
          <w:sz w:val="20"/>
          <w:szCs w:val="20"/>
          <w:color w:val="auto"/>
        </w:rPr>
      </w:pPr>
      <w:r>
        <w:rPr>
          <w:rFonts w:ascii="Arial" w:cs="Arial" w:eastAsia="Arial" w:hAnsi="Arial"/>
          <w:sz w:val="21"/>
          <w:szCs w:val="21"/>
          <w:b w:val="1"/>
          <w:bCs w:val="1"/>
          <w:color w:val="CC092F"/>
        </w:rPr>
        <w:t xml:space="preserve">Our Board recommends a vote </w:t>
      </w:r>
      <w:r>
        <w:rPr>
          <w:rFonts w:ascii="Arial" w:cs="Arial" w:eastAsia="Arial" w:hAnsi="Arial"/>
          <w:sz w:val="21"/>
          <w:szCs w:val="21"/>
          <w:b w:val="1"/>
          <w:bCs w:val="1"/>
          <w:u w:val="single" w:color="auto"/>
          <w:color w:val="CC092F"/>
        </w:rPr>
        <w:t>FOR</w:t>
      </w:r>
      <w:r>
        <w:rPr>
          <w:rFonts w:ascii="Arial" w:cs="Arial" w:eastAsia="Arial" w:hAnsi="Arial"/>
          <w:sz w:val="21"/>
          <w:szCs w:val="21"/>
          <w:b w:val="1"/>
          <w:bCs w:val="1"/>
          <w:color w:val="CC092F"/>
        </w:rPr>
        <w:t xml:space="preserve"> the election of each of the director nominees.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0" w:hanging="354"/>
        <w:spacing w:after="0"/>
        <w:tabs>
          <w:tab w:leader="none" w:pos="360" w:val="left"/>
        </w:tabs>
        <w:numPr>
          <w:ilvl w:val="0"/>
          <w:numId w:val="37"/>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040"/>
          </w:cols>
          <w:pgMar w:left="320" w:top="181" w:right="5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6"/>
          <w:szCs w:val="16"/>
          <w:color w:val="CC092F"/>
        </w:rPr>
        <w:t>PROPOSAL 2: RATIFICATION OF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28"/>
          <w:szCs w:val="28"/>
          <w:color w:val="CC092F"/>
        </w:rPr>
        <w:t>PROPOSAL 2:</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28"/>
          <w:szCs w:val="28"/>
          <w:color w:val="CC092F"/>
        </w:rPr>
        <w:t>RATIFICATION OF APPOINTMENT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CC092F"/>
        </w:rPr>
        <w:t>INDEPENDENT REGISTERED PUBLIC ACCOUNTING FIRM</w:t>
      </w:r>
    </w:p>
    <w:p>
      <w:pPr>
        <w:spacing w:after="0" w:line="224"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242424"/>
        </w:rPr>
        <w:t>The Audit Committee is responsible for the appointment, compensation, retention and oversight of the independent auditors retained to audit our consolidated financial statements. The Audit Committee has re-appointed PricewaterhouseCoopers LLP (“PwC”) as our independent auditors for Fiscal Year 2022. Our Board and the Audit Committee believe that the continued retention of PwC is in the best interests of Broadcom and our stockholders. We expect a representative from PwC to be present at the Annual Meeting. This representative will have the opportunity to make a statement if the representative so desires and is expected to be available to respond to appropriate questions.</w:t>
      </w:r>
    </w:p>
    <w:p>
      <w:pPr>
        <w:spacing w:after="0" w:line="140" w:lineRule="exact"/>
        <w:rPr>
          <w:sz w:val="20"/>
          <w:szCs w:val="20"/>
          <w:color w:val="auto"/>
        </w:rPr>
      </w:pPr>
    </w:p>
    <w:p>
      <w:pPr>
        <w:spacing w:after="0" w:line="266" w:lineRule="auto"/>
        <w:rPr>
          <w:sz w:val="20"/>
          <w:szCs w:val="20"/>
          <w:color w:val="auto"/>
        </w:rPr>
      </w:pPr>
      <w:r>
        <w:rPr>
          <w:rFonts w:ascii="Arial" w:cs="Arial" w:eastAsia="Arial" w:hAnsi="Arial"/>
          <w:sz w:val="17"/>
          <w:szCs w:val="17"/>
          <w:color w:val="242424"/>
        </w:rPr>
        <w:t>Our stockholders are not required to ratify the appointment of PwC as our independent auditors. However, we are submitting the appointment of PwC to our stockholders for ratification as a matter of good corporate practice. In the event of a negative vote, the Audit Committee will reconsider whether or not to continue to retain PwC. Even if the appointment is ratified, the Audit Committee, in its discretion, may change the appointment at any time during the year if it determines that such a change would be in the best interests of Broadcom and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Principal Accounting Fees and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242424"/>
        </w:rPr>
        <w:t>Set forth below are the fees for all services rendered by PwC to Broadcom for Fiscal Years 2021 and 2020.</w:t>
      </w:r>
    </w:p>
    <w:p>
      <w:pPr>
        <w:spacing w:after="0" w:line="105" w:lineRule="exact"/>
        <w:rPr>
          <w:sz w:val="20"/>
          <w:szCs w:val="20"/>
          <w:color w:val="auto"/>
        </w:rPr>
      </w:pPr>
    </w:p>
    <w:tbl>
      <w:tblPr>
        <w:tblLayout w:type="fixed"/>
        <w:tblInd w:w="1080" w:type="dxa"/>
        <w:tblCellMar>
          <w:top w:w="0" w:type="dxa"/>
          <w:left w:w="0" w:type="dxa"/>
          <w:bottom w:w="0" w:type="dxa"/>
          <w:right w:w="0" w:type="dxa"/>
        </w:tblCellMar>
      </w:tblPr>
      <w:tr>
        <w:trPr>
          <w:trHeight w:val="247"/>
        </w:trPr>
        <w:tc>
          <w:tcPr>
            <w:tcW w:w="4300" w:type="dxa"/>
            <w:vAlign w:val="bottom"/>
            <w:tcBorders>
              <w:top w:val="single" w:sz="8" w:color="CC092F"/>
            </w:tcBorders>
            <w:shd w:val="clear" w:color="auto" w:fill="B8B8B8"/>
          </w:tcPr>
          <w:p>
            <w:pPr>
              <w:spacing w:after="0"/>
              <w:rPr>
                <w:sz w:val="21"/>
                <w:szCs w:val="21"/>
                <w:color w:val="auto"/>
              </w:rPr>
            </w:pPr>
          </w:p>
        </w:tc>
        <w:tc>
          <w:tcPr>
            <w:tcW w:w="300" w:type="dxa"/>
            <w:vAlign w:val="bottom"/>
            <w:tcBorders>
              <w:top w:val="single" w:sz="8" w:color="CC092F"/>
            </w:tcBorders>
            <w:shd w:val="clear" w:color="auto" w:fill="B8B8B8"/>
          </w:tcPr>
          <w:p>
            <w:pPr>
              <w:spacing w:after="0"/>
              <w:rPr>
                <w:sz w:val="21"/>
                <w:szCs w:val="21"/>
                <w:color w:val="auto"/>
              </w:rPr>
            </w:pPr>
          </w:p>
        </w:tc>
        <w:tc>
          <w:tcPr>
            <w:tcW w:w="2020" w:type="dxa"/>
            <w:vAlign w:val="bottom"/>
            <w:tcBorders>
              <w:top w:val="single" w:sz="8" w:color="CC092F"/>
            </w:tcBorders>
            <w:gridSpan w:val="2"/>
            <w:shd w:val="clear" w:color="auto" w:fill="B8B8B8"/>
          </w:tcPr>
          <w:p>
            <w:pPr>
              <w:ind w:left="180"/>
              <w:spacing w:after="0"/>
              <w:rPr>
                <w:sz w:val="20"/>
                <w:szCs w:val="20"/>
                <w:color w:val="auto"/>
              </w:rPr>
            </w:pPr>
            <w:r>
              <w:rPr>
                <w:rFonts w:ascii="Arial" w:cs="Arial" w:eastAsia="Arial" w:hAnsi="Arial"/>
                <w:sz w:val="18"/>
                <w:szCs w:val="18"/>
                <w:b w:val="1"/>
                <w:bCs w:val="1"/>
                <w:color w:val="FFFFFF"/>
              </w:rPr>
              <w:t>Fiscal Year 2021</w:t>
            </w:r>
          </w:p>
        </w:tc>
        <w:tc>
          <w:tcPr>
            <w:tcW w:w="340" w:type="dxa"/>
            <w:vAlign w:val="bottom"/>
            <w:tcBorders>
              <w:top w:val="single" w:sz="8" w:color="CC092F"/>
            </w:tcBorders>
            <w:shd w:val="clear" w:color="auto" w:fill="B8B8B8"/>
          </w:tcPr>
          <w:p>
            <w:pPr>
              <w:spacing w:after="0"/>
              <w:rPr>
                <w:sz w:val="21"/>
                <w:szCs w:val="21"/>
                <w:color w:val="auto"/>
              </w:rPr>
            </w:pPr>
          </w:p>
        </w:tc>
        <w:tc>
          <w:tcPr>
            <w:tcW w:w="2120" w:type="dxa"/>
            <w:vAlign w:val="bottom"/>
            <w:tcBorders>
              <w:top w:val="single" w:sz="8" w:color="CC092F"/>
            </w:tcBorders>
            <w:gridSpan w:val="2"/>
            <w:shd w:val="clear" w:color="auto" w:fill="B8B8B8"/>
          </w:tcPr>
          <w:p>
            <w:pPr>
              <w:ind w:left="220"/>
              <w:spacing w:after="0"/>
              <w:rPr>
                <w:sz w:val="20"/>
                <w:szCs w:val="20"/>
                <w:color w:val="auto"/>
              </w:rPr>
            </w:pPr>
            <w:r>
              <w:rPr>
                <w:rFonts w:ascii="Arial" w:cs="Arial" w:eastAsia="Arial" w:hAnsi="Arial"/>
                <w:sz w:val="18"/>
                <w:szCs w:val="18"/>
                <w:b w:val="1"/>
                <w:bCs w:val="1"/>
                <w:color w:val="FFFFFF"/>
              </w:rPr>
              <w:t>Fiscal Year 2020</w:t>
            </w:r>
          </w:p>
        </w:tc>
      </w:tr>
      <w:tr>
        <w:trPr>
          <w:trHeight w:val="288"/>
        </w:trPr>
        <w:tc>
          <w:tcPr>
            <w:tcW w:w="4300" w:type="dxa"/>
            <w:vAlign w:val="bottom"/>
            <w:tcBorders>
              <w:bottom w:val="single" w:sz="8" w:color="B8B8B8"/>
            </w:tcBorders>
            <w:shd w:val="clear" w:color="auto" w:fill="B8B8B8"/>
          </w:tcPr>
          <w:p>
            <w:pPr>
              <w:spacing w:after="0"/>
              <w:rPr>
                <w:sz w:val="24"/>
                <w:szCs w:val="24"/>
                <w:color w:val="auto"/>
              </w:rPr>
            </w:pPr>
          </w:p>
        </w:tc>
        <w:tc>
          <w:tcPr>
            <w:tcW w:w="300" w:type="dxa"/>
            <w:vAlign w:val="bottom"/>
            <w:tcBorders>
              <w:bottom w:val="single" w:sz="8" w:color="B8B8B8"/>
            </w:tcBorders>
            <w:shd w:val="clear" w:color="auto" w:fill="B8B8B8"/>
          </w:tcPr>
          <w:p>
            <w:pPr>
              <w:spacing w:after="0"/>
              <w:rPr>
                <w:sz w:val="24"/>
                <w:szCs w:val="24"/>
                <w:color w:val="auto"/>
              </w:rPr>
            </w:pPr>
          </w:p>
        </w:tc>
        <w:tc>
          <w:tcPr>
            <w:tcW w:w="4480" w:type="dxa"/>
            <w:vAlign w:val="bottom"/>
            <w:tcBorders>
              <w:bottom w:val="single" w:sz="8" w:color="B8B8B8"/>
            </w:tcBorders>
            <w:gridSpan w:val="5"/>
            <w:shd w:val="clear" w:color="auto" w:fill="B8B8B8"/>
          </w:tcPr>
          <w:p>
            <w:pPr>
              <w:jc w:val="center"/>
              <w:ind w:right="300"/>
              <w:spacing w:after="0"/>
              <w:rPr>
                <w:sz w:val="20"/>
                <w:szCs w:val="20"/>
                <w:color w:val="auto"/>
              </w:rPr>
            </w:pPr>
            <w:r>
              <w:rPr>
                <w:rFonts w:ascii="Arial" w:cs="Arial" w:eastAsia="Arial" w:hAnsi="Arial"/>
                <w:sz w:val="16"/>
                <w:szCs w:val="16"/>
                <w:b w:val="1"/>
                <w:bCs w:val="1"/>
                <w:color w:val="FFFFFF"/>
                <w:w w:val="98"/>
              </w:rPr>
              <w:t>($ in thousands)</w:t>
            </w:r>
          </w:p>
        </w:tc>
      </w:tr>
      <w:tr>
        <w:trPr>
          <w:trHeight w:val="258"/>
        </w:trPr>
        <w:tc>
          <w:tcPr>
            <w:tcW w:w="4300" w:type="dxa"/>
            <w:vAlign w:val="bottom"/>
            <w:tcBorders>
              <w:top w:val="single" w:sz="8" w:color="CC092F"/>
            </w:tcBorders>
          </w:tcPr>
          <w:p>
            <w:pPr>
              <w:ind w:left="60"/>
              <w:spacing w:after="0"/>
              <w:rPr>
                <w:sz w:val="20"/>
                <w:szCs w:val="20"/>
                <w:color w:val="auto"/>
              </w:rPr>
            </w:pPr>
            <w:r>
              <w:rPr>
                <w:rFonts w:ascii="Arial" w:cs="Arial" w:eastAsia="Arial" w:hAnsi="Arial"/>
                <w:sz w:val="18"/>
                <w:szCs w:val="18"/>
                <w:color w:val="242424"/>
              </w:rPr>
              <w:t>Audit Fees</w:t>
            </w:r>
          </w:p>
        </w:tc>
        <w:tc>
          <w:tcPr>
            <w:tcW w:w="300" w:type="dxa"/>
            <w:vAlign w:val="bottom"/>
            <w:tcBorders>
              <w:top w:val="single" w:sz="8" w:color="CC092F"/>
            </w:tcBorders>
          </w:tcPr>
          <w:p>
            <w:pPr>
              <w:jc w:val="right"/>
              <w:ind w:right="112"/>
              <w:spacing w:after="0"/>
              <w:rPr>
                <w:sz w:val="20"/>
                <w:szCs w:val="20"/>
                <w:color w:val="auto"/>
              </w:rPr>
            </w:pPr>
            <w:r>
              <w:rPr>
                <w:rFonts w:ascii="Arial" w:cs="Arial" w:eastAsia="Arial" w:hAnsi="Arial"/>
                <w:sz w:val="18"/>
                <w:szCs w:val="18"/>
                <w:color w:val="242424"/>
                <w:w w:val="79"/>
              </w:rPr>
              <w:t>$</w:t>
            </w:r>
          </w:p>
        </w:tc>
        <w:tc>
          <w:tcPr>
            <w:tcW w:w="1740" w:type="dxa"/>
            <w:vAlign w:val="bottom"/>
            <w:tcBorders>
              <w:top w:val="single" w:sz="8" w:color="CC092F"/>
            </w:tcBorders>
          </w:tcPr>
          <w:p>
            <w:pPr>
              <w:jc w:val="right"/>
              <w:ind w:right="93"/>
              <w:spacing w:after="0"/>
              <w:rPr>
                <w:sz w:val="20"/>
                <w:szCs w:val="20"/>
                <w:color w:val="auto"/>
              </w:rPr>
            </w:pPr>
            <w:r>
              <w:rPr>
                <w:rFonts w:ascii="Arial" w:cs="Arial" w:eastAsia="Arial" w:hAnsi="Arial"/>
                <w:sz w:val="18"/>
                <w:szCs w:val="18"/>
                <w:color w:val="242424"/>
              </w:rPr>
              <w:t>13,965</w:t>
            </w:r>
          </w:p>
        </w:tc>
        <w:tc>
          <w:tcPr>
            <w:tcW w:w="280" w:type="dxa"/>
            <w:vAlign w:val="bottom"/>
            <w:tcBorders>
              <w:top w:val="single" w:sz="8" w:color="CC092F"/>
            </w:tcBorders>
          </w:tcPr>
          <w:p>
            <w:pPr>
              <w:spacing w:after="0"/>
              <w:rPr>
                <w:sz w:val="22"/>
                <w:szCs w:val="22"/>
                <w:color w:val="auto"/>
              </w:rPr>
            </w:pPr>
          </w:p>
        </w:tc>
        <w:tc>
          <w:tcPr>
            <w:tcW w:w="340" w:type="dxa"/>
            <w:vAlign w:val="bottom"/>
            <w:tcBorders>
              <w:top w:val="single" w:sz="8" w:color="CC092F"/>
            </w:tcBorders>
          </w:tcPr>
          <w:p>
            <w:pPr>
              <w:jc w:val="center"/>
              <w:ind w:right="112"/>
              <w:spacing w:after="0"/>
              <w:rPr>
                <w:sz w:val="20"/>
                <w:szCs w:val="20"/>
                <w:color w:val="auto"/>
              </w:rPr>
            </w:pPr>
            <w:r>
              <w:rPr>
                <w:rFonts w:ascii="Arial" w:cs="Arial" w:eastAsia="Arial" w:hAnsi="Arial"/>
                <w:sz w:val="18"/>
                <w:szCs w:val="18"/>
                <w:color w:val="242424"/>
                <w:w w:val="99"/>
              </w:rPr>
              <w:t>$</w:t>
            </w:r>
          </w:p>
        </w:tc>
        <w:tc>
          <w:tcPr>
            <w:tcW w:w="1800" w:type="dxa"/>
            <w:vAlign w:val="bottom"/>
            <w:tcBorders>
              <w:top w:val="single" w:sz="8" w:color="CC092F"/>
            </w:tcBorders>
          </w:tcPr>
          <w:p>
            <w:pPr>
              <w:jc w:val="right"/>
              <w:ind w:right="92"/>
              <w:spacing w:after="0"/>
              <w:rPr>
                <w:sz w:val="20"/>
                <w:szCs w:val="20"/>
                <w:color w:val="auto"/>
              </w:rPr>
            </w:pPr>
            <w:r>
              <w:rPr>
                <w:rFonts w:ascii="Arial" w:cs="Arial" w:eastAsia="Arial" w:hAnsi="Arial"/>
                <w:sz w:val="18"/>
                <w:szCs w:val="18"/>
                <w:color w:val="242424"/>
              </w:rPr>
              <w:t>16,131</w:t>
            </w:r>
          </w:p>
        </w:tc>
        <w:tc>
          <w:tcPr>
            <w:tcW w:w="320" w:type="dxa"/>
            <w:vAlign w:val="bottom"/>
            <w:tcBorders>
              <w:top w:val="single" w:sz="8" w:color="CC092F"/>
            </w:tcBorders>
          </w:tcPr>
          <w:p>
            <w:pPr>
              <w:spacing w:after="0"/>
              <w:rPr>
                <w:sz w:val="22"/>
                <w:szCs w:val="22"/>
                <w:color w:val="auto"/>
              </w:rPr>
            </w:pPr>
          </w:p>
        </w:tc>
      </w:tr>
      <w:tr>
        <w:trPr>
          <w:trHeight w:val="266"/>
        </w:trPr>
        <w:tc>
          <w:tcPr>
            <w:tcW w:w="4300" w:type="dxa"/>
            <w:vAlign w:val="bottom"/>
            <w:shd w:val="clear" w:color="auto" w:fill="EAEAEA"/>
          </w:tcPr>
          <w:p>
            <w:pPr>
              <w:ind w:left="60"/>
              <w:spacing w:after="0"/>
              <w:rPr>
                <w:sz w:val="20"/>
                <w:szCs w:val="20"/>
                <w:color w:val="auto"/>
              </w:rPr>
            </w:pPr>
            <w:r>
              <w:rPr>
                <w:rFonts w:ascii="Arial" w:cs="Arial" w:eastAsia="Arial" w:hAnsi="Arial"/>
                <w:sz w:val="18"/>
                <w:szCs w:val="18"/>
                <w:color w:val="242424"/>
              </w:rPr>
              <w:t>Audit-Related Fees</w:t>
            </w:r>
          </w:p>
        </w:tc>
        <w:tc>
          <w:tcPr>
            <w:tcW w:w="300" w:type="dxa"/>
            <w:vAlign w:val="bottom"/>
            <w:shd w:val="clear" w:color="auto" w:fill="EAEAEA"/>
          </w:tcPr>
          <w:p>
            <w:pPr>
              <w:spacing w:after="0"/>
              <w:rPr>
                <w:sz w:val="23"/>
                <w:szCs w:val="23"/>
                <w:color w:val="auto"/>
              </w:rPr>
            </w:pPr>
          </w:p>
        </w:tc>
        <w:tc>
          <w:tcPr>
            <w:tcW w:w="2020" w:type="dxa"/>
            <w:vAlign w:val="bottom"/>
            <w:gridSpan w:val="2"/>
            <w:shd w:val="clear" w:color="auto" w:fill="EAEAEA"/>
          </w:tcPr>
          <w:p>
            <w:pPr>
              <w:jc w:val="right"/>
              <w:ind w:right="460"/>
              <w:spacing w:after="0"/>
              <w:rPr>
                <w:sz w:val="20"/>
                <w:szCs w:val="20"/>
                <w:color w:val="auto"/>
              </w:rPr>
            </w:pPr>
            <w:r>
              <w:rPr>
                <w:rFonts w:ascii="Arial" w:cs="Arial" w:eastAsia="Arial" w:hAnsi="Arial"/>
                <w:sz w:val="18"/>
                <w:szCs w:val="18"/>
                <w:color w:val="242424"/>
              </w:rPr>
              <w:t>—</w:t>
            </w:r>
          </w:p>
        </w:tc>
        <w:tc>
          <w:tcPr>
            <w:tcW w:w="340" w:type="dxa"/>
            <w:vAlign w:val="bottom"/>
            <w:shd w:val="clear" w:color="auto" w:fill="EAEAEA"/>
          </w:tcPr>
          <w:p>
            <w:pPr>
              <w:spacing w:after="0"/>
              <w:rPr>
                <w:sz w:val="23"/>
                <w:szCs w:val="23"/>
                <w:color w:val="auto"/>
              </w:rPr>
            </w:pPr>
          </w:p>
        </w:tc>
        <w:tc>
          <w:tcPr>
            <w:tcW w:w="2120" w:type="dxa"/>
            <w:vAlign w:val="bottom"/>
            <w:gridSpan w:val="2"/>
            <w:shd w:val="clear" w:color="auto" w:fill="EAEAEA"/>
          </w:tcPr>
          <w:p>
            <w:pPr>
              <w:jc w:val="right"/>
              <w:ind w:right="500"/>
              <w:spacing w:after="0"/>
              <w:rPr>
                <w:sz w:val="20"/>
                <w:szCs w:val="20"/>
                <w:color w:val="auto"/>
              </w:rPr>
            </w:pPr>
            <w:r>
              <w:rPr>
                <w:rFonts w:ascii="Arial" w:cs="Arial" w:eastAsia="Arial" w:hAnsi="Arial"/>
                <w:sz w:val="18"/>
                <w:szCs w:val="18"/>
                <w:color w:val="242424"/>
              </w:rPr>
              <w:t>—</w:t>
            </w:r>
          </w:p>
        </w:tc>
      </w:tr>
      <w:tr>
        <w:trPr>
          <w:trHeight w:val="265"/>
        </w:trPr>
        <w:tc>
          <w:tcPr>
            <w:tcW w:w="4300" w:type="dxa"/>
            <w:vAlign w:val="bottom"/>
          </w:tcPr>
          <w:p>
            <w:pPr>
              <w:ind w:left="60"/>
              <w:spacing w:after="0"/>
              <w:rPr>
                <w:sz w:val="20"/>
                <w:szCs w:val="20"/>
                <w:color w:val="auto"/>
              </w:rPr>
            </w:pPr>
            <w:r>
              <w:rPr>
                <w:rFonts w:ascii="Arial" w:cs="Arial" w:eastAsia="Arial" w:hAnsi="Arial"/>
                <w:sz w:val="18"/>
                <w:szCs w:val="18"/>
                <w:color w:val="242424"/>
              </w:rPr>
              <w:t>Tax Fees</w:t>
            </w:r>
          </w:p>
        </w:tc>
        <w:tc>
          <w:tcPr>
            <w:tcW w:w="300" w:type="dxa"/>
            <w:vAlign w:val="bottom"/>
          </w:tcPr>
          <w:p>
            <w:pPr>
              <w:spacing w:after="0"/>
              <w:rPr>
                <w:sz w:val="23"/>
                <w:szCs w:val="23"/>
                <w:color w:val="auto"/>
              </w:rPr>
            </w:pPr>
          </w:p>
        </w:tc>
        <w:tc>
          <w:tcPr>
            <w:tcW w:w="1740" w:type="dxa"/>
            <w:vAlign w:val="bottom"/>
          </w:tcPr>
          <w:p>
            <w:pPr>
              <w:jc w:val="right"/>
              <w:ind w:right="93"/>
              <w:spacing w:after="0"/>
              <w:rPr>
                <w:sz w:val="20"/>
                <w:szCs w:val="20"/>
                <w:color w:val="auto"/>
              </w:rPr>
            </w:pPr>
            <w:r>
              <w:rPr>
                <w:rFonts w:ascii="Arial" w:cs="Arial" w:eastAsia="Arial" w:hAnsi="Arial"/>
                <w:sz w:val="18"/>
                <w:szCs w:val="18"/>
                <w:color w:val="242424"/>
              </w:rPr>
              <w:t>1,731</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242424"/>
              </w:rPr>
              <w:t>2,477</w:t>
            </w:r>
          </w:p>
        </w:tc>
        <w:tc>
          <w:tcPr>
            <w:tcW w:w="320" w:type="dxa"/>
            <w:vAlign w:val="bottom"/>
          </w:tcPr>
          <w:p>
            <w:pPr>
              <w:spacing w:after="0"/>
              <w:rPr>
                <w:sz w:val="23"/>
                <w:szCs w:val="23"/>
                <w:color w:val="auto"/>
              </w:rPr>
            </w:pPr>
          </w:p>
        </w:tc>
      </w:tr>
      <w:tr>
        <w:trPr>
          <w:trHeight w:val="265"/>
        </w:trPr>
        <w:tc>
          <w:tcPr>
            <w:tcW w:w="4300" w:type="dxa"/>
            <w:vAlign w:val="bottom"/>
            <w:shd w:val="clear" w:color="auto" w:fill="EAEAEA"/>
          </w:tcPr>
          <w:p>
            <w:pPr>
              <w:ind w:left="60"/>
              <w:spacing w:after="0"/>
              <w:rPr>
                <w:sz w:val="20"/>
                <w:szCs w:val="20"/>
                <w:color w:val="auto"/>
              </w:rPr>
            </w:pPr>
            <w:r>
              <w:rPr>
                <w:rFonts w:ascii="Arial" w:cs="Arial" w:eastAsia="Arial" w:hAnsi="Arial"/>
                <w:sz w:val="18"/>
                <w:szCs w:val="18"/>
                <w:color w:val="242424"/>
              </w:rPr>
              <w:t>All Other Fees</w:t>
            </w:r>
          </w:p>
        </w:tc>
        <w:tc>
          <w:tcPr>
            <w:tcW w:w="300" w:type="dxa"/>
            <w:vAlign w:val="bottom"/>
            <w:tcBorders>
              <w:bottom w:val="single" w:sz="8" w:color="242424"/>
            </w:tcBorders>
            <w:shd w:val="clear" w:color="auto" w:fill="EAEAEA"/>
          </w:tcPr>
          <w:p>
            <w:pPr>
              <w:spacing w:after="0"/>
              <w:rPr>
                <w:sz w:val="23"/>
                <w:szCs w:val="23"/>
                <w:color w:val="auto"/>
              </w:rPr>
            </w:pPr>
          </w:p>
        </w:tc>
        <w:tc>
          <w:tcPr>
            <w:tcW w:w="1740" w:type="dxa"/>
            <w:vAlign w:val="bottom"/>
            <w:tcBorders>
              <w:bottom w:val="single" w:sz="8" w:color="242424"/>
            </w:tcBorders>
            <w:shd w:val="clear" w:color="auto" w:fill="EAEAEA"/>
          </w:tcPr>
          <w:p>
            <w:pPr>
              <w:jc w:val="right"/>
              <w:ind w:right="93"/>
              <w:spacing w:after="0"/>
              <w:rPr>
                <w:sz w:val="20"/>
                <w:szCs w:val="20"/>
                <w:color w:val="auto"/>
              </w:rPr>
            </w:pPr>
            <w:r>
              <w:rPr>
                <w:rFonts w:ascii="Arial" w:cs="Arial" w:eastAsia="Arial" w:hAnsi="Arial"/>
                <w:sz w:val="18"/>
                <w:szCs w:val="18"/>
                <w:color w:val="242424"/>
              </w:rPr>
              <w:t>24</w:t>
            </w:r>
          </w:p>
        </w:tc>
        <w:tc>
          <w:tcPr>
            <w:tcW w:w="280" w:type="dxa"/>
            <w:vAlign w:val="bottom"/>
            <w:shd w:val="clear" w:color="auto" w:fill="EAEAEA"/>
          </w:tcPr>
          <w:p>
            <w:pPr>
              <w:spacing w:after="0"/>
              <w:rPr>
                <w:sz w:val="23"/>
                <w:szCs w:val="23"/>
                <w:color w:val="auto"/>
              </w:rPr>
            </w:pPr>
          </w:p>
        </w:tc>
        <w:tc>
          <w:tcPr>
            <w:tcW w:w="340" w:type="dxa"/>
            <w:vAlign w:val="bottom"/>
            <w:tcBorders>
              <w:bottom w:val="single" w:sz="8" w:color="242424"/>
            </w:tcBorders>
            <w:shd w:val="clear" w:color="auto" w:fill="EAEAEA"/>
          </w:tcPr>
          <w:p>
            <w:pPr>
              <w:spacing w:after="0"/>
              <w:rPr>
                <w:sz w:val="23"/>
                <w:szCs w:val="23"/>
                <w:color w:val="auto"/>
              </w:rPr>
            </w:pPr>
          </w:p>
        </w:tc>
        <w:tc>
          <w:tcPr>
            <w:tcW w:w="1800" w:type="dxa"/>
            <w:vAlign w:val="bottom"/>
            <w:tcBorders>
              <w:bottom w:val="single" w:sz="8" w:color="242424"/>
            </w:tcBorders>
            <w:shd w:val="clear" w:color="auto" w:fill="EAEAEA"/>
          </w:tcPr>
          <w:p>
            <w:pPr>
              <w:jc w:val="right"/>
              <w:ind w:right="92"/>
              <w:spacing w:after="0"/>
              <w:rPr>
                <w:sz w:val="20"/>
                <w:szCs w:val="20"/>
                <w:color w:val="auto"/>
              </w:rPr>
            </w:pPr>
            <w:r>
              <w:rPr>
                <w:rFonts w:ascii="Arial" w:cs="Arial" w:eastAsia="Arial" w:hAnsi="Arial"/>
                <w:sz w:val="18"/>
                <w:szCs w:val="18"/>
                <w:color w:val="242424"/>
              </w:rPr>
              <w:t>79</w:t>
            </w:r>
          </w:p>
        </w:tc>
        <w:tc>
          <w:tcPr>
            <w:tcW w:w="320" w:type="dxa"/>
            <w:vAlign w:val="bottom"/>
            <w:shd w:val="clear" w:color="auto" w:fill="EAEAEA"/>
          </w:tcPr>
          <w:p>
            <w:pPr>
              <w:spacing w:after="0"/>
              <w:rPr>
                <w:sz w:val="23"/>
                <w:szCs w:val="23"/>
                <w:color w:val="auto"/>
              </w:rPr>
            </w:pPr>
          </w:p>
        </w:tc>
      </w:tr>
      <w:tr>
        <w:trPr>
          <w:trHeight w:val="470"/>
        </w:trPr>
        <w:tc>
          <w:tcPr>
            <w:tcW w:w="4300" w:type="dxa"/>
            <w:vAlign w:val="bottom"/>
          </w:tcPr>
          <w:p>
            <w:pPr>
              <w:ind w:left="580"/>
              <w:spacing w:after="0"/>
              <w:rPr>
                <w:sz w:val="20"/>
                <w:szCs w:val="20"/>
                <w:color w:val="auto"/>
              </w:rPr>
            </w:pPr>
            <w:r>
              <w:rPr>
                <w:rFonts w:ascii="Arial" w:cs="Arial" w:eastAsia="Arial" w:hAnsi="Arial"/>
                <w:sz w:val="18"/>
                <w:szCs w:val="18"/>
                <w:color w:val="242424"/>
              </w:rPr>
              <w:t>Total</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242424"/>
                <w:w w:val="79"/>
              </w:rPr>
              <w:t>$</w:t>
            </w:r>
          </w:p>
        </w:tc>
        <w:tc>
          <w:tcPr>
            <w:tcW w:w="17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242424"/>
              </w:rPr>
              <w:t>15,720</w:t>
            </w:r>
          </w:p>
        </w:tc>
        <w:tc>
          <w:tcPr>
            <w:tcW w:w="280" w:type="dxa"/>
            <w:vAlign w:val="bottom"/>
          </w:tcPr>
          <w:p>
            <w:pPr>
              <w:spacing w:after="0"/>
              <w:rPr>
                <w:sz w:val="24"/>
                <w:szCs w:val="24"/>
                <w:color w:val="auto"/>
              </w:rPr>
            </w:pPr>
          </w:p>
        </w:tc>
        <w:tc>
          <w:tcPr>
            <w:tcW w:w="34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242424"/>
                <w:w w:val="99"/>
              </w:rPr>
              <w:t>$</w:t>
            </w:r>
          </w:p>
        </w:tc>
        <w:tc>
          <w:tcPr>
            <w:tcW w:w="1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242424"/>
              </w:rPr>
              <w:t>18,687</w:t>
            </w:r>
          </w:p>
        </w:tc>
        <w:tc>
          <w:tcPr>
            <w:tcW w:w="320" w:type="dxa"/>
            <w:vAlign w:val="bottom"/>
          </w:tcPr>
          <w:p>
            <w:pPr>
              <w:spacing w:after="0"/>
              <w:rPr>
                <w:sz w:val="24"/>
                <w:szCs w:val="24"/>
                <w:color w:val="auto"/>
              </w:rPr>
            </w:pP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8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i w:val="1"/>
          <w:iCs w:val="1"/>
          <w:color w:val="242424"/>
        </w:rPr>
        <w:t xml:space="preserve">Audit Fees </w:t>
      </w:r>
      <w:r>
        <w:rPr>
          <w:rFonts w:ascii="Arial" w:cs="Arial" w:eastAsia="Arial" w:hAnsi="Arial"/>
          <w:sz w:val="18"/>
          <w:szCs w:val="18"/>
          <w:color w:val="242424"/>
        </w:rPr>
        <w:t>consist of fees billed for professional services provided in connection with the integrated audit of our annual consolidated financial</w:t>
      </w:r>
      <w:r>
        <w:rPr>
          <w:rFonts w:ascii="Arial" w:cs="Arial" w:eastAsia="Arial" w:hAnsi="Arial"/>
          <w:sz w:val="18"/>
          <w:szCs w:val="18"/>
          <w:i w:val="1"/>
          <w:iCs w:val="1"/>
          <w:color w:val="242424"/>
        </w:rPr>
        <w:t xml:space="preserve"> </w:t>
      </w:r>
      <w:r>
        <w:rPr>
          <w:rFonts w:ascii="Arial" w:cs="Arial" w:eastAsia="Arial" w:hAnsi="Arial"/>
          <w:sz w:val="18"/>
          <w:szCs w:val="18"/>
          <w:color w:val="242424"/>
        </w:rPr>
        <w:t>statements, which includes an audit of internal controls over financial reporting, the review of our quarterly consolidated financial statements, and audit services that are normally provided by the independent registered public accounting firm in connection with statutory and regulatory filings or engagements for those fiscal years, such as statutory audits, comfort letters and consents. The fees include audit fees related to business combination accounting for our recently closed acquisitions, inclusive of the acquisition of the Symantec Enterprise Security business in Fiscal Year 2020.</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242424"/>
        </w:rPr>
        <w:t xml:space="preserve">Tax Fees </w:t>
      </w:r>
      <w:r>
        <w:rPr>
          <w:rFonts w:ascii="Arial" w:cs="Arial" w:eastAsia="Arial" w:hAnsi="Arial"/>
          <w:sz w:val="18"/>
          <w:szCs w:val="18"/>
          <w:color w:val="242424"/>
        </w:rPr>
        <w:t>consist of fees billed for professional services for tax compliance and tax consulting. Corporate tax services encompass a variety of</w:t>
      </w:r>
      <w:r>
        <w:rPr>
          <w:rFonts w:ascii="Arial" w:cs="Arial" w:eastAsia="Arial" w:hAnsi="Arial"/>
          <w:sz w:val="18"/>
          <w:szCs w:val="18"/>
          <w:i w:val="1"/>
          <w:iCs w:val="1"/>
          <w:color w:val="242424"/>
        </w:rPr>
        <w:t xml:space="preserve"> </w:t>
      </w:r>
      <w:r>
        <w:rPr>
          <w:rFonts w:ascii="Arial" w:cs="Arial" w:eastAsia="Arial" w:hAnsi="Arial"/>
          <w:sz w:val="18"/>
          <w:szCs w:val="18"/>
          <w:color w:val="242424"/>
        </w:rPr>
        <w:t>permissible services, including assistance with transfer pricing documentation, expatriate income tax matters, local tax compliance matters, tax audits, and tax credit documentation.</w:t>
      </w:r>
    </w:p>
    <w:p>
      <w:pPr>
        <w:spacing w:after="0" w:line="125" w:lineRule="exact"/>
        <w:rPr>
          <w:sz w:val="20"/>
          <w:szCs w:val="20"/>
          <w:color w:val="auto"/>
        </w:rPr>
      </w:pPr>
    </w:p>
    <w:p>
      <w:pPr>
        <w:ind w:right="340"/>
        <w:spacing w:after="0" w:line="302" w:lineRule="auto"/>
        <w:rPr>
          <w:sz w:val="20"/>
          <w:szCs w:val="20"/>
          <w:color w:val="auto"/>
        </w:rPr>
      </w:pPr>
      <w:r>
        <w:rPr>
          <w:rFonts w:ascii="Arial" w:cs="Arial" w:eastAsia="Arial" w:hAnsi="Arial"/>
          <w:sz w:val="17"/>
          <w:szCs w:val="17"/>
          <w:i w:val="1"/>
          <w:iCs w:val="1"/>
          <w:color w:val="242424"/>
        </w:rPr>
        <w:t xml:space="preserve">All Other Fees </w:t>
      </w:r>
      <w:r>
        <w:rPr>
          <w:rFonts w:ascii="Arial" w:cs="Arial" w:eastAsia="Arial" w:hAnsi="Arial"/>
          <w:sz w:val="17"/>
          <w:szCs w:val="17"/>
          <w:color w:val="242424"/>
        </w:rPr>
        <w:t>consist of fees for professional services rendered by PwC for permissible non-audit services. In Fiscal Years 2021 and 2020,</w:t>
      </w:r>
      <w:r>
        <w:rPr>
          <w:rFonts w:ascii="Arial" w:cs="Arial" w:eastAsia="Arial" w:hAnsi="Arial"/>
          <w:sz w:val="17"/>
          <w:szCs w:val="17"/>
          <w:i w:val="1"/>
          <w:iCs w:val="1"/>
          <w:color w:val="242424"/>
        </w:rPr>
        <w:t xml:space="preserve"> </w:t>
      </w:r>
      <w:r>
        <w:rPr>
          <w:rFonts w:ascii="Arial" w:cs="Arial" w:eastAsia="Arial" w:hAnsi="Arial"/>
          <w:sz w:val="17"/>
          <w:szCs w:val="17"/>
          <w:color w:val="242424"/>
        </w:rPr>
        <w:t>these fees included services for various license and compliance reviews and a license for specialized accounting research software.</w:t>
      </w:r>
    </w:p>
    <w:p>
      <w:pPr>
        <w:spacing w:after="0" w:line="10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242424"/>
        </w:rPr>
        <w:t>In considering the nature of the services provided by PwC, the Audit Committee determined that the provision of these services is compatible with maintaining the independence of PwC. The Audit Committee discussed these services with PwC and our management to determine that they are permitted under the rules and regulation concerning independent registered public accounting firms’ independence promulgated by the SEC, as well as by the American Institute of Certified Public Accountants.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42424"/>
        </w:rPr>
        <w:t>Other than as stated above, no fees were billed to Broadcom by PwC for Fiscal Years 2021 and 2020.</w:t>
      </w:r>
    </w:p>
    <w:p>
      <w:pPr>
        <w:spacing w:after="0" w:line="200" w:lineRule="exact"/>
        <w:rPr>
          <w:sz w:val="20"/>
          <w:szCs w:val="20"/>
          <w:color w:val="auto"/>
        </w:rPr>
      </w:pPr>
    </w:p>
    <w:p>
      <w:pPr>
        <w:spacing w:after="0" w:line="258"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21</w:t>
      </w:r>
    </w:p>
    <w:p>
      <w:pPr>
        <w:sectPr>
          <w:pgSz w:w="11900" w:h="16838" w:orient="portrait"/>
          <w:cols w:equalWidth="0" w:num="1">
            <w:col w:w="11220"/>
          </w:cols>
          <w:pgMar w:left="320" w:top="181" w:right="359" w:bottom="1440" w:gutter="0" w:footer="0" w:header="0"/>
        </w:sectPr>
      </w:pPr>
    </w:p>
    <w:bookmarkStart w:id="24" w:name="page25"/>
    <w:bookmarkEnd w:id="24"/>
    <w:p>
      <w:pPr>
        <w:ind w:left="20"/>
        <w:spacing w:after="0"/>
        <w:rPr>
          <w:sz w:val="20"/>
          <w:szCs w:val="20"/>
          <w:color w:val="auto"/>
        </w:rPr>
      </w:pPr>
      <w:r>
        <w:rPr>
          <w:rFonts w:ascii="Arial" w:cs="Arial" w:eastAsia="Arial" w:hAnsi="Arial"/>
          <w:sz w:val="16"/>
          <w:szCs w:val="16"/>
          <w:color w:val="CC092F"/>
        </w:rPr>
        <w:t>PROPOSAL 2: RATIFICATION OF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Audit Committee Pre-Approval of Services Policy</w:t>
      </w:r>
    </w:p>
    <w:p>
      <w:pPr>
        <w:spacing w:after="0" w:line="188" w:lineRule="exact"/>
        <w:rPr>
          <w:sz w:val="20"/>
          <w:szCs w:val="20"/>
          <w:color w:val="auto"/>
        </w:rPr>
      </w:pPr>
    </w:p>
    <w:p>
      <w:pPr>
        <w:spacing w:after="0" w:line="246" w:lineRule="auto"/>
        <w:rPr>
          <w:sz w:val="20"/>
          <w:szCs w:val="20"/>
          <w:color w:val="auto"/>
        </w:rPr>
      </w:pPr>
      <w:r>
        <w:rPr>
          <w:rFonts w:ascii="Arial" w:cs="Arial" w:eastAsia="Arial" w:hAnsi="Arial"/>
          <w:sz w:val="18"/>
          <w:szCs w:val="18"/>
          <w:color w:val="242424"/>
        </w:rPr>
        <w:t>All engagements with our independent registered public accounting firm, regardless of amount, must be authorized in advance by the Audit Committee. The Audit Committee has delegated its pre-approval authority to the Chairperson of the Audit Committee, provided that any matters approved in such manner are presented to the Audit Committee at its next regularly scheduled meeting. Pursuant to the charter of the Audit Committee, committee approval of non-audit services (other than review and attest services) is not required, if such services fall within available exceptions established by the SEC. However, to date, the Audit Committee’s policy has been to approve all services provided by our independent registered public accounting firm. The independent registered public accounting firm and our management are required to periodically report to the Audit Committee regarding the extent of services provided by the independent registered public accounting firm in accordance with the Audit Committee’s pre-approval and the fees for the services performed to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242424"/>
        </w:rPr>
        <w:t>During Fiscal Years 2021 and 2020, all services provided to Broadcom by PwC were pre-approved by the Audit Committee.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CC092F"/>
        </w:rPr>
        <w:t xml:space="preserve">Our Board recommends a vote </w:t>
      </w:r>
      <w:r>
        <w:rPr>
          <w:rFonts w:ascii="Arial" w:cs="Arial" w:eastAsia="Arial" w:hAnsi="Arial"/>
          <w:sz w:val="21"/>
          <w:szCs w:val="21"/>
          <w:b w:val="1"/>
          <w:bCs w:val="1"/>
          <w:u w:val="single" w:color="auto"/>
          <w:color w:val="CC092F"/>
        </w:rPr>
        <w:t>FOR</w:t>
      </w:r>
      <w:r>
        <w:rPr>
          <w:rFonts w:ascii="Arial" w:cs="Arial" w:eastAsia="Arial" w:hAnsi="Arial"/>
          <w:sz w:val="21"/>
          <w:szCs w:val="21"/>
          <w:b w:val="1"/>
          <w:bCs w:val="1"/>
          <w:color w:val="CC092F"/>
        </w:rPr>
        <w:t xml:space="preserve"> the ratification of appointment of PricewaterhouseCoopers LLP as our</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CC092F"/>
        </w:rPr>
        <w:t>independent registered public accounting firm</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CC092F"/>
        </w:rPr>
        <w:t>for Fiscal Year 2022.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4"/>
        <w:spacing w:after="0"/>
        <w:tabs>
          <w:tab w:leader="none" w:pos="360" w:val="left"/>
        </w:tabs>
        <w:numPr>
          <w:ilvl w:val="0"/>
          <w:numId w:val="38"/>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20"/>
          </w:cols>
          <w:pgMar w:left="320" w:top="340" w:right="35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color w:val="CC092F"/>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CC092F"/>
        </w:rPr>
        <w:t>AUDIT COMMITTEE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242424"/>
        </w:rPr>
        <w:t>The Audit Committee is responsible for assisting the Board with its oversight responsibilities regarding the following:</w:t>
      </w:r>
    </w:p>
    <w:p>
      <w:pPr>
        <w:spacing w:after="0" w:line="68" w:lineRule="exact"/>
        <w:rPr>
          <w:sz w:val="20"/>
          <w:szCs w:val="20"/>
          <w:color w:val="auto"/>
        </w:rPr>
      </w:pPr>
    </w:p>
    <w:p>
      <w:pPr>
        <w:ind w:left="520" w:hanging="276"/>
        <w:spacing w:after="0"/>
        <w:tabs>
          <w:tab w:leader="none" w:pos="520" w:val="left"/>
        </w:tabs>
        <w:numPr>
          <w:ilvl w:val="0"/>
          <w:numId w:val="39"/>
        </w:numPr>
        <w:rPr>
          <w:rFonts w:ascii="Arial" w:cs="Arial" w:eastAsia="Arial" w:hAnsi="Arial"/>
          <w:sz w:val="21"/>
          <w:szCs w:val="21"/>
          <w:color w:val="242424"/>
        </w:rPr>
      </w:pPr>
      <w:r>
        <w:rPr>
          <w:rFonts w:ascii="Arial" w:cs="Arial" w:eastAsia="Arial" w:hAnsi="Arial"/>
          <w:sz w:val="18"/>
          <w:szCs w:val="18"/>
          <w:color w:val="242424"/>
        </w:rPr>
        <w:t>the quality and integrity of Broadcom’s financial statements and internal controls;</w:t>
      </w:r>
    </w:p>
    <w:p>
      <w:pPr>
        <w:spacing w:after="0" w:line="74" w:lineRule="exact"/>
        <w:rPr>
          <w:rFonts w:ascii="Arial" w:cs="Arial" w:eastAsia="Arial" w:hAnsi="Arial"/>
          <w:sz w:val="21"/>
          <w:szCs w:val="21"/>
          <w:color w:val="242424"/>
        </w:rPr>
      </w:pPr>
    </w:p>
    <w:p>
      <w:pPr>
        <w:ind w:left="520" w:hanging="276"/>
        <w:spacing w:after="0"/>
        <w:tabs>
          <w:tab w:leader="none" w:pos="520" w:val="left"/>
        </w:tabs>
        <w:numPr>
          <w:ilvl w:val="0"/>
          <w:numId w:val="39"/>
        </w:numPr>
        <w:rPr>
          <w:rFonts w:ascii="Arial" w:cs="Arial" w:eastAsia="Arial" w:hAnsi="Arial"/>
          <w:sz w:val="20"/>
          <w:szCs w:val="20"/>
          <w:color w:val="242424"/>
        </w:rPr>
      </w:pPr>
      <w:r>
        <w:rPr>
          <w:rFonts w:ascii="Arial" w:cs="Arial" w:eastAsia="Arial" w:hAnsi="Arial"/>
          <w:sz w:val="17"/>
          <w:szCs w:val="17"/>
          <w:color w:val="242424"/>
        </w:rPr>
        <w:t>the appointment, compensation, retention, qualifications and independence of Broadcom’s independent registered public accounting firm;</w:t>
      </w:r>
    </w:p>
    <w:p>
      <w:pPr>
        <w:spacing w:after="0" w:line="63" w:lineRule="exact"/>
        <w:rPr>
          <w:rFonts w:ascii="Arial" w:cs="Arial" w:eastAsia="Arial" w:hAnsi="Arial"/>
          <w:sz w:val="20"/>
          <w:szCs w:val="20"/>
          <w:color w:val="242424"/>
        </w:rPr>
      </w:pPr>
    </w:p>
    <w:p>
      <w:pPr>
        <w:ind w:left="520" w:hanging="276"/>
        <w:spacing w:after="0"/>
        <w:tabs>
          <w:tab w:leader="none" w:pos="520" w:val="left"/>
        </w:tabs>
        <w:numPr>
          <w:ilvl w:val="0"/>
          <w:numId w:val="39"/>
        </w:numPr>
        <w:rPr>
          <w:rFonts w:ascii="Arial" w:cs="Arial" w:eastAsia="Arial" w:hAnsi="Arial"/>
          <w:sz w:val="21"/>
          <w:szCs w:val="21"/>
          <w:color w:val="242424"/>
        </w:rPr>
      </w:pPr>
      <w:r>
        <w:rPr>
          <w:rFonts w:ascii="Arial" w:cs="Arial" w:eastAsia="Arial" w:hAnsi="Arial"/>
          <w:sz w:val="18"/>
          <w:szCs w:val="18"/>
          <w:color w:val="242424"/>
        </w:rPr>
        <w:t>the performance of Broadcom’s internal audit function and independent registered public accounting firm;</w:t>
      </w:r>
    </w:p>
    <w:p>
      <w:pPr>
        <w:spacing w:after="0" w:line="63" w:lineRule="exact"/>
        <w:rPr>
          <w:rFonts w:ascii="Arial" w:cs="Arial" w:eastAsia="Arial" w:hAnsi="Arial"/>
          <w:sz w:val="21"/>
          <w:szCs w:val="21"/>
          <w:color w:val="242424"/>
        </w:rPr>
      </w:pPr>
    </w:p>
    <w:p>
      <w:pPr>
        <w:ind w:left="520" w:hanging="276"/>
        <w:spacing w:after="0"/>
        <w:tabs>
          <w:tab w:leader="none" w:pos="520" w:val="left"/>
        </w:tabs>
        <w:numPr>
          <w:ilvl w:val="0"/>
          <w:numId w:val="39"/>
        </w:numPr>
        <w:rPr>
          <w:rFonts w:ascii="Arial" w:cs="Arial" w:eastAsia="Arial" w:hAnsi="Arial"/>
          <w:sz w:val="21"/>
          <w:szCs w:val="21"/>
          <w:color w:val="242424"/>
        </w:rPr>
      </w:pPr>
      <w:r>
        <w:rPr>
          <w:rFonts w:ascii="Arial" w:cs="Arial" w:eastAsia="Arial" w:hAnsi="Arial"/>
          <w:sz w:val="18"/>
          <w:szCs w:val="18"/>
          <w:color w:val="242424"/>
        </w:rPr>
        <w:t>Broadcom’s compliance with legal and regulatory requirements; and</w:t>
      </w:r>
    </w:p>
    <w:p>
      <w:pPr>
        <w:spacing w:after="0" w:line="63" w:lineRule="exact"/>
        <w:rPr>
          <w:rFonts w:ascii="Arial" w:cs="Arial" w:eastAsia="Arial" w:hAnsi="Arial"/>
          <w:sz w:val="21"/>
          <w:szCs w:val="21"/>
          <w:color w:val="242424"/>
        </w:rPr>
      </w:pPr>
    </w:p>
    <w:p>
      <w:pPr>
        <w:ind w:left="520" w:hanging="276"/>
        <w:spacing w:after="0"/>
        <w:tabs>
          <w:tab w:leader="none" w:pos="520" w:val="left"/>
        </w:tabs>
        <w:numPr>
          <w:ilvl w:val="0"/>
          <w:numId w:val="39"/>
        </w:numPr>
        <w:rPr>
          <w:rFonts w:ascii="Arial" w:cs="Arial" w:eastAsia="Arial" w:hAnsi="Arial"/>
          <w:sz w:val="21"/>
          <w:szCs w:val="21"/>
          <w:color w:val="242424"/>
        </w:rPr>
      </w:pPr>
      <w:r>
        <w:rPr>
          <w:rFonts w:ascii="Arial" w:cs="Arial" w:eastAsia="Arial" w:hAnsi="Arial"/>
          <w:sz w:val="18"/>
          <w:szCs w:val="18"/>
          <w:color w:val="242424"/>
        </w:rPr>
        <w:t>related party transactions.</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Fiscal Year 2021 Financial Statements</w:t>
      </w:r>
    </w:p>
    <w:p>
      <w:pPr>
        <w:spacing w:after="0" w:line="11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242424"/>
        </w:rPr>
        <w:t>In fulfilling its oversight responsibilities, the Audit Committee reviewed and discussed Broadcom’s financial statements for the fiscal year ended October 31, 2021 (“Fiscal Year 2021”) with Broadcom’s management and PricewaterhouseCoopers LLP (“PwC”). In addition, the Audit Committee has discussed with PwC, with and without management present, Broadcom’s internal controls over financial reporting and the overall quality of Broadcom’s financial reporting. The Audit Committee also discussed with PwC the matters required to be discussed by the applicable requirements of the Public Company Accounting Oversight Board (“PCAOB”) and the SEC.</w:t>
      </w:r>
    </w:p>
    <w:p>
      <w:pPr>
        <w:spacing w:after="0" w:line="88"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242424"/>
        </w:rPr>
        <w:t>Based on the Audit Committee’s review and discussions noted herein, as well as such other matters deemed relevant and appropriate by the Audit Committee, the Audit Committee recommended to the Board, and the Board approved, that the audited financial statements for Fiscal Year 2021 be included in Broadcom’s Annual Report on Form 10-K for Fiscal Year 2021 for filing with the SEC.</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Independence and Pre-Approval Policy</w:t>
      </w:r>
    </w:p>
    <w:p>
      <w:pPr>
        <w:spacing w:after="0" w:line="113" w:lineRule="exact"/>
        <w:rPr>
          <w:sz w:val="20"/>
          <w:szCs w:val="20"/>
          <w:color w:val="auto"/>
        </w:rPr>
      </w:pPr>
    </w:p>
    <w:p>
      <w:pPr>
        <w:ind w:right="460"/>
        <w:spacing w:after="0" w:line="248" w:lineRule="auto"/>
        <w:rPr>
          <w:sz w:val="20"/>
          <w:szCs w:val="20"/>
          <w:color w:val="auto"/>
        </w:rPr>
      </w:pPr>
      <w:r>
        <w:rPr>
          <w:rFonts w:ascii="Arial" w:cs="Arial" w:eastAsia="Arial" w:hAnsi="Arial"/>
          <w:sz w:val="18"/>
          <w:szCs w:val="18"/>
          <w:color w:val="242424"/>
        </w:rPr>
        <w:t>The Audit Committee also received the written disclosures and the letter from PwC required by the applicable requirements of the PCAOB regarding the independent accountant’s communications with the Audit Committee concerning independence, and has discussed the independence of PwC with that firm.</w:t>
      </w:r>
    </w:p>
    <w:p>
      <w:pPr>
        <w:spacing w:after="0" w:line="87"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242424"/>
        </w:rPr>
        <w:t>The Audit Committee’s policy is to pre-approve all audit and permissible non-audit services provided by Broadcom’s independent registered public accounting firm. For each proposed service, PwC provides the Audit Committee with a description of the service and sufficient information to confirm PwC’s determination that the provision of such service will not impair its independence. The Audit Committee reviewed and pre-approved all audit and non-audit services performed by PwC during Fiscal Year 2021 in accordance with established procedures.</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Independent Auditor Tenure and Rotation</w:t>
      </w:r>
    </w:p>
    <w:p>
      <w:pPr>
        <w:spacing w:after="0" w:line="113"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242424"/>
        </w:rPr>
        <w:t>As part of its auditor engagement process, the Audit Committee considers whether to rotate the independent audit firm. PwC has been Broadcom’s independent auditor since 2006. The Audit Committee believes there are significant benefits to having PwC as its independent auditor. These include:</w:t>
      </w:r>
    </w:p>
    <w:p>
      <w:pPr>
        <w:spacing w:after="0" w:line="87" w:lineRule="exact"/>
        <w:rPr>
          <w:sz w:val="20"/>
          <w:szCs w:val="20"/>
          <w:color w:val="auto"/>
        </w:rPr>
      </w:pPr>
    </w:p>
    <w:p>
      <w:pPr>
        <w:ind w:left="560" w:right="280" w:hanging="316"/>
        <w:spacing w:after="0" w:line="226" w:lineRule="auto"/>
        <w:tabs>
          <w:tab w:leader="none" w:pos="512" w:val="left"/>
        </w:tabs>
        <w:numPr>
          <w:ilvl w:val="0"/>
          <w:numId w:val="40"/>
        </w:numPr>
        <w:rPr>
          <w:rFonts w:ascii="Arial" w:cs="Arial" w:eastAsia="Arial" w:hAnsi="Arial"/>
          <w:sz w:val="21"/>
          <w:szCs w:val="21"/>
          <w:color w:val="242424"/>
        </w:rPr>
      </w:pPr>
      <w:r>
        <w:rPr>
          <w:rFonts w:ascii="Arial" w:cs="Arial" w:eastAsia="Arial" w:hAnsi="Arial"/>
          <w:sz w:val="18"/>
          <w:szCs w:val="18"/>
          <w:color w:val="242424"/>
        </w:rPr>
        <w:t>Higher quality audit work and accounting advice due to PwC’s institutional knowledge of and familiarity with Broadcom’s business and operations, accounting policies and financial systems, and internal control framework.</w:t>
      </w:r>
    </w:p>
    <w:p>
      <w:pPr>
        <w:spacing w:after="0" w:line="64" w:lineRule="exact"/>
        <w:rPr>
          <w:rFonts w:ascii="Arial" w:cs="Arial" w:eastAsia="Arial" w:hAnsi="Arial"/>
          <w:sz w:val="21"/>
          <w:szCs w:val="21"/>
          <w:color w:val="242424"/>
        </w:rPr>
      </w:pPr>
    </w:p>
    <w:p>
      <w:pPr>
        <w:ind w:left="520" w:hanging="276"/>
        <w:spacing w:after="0"/>
        <w:tabs>
          <w:tab w:leader="none" w:pos="520" w:val="left"/>
        </w:tabs>
        <w:numPr>
          <w:ilvl w:val="0"/>
          <w:numId w:val="40"/>
        </w:numPr>
        <w:rPr>
          <w:rFonts w:ascii="Arial" w:cs="Arial" w:eastAsia="Arial" w:hAnsi="Arial"/>
          <w:sz w:val="21"/>
          <w:szCs w:val="21"/>
          <w:color w:val="242424"/>
        </w:rPr>
      </w:pPr>
      <w:r>
        <w:rPr>
          <w:rFonts w:ascii="Arial" w:cs="Arial" w:eastAsia="Arial" w:hAnsi="Arial"/>
          <w:sz w:val="18"/>
          <w:szCs w:val="18"/>
          <w:color w:val="242424"/>
        </w:rPr>
        <w:t>Operational efficiencies and a resulting lower fee structure because of PwC’s history and familiarity with Broadcom’s business.</w:t>
      </w:r>
    </w:p>
    <w:p>
      <w:pPr>
        <w:spacing w:after="0" w:line="9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242424"/>
        </w:rPr>
        <w:t>In addition, the Audit Committee oversees the process for, and ultimately approves, the selection of the lead audit engagement partner every five years. At the Audit Committee’s instruction, PwC selects candidates to be considered for this role, who are then interviewed by members of Broadcom’s senior management. After discussing the results of senior management’s interviews, the Audit Committee interviews the candidates. The Audit Committee then considers the appointment and votes on the selection.</w:t>
      </w:r>
    </w:p>
    <w:p>
      <w:pPr>
        <w:spacing w:after="0" w:line="89"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color w:val="242424"/>
        </w:rPr>
        <w:t>The Audit Committee and the Board approved the selection of PricewaterhouseCoopers LLP as Broadcom’s independent registered public accounting firm for the fiscal year ending October 30,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242424"/>
        </w:rPr>
        <w:t>AUDIT COMMITTEE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242424"/>
        </w:rPr>
        <w:t>Justine F. Page, Chairperson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242424"/>
        </w:rPr>
        <w:t>Gayla J. Delly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242424"/>
        </w:rPr>
        <w:t>Raul J. Fernandez</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242424"/>
        </w:rPr>
        <w:t>Harry L. You</w:t>
      </w:r>
    </w:p>
    <w:p>
      <w:pPr>
        <w:spacing w:after="0" w:line="200" w:lineRule="exact"/>
        <w:rPr>
          <w:sz w:val="20"/>
          <w:szCs w:val="20"/>
          <w:color w:val="auto"/>
        </w:rPr>
      </w:pPr>
    </w:p>
    <w:p>
      <w:pPr>
        <w:spacing w:after="0" w:line="258"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23</w:t>
      </w:r>
    </w:p>
    <w:p>
      <w:pPr>
        <w:sectPr>
          <w:pgSz w:w="11900" w:h="16838" w:orient="portrait"/>
          <w:cols w:equalWidth="0" w:num="1">
            <w:col w:w="11220"/>
          </w:cols>
          <w:pgMar w:left="320" w:top="340" w:right="359" w:bottom="1440" w:gutter="0" w:footer="0" w:header="0"/>
        </w:sectPr>
      </w:pPr>
    </w:p>
    <w:bookmarkStart w:id="26" w:name="page27"/>
    <w:bookmarkEnd w:id="26"/>
    <w:p>
      <w:pPr>
        <w:ind w:left="20"/>
        <w:spacing w:after="0"/>
        <w:rPr>
          <w:sz w:val="20"/>
          <w:szCs w:val="20"/>
          <w:color w:val="auto"/>
        </w:rPr>
      </w:pPr>
      <w:r>
        <w:rPr>
          <w:rFonts w:ascii="Arial" w:cs="Arial" w:eastAsia="Arial" w:hAnsi="Arial"/>
          <w:sz w:val="16"/>
          <w:szCs w:val="16"/>
          <w:color w:val="CC092F"/>
        </w:rPr>
        <w:t>PROPOSAL 3: SAY 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80"/>
        <w:spacing w:after="0"/>
        <w:rPr>
          <w:sz w:val="20"/>
          <w:szCs w:val="20"/>
          <w:color w:val="auto"/>
        </w:rPr>
      </w:pPr>
      <w:r>
        <w:rPr>
          <w:rFonts w:ascii="Arial" w:cs="Arial" w:eastAsia="Arial" w:hAnsi="Arial"/>
          <w:sz w:val="28"/>
          <w:szCs w:val="28"/>
          <w:color w:val="CC092F"/>
        </w:rPr>
        <w:t>PROPOSAL 3:</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28"/>
          <w:szCs w:val="28"/>
          <w:color w:val="CC092F"/>
        </w:rPr>
        <w:t>ADVISORY VOTE TO APPROVE COMPENSATION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8"/>
          <w:szCs w:val="28"/>
          <w:color w:val="CC092F"/>
        </w:rPr>
        <w:t>OUR NAMED EXECUTIVE OFFICERS</w:t>
      </w:r>
    </w:p>
    <w:p>
      <w:pPr>
        <w:spacing w:after="0" w:line="22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242424"/>
        </w:rPr>
        <w:t>In accordance with the requirements of Section 14A of the Exchange Act, we are asking stockholders to approve, on an advisory basis, the compensation of our NEOs as described in the “</w:t>
      </w:r>
      <w:r>
        <w:rPr>
          <w:rFonts w:ascii="Arial" w:cs="Arial" w:eastAsia="Arial" w:hAnsi="Arial"/>
          <w:sz w:val="18"/>
          <w:szCs w:val="18"/>
          <w:i w:val="1"/>
          <w:iCs w:val="1"/>
          <w:color w:val="242424"/>
        </w:rPr>
        <w:t>Compensation Discussion and Analysis</w:t>
      </w:r>
      <w:r>
        <w:rPr>
          <w:rFonts w:ascii="Arial" w:cs="Arial" w:eastAsia="Arial" w:hAnsi="Arial"/>
          <w:sz w:val="18"/>
          <w:szCs w:val="18"/>
          <w:color w:val="242424"/>
        </w:rPr>
        <w:t>” and the compensation tables and accompanying narrative disclosure under “</w:t>
      </w:r>
      <w:r>
        <w:rPr>
          <w:rFonts w:ascii="Arial" w:cs="Arial" w:eastAsia="Arial" w:hAnsi="Arial"/>
          <w:sz w:val="18"/>
          <w:szCs w:val="18"/>
          <w:i w:val="1"/>
          <w:iCs w:val="1"/>
          <w:color w:val="242424"/>
        </w:rPr>
        <w:t>Executive Compensation</w:t>
      </w:r>
      <w:r>
        <w:rPr>
          <w:rFonts w:ascii="Arial" w:cs="Arial" w:eastAsia="Arial" w:hAnsi="Arial"/>
          <w:sz w:val="18"/>
          <w:szCs w:val="18"/>
          <w:color w:val="242424"/>
        </w:rPr>
        <w:t>” in this Proxy Statement. We currently hold the say-on-pay vote annually and expect the next say-on-pay vote will occur at the 2023 annual meeting of stockholders.</w:t>
      </w:r>
    </w:p>
    <w:p>
      <w:pPr>
        <w:spacing w:after="0" w:line="15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242424"/>
        </w:rPr>
        <w:t>Our executive compensation program, structured around the achievement of near-term financial and operational targets and longer-term business objectives and strategies, is designed to reward our executive officers for producing sustainable growth and to align their interests with the long-term interests of our stockholders, as well as attract and retain top talent. When setting financial and operational targets for the short-term incentives and performance goals for the long-term incentives, the Compensation Committee judiciously determines, in consultation with its independent compensation consultant, the target levels and peer index that would significantly enhance stockholder value, be difficult to attain and require substantial effort to achieve by our executive officers.</w:t>
      </w:r>
    </w:p>
    <w:p>
      <w:pPr>
        <w:spacing w:after="0" w:line="15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242424"/>
        </w:rPr>
        <w:t>For Fiscal Year 2021, we increased revenue by 15% and operating income by 112%, and our total shareholder return increased by nearly 57%. We believe the compensation paid to our NEOs for Fiscal Year 2021 appropriately reflects and rewards our executive officers’ contributions to Broadcom’s strong performance despite the on-going COVID-19 pandemic and the continued disruption in normal business activities, including the ongoing supply chain constraints, and is aligned with the long-term interests of our stockholders. Consistent with our previous commitment, we did not grant regular annual equity incentive awards to Ms. Spears, Messrs. Brazeal and Krause, and Dr. Kawwas in Fiscal Year 2021 because they were granted multi-year equity awards in January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242424"/>
        </w:rPr>
        <w:t>Stockholders are being asked to approve the following resolution:</w:t>
      </w:r>
    </w:p>
    <w:p>
      <w:pPr>
        <w:spacing w:after="0" w:line="164" w:lineRule="exact"/>
        <w:rPr>
          <w:sz w:val="20"/>
          <w:szCs w:val="20"/>
          <w:color w:val="auto"/>
        </w:rPr>
      </w:pPr>
    </w:p>
    <w:p>
      <w:pPr>
        <w:ind w:left="560"/>
        <w:spacing w:after="0" w:line="248" w:lineRule="auto"/>
        <w:rPr>
          <w:sz w:val="20"/>
          <w:szCs w:val="20"/>
          <w:color w:val="auto"/>
        </w:rPr>
      </w:pPr>
      <w:r>
        <w:rPr>
          <w:rFonts w:ascii="Arial" w:cs="Arial" w:eastAsia="Arial" w:hAnsi="Arial"/>
          <w:sz w:val="18"/>
          <w:szCs w:val="18"/>
          <w:color w:val="242424"/>
        </w:rPr>
        <w:t>“RESOLVED THAT stockholders approve, on an advisory basis, the compensation of Broadcom’s named executive officers, as disclosed in “</w:t>
      </w:r>
      <w:r>
        <w:rPr>
          <w:rFonts w:ascii="Arial" w:cs="Arial" w:eastAsia="Arial" w:hAnsi="Arial"/>
          <w:sz w:val="18"/>
          <w:szCs w:val="18"/>
          <w:i w:val="1"/>
          <w:iCs w:val="1"/>
          <w:color w:val="242424"/>
        </w:rPr>
        <w:t>Compensation Discussion and Analysis</w:t>
      </w:r>
      <w:r>
        <w:rPr>
          <w:rFonts w:ascii="Arial" w:cs="Arial" w:eastAsia="Arial" w:hAnsi="Arial"/>
          <w:sz w:val="18"/>
          <w:szCs w:val="18"/>
          <w:color w:val="242424"/>
        </w:rPr>
        <w:t>” and in the compensation tables and accompanying narrative disclosure under “</w:t>
      </w:r>
      <w:r>
        <w:rPr>
          <w:rFonts w:ascii="Arial" w:cs="Arial" w:eastAsia="Arial" w:hAnsi="Arial"/>
          <w:sz w:val="18"/>
          <w:szCs w:val="18"/>
          <w:i w:val="1"/>
          <w:iCs w:val="1"/>
          <w:color w:val="242424"/>
        </w:rPr>
        <w:t>Executive</w:t>
      </w:r>
      <w:r>
        <w:rPr>
          <w:rFonts w:ascii="Arial" w:cs="Arial" w:eastAsia="Arial" w:hAnsi="Arial"/>
          <w:sz w:val="18"/>
          <w:szCs w:val="18"/>
          <w:color w:val="242424"/>
        </w:rPr>
        <w:t xml:space="preserve"> </w:t>
      </w:r>
      <w:r>
        <w:rPr>
          <w:rFonts w:ascii="Arial" w:cs="Arial" w:eastAsia="Arial" w:hAnsi="Arial"/>
          <w:sz w:val="18"/>
          <w:szCs w:val="18"/>
          <w:i w:val="1"/>
          <w:iCs w:val="1"/>
          <w:color w:val="242424"/>
        </w:rPr>
        <w:t>Compensation</w:t>
      </w:r>
      <w:r>
        <w:rPr>
          <w:rFonts w:ascii="Arial" w:cs="Arial" w:eastAsia="Arial" w:hAnsi="Arial"/>
          <w:sz w:val="18"/>
          <w:szCs w:val="18"/>
          <w:color w:val="242424"/>
        </w:rPr>
        <w:t>” in this Proxy Statement.”</w:t>
      </w:r>
    </w:p>
    <w:p>
      <w:pPr>
        <w:spacing w:after="0" w:line="135"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color w:val="242424"/>
        </w:rPr>
        <w:t>In deciding how to vote on this proposal, stockholders are encouraged to read the “</w:t>
      </w:r>
      <w:r>
        <w:rPr>
          <w:rFonts w:ascii="Arial" w:cs="Arial" w:eastAsia="Arial" w:hAnsi="Arial"/>
          <w:sz w:val="18"/>
          <w:szCs w:val="18"/>
          <w:i w:val="1"/>
          <w:iCs w:val="1"/>
          <w:color w:val="242424"/>
        </w:rPr>
        <w:t>Compensation Discussion and Analysis</w:t>
      </w:r>
      <w:r>
        <w:rPr>
          <w:rFonts w:ascii="Arial" w:cs="Arial" w:eastAsia="Arial" w:hAnsi="Arial"/>
          <w:sz w:val="18"/>
          <w:szCs w:val="18"/>
          <w:color w:val="242424"/>
        </w:rPr>
        <w:t>” and “</w:t>
      </w:r>
      <w:r>
        <w:rPr>
          <w:rFonts w:ascii="Arial" w:cs="Arial" w:eastAsia="Arial" w:hAnsi="Arial"/>
          <w:sz w:val="18"/>
          <w:szCs w:val="18"/>
          <w:i w:val="1"/>
          <w:iCs w:val="1"/>
          <w:color w:val="242424"/>
        </w:rPr>
        <w:t>Executive</w:t>
      </w:r>
      <w:r>
        <w:rPr>
          <w:rFonts w:ascii="Arial" w:cs="Arial" w:eastAsia="Arial" w:hAnsi="Arial"/>
          <w:sz w:val="18"/>
          <w:szCs w:val="18"/>
          <w:color w:val="242424"/>
        </w:rPr>
        <w:t xml:space="preserve"> </w:t>
      </w:r>
      <w:r>
        <w:rPr>
          <w:rFonts w:ascii="Arial" w:cs="Arial" w:eastAsia="Arial" w:hAnsi="Arial"/>
          <w:sz w:val="18"/>
          <w:szCs w:val="18"/>
          <w:i w:val="1"/>
          <w:iCs w:val="1"/>
          <w:color w:val="242424"/>
        </w:rPr>
        <w:t>Compensation</w:t>
      </w:r>
      <w:r>
        <w:rPr>
          <w:rFonts w:ascii="Arial" w:cs="Arial" w:eastAsia="Arial" w:hAnsi="Arial"/>
          <w:sz w:val="18"/>
          <w:szCs w:val="18"/>
          <w:color w:val="242424"/>
        </w:rPr>
        <w:t>” sections of this Proxy Statement.</w:t>
      </w:r>
    </w:p>
    <w:p>
      <w:pPr>
        <w:spacing w:after="0" w:line="13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242424"/>
        </w:rPr>
        <w:t>While the vote on this resolution is advisory and not binding, the Compensation Committee and our Board values input from stockholders and will consider the outcome of the vote on this resolution when considering future executive compensation decisions.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CC092F"/>
        </w:rPr>
        <w:t xml:space="preserve">Our Board recommends a vote </w:t>
      </w:r>
      <w:r>
        <w:rPr>
          <w:rFonts w:ascii="Arial" w:cs="Arial" w:eastAsia="Arial" w:hAnsi="Arial"/>
          <w:sz w:val="21"/>
          <w:szCs w:val="21"/>
          <w:b w:val="1"/>
          <w:bCs w:val="1"/>
          <w:u w:val="single" w:color="auto"/>
          <w:color w:val="CC092F"/>
        </w:rPr>
        <w:t>FOR</w:t>
      </w:r>
      <w:r>
        <w:rPr>
          <w:rFonts w:ascii="Arial" w:cs="Arial" w:eastAsia="Arial" w:hAnsi="Arial"/>
          <w:sz w:val="21"/>
          <w:szCs w:val="21"/>
          <w:b w:val="1"/>
          <w:bCs w:val="1"/>
          <w:color w:val="CC092F"/>
        </w:rPr>
        <w:t xml:space="preserve"> approval 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CC092F"/>
        </w:rPr>
        <w:t>the compensation of our named executive officers on an advisory basis.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4"/>
        <w:spacing w:after="0"/>
        <w:tabs>
          <w:tab w:leader="none" w:pos="360" w:val="left"/>
        </w:tabs>
        <w:numPr>
          <w:ilvl w:val="0"/>
          <w:numId w:val="41"/>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40"/>
          </w:cols>
          <w:pgMar w:left="320" w:top="340"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CC092F"/>
        </w:rPr>
        <w:t>COMPENSATION DISCUSSION AND ANALYSIS</w:t>
      </w:r>
    </w:p>
    <w:p>
      <w:pPr>
        <w:spacing w:after="0" w:line="224" w:lineRule="exact"/>
        <w:rPr>
          <w:sz w:val="20"/>
          <w:szCs w:val="20"/>
          <w:color w:val="auto"/>
        </w:rPr>
      </w:pPr>
    </w:p>
    <w:p>
      <w:pPr>
        <w:ind w:right="80"/>
        <w:spacing w:after="0" w:line="247" w:lineRule="auto"/>
        <w:rPr>
          <w:rFonts w:ascii="Arial" w:cs="Arial" w:eastAsia="Arial" w:hAnsi="Arial"/>
          <w:sz w:val="18"/>
          <w:szCs w:val="18"/>
          <w:color w:val="242424"/>
        </w:rPr>
      </w:pPr>
      <w:r>
        <w:rPr>
          <w:rFonts w:ascii="Arial" w:cs="Arial" w:eastAsia="Arial" w:hAnsi="Arial"/>
          <w:sz w:val="18"/>
          <w:szCs w:val="18"/>
          <w:color w:val="242424"/>
        </w:rPr>
        <w:t xml:space="preserve">The following Compensation Discussion and Analysis (the “CD&amp;A”) describes the philosophy, objectives and structure of our Fiscal Year 2021 executive compensation program. This CD&amp;A is intended to be read in conjunction with the tables and other information beginning on page </w:t>
      </w:r>
      <w:hyperlink w:anchor="page47">
        <w:r>
          <w:rPr>
            <w:rFonts w:ascii="Arial" w:cs="Arial" w:eastAsia="Arial" w:hAnsi="Arial"/>
            <w:sz w:val="18"/>
            <w:szCs w:val="18"/>
            <w:color w:val="0000FF"/>
          </w:rPr>
          <w:t>45</w:t>
        </w:r>
      </w:hyperlink>
      <w:r>
        <w:rPr>
          <w:rFonts w:ascii="Arial" w:cs="Arial" w:eastAsia="Arial" w:hAnsi="Arial"/>
          <w:sz w:val="18"/>
          <w:szCs w:val="18"/>
          <w:color w:val="242424"/>
        </w:rPr>
        <w:t>, which provide further historical compensation information for our NEOs, who are our CEO, CFO and three other most highly compensated executive officers serving at the end of Fiscal Year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42424"/>
        </w:rPr>
        <w:t>Our NEOs for Fiscal Year 2021 were:</w:t>
      </w:r>
    </w:p>
    <w:p>
      <w:pPr>
        <w:spacing w:after="0" w:line="108" w:lineRule="exact"/>
        <w:rPr>
          <w:sz w:val="20"/>
          <w:szCs w:val="20"/>
          <w:color w:val="auto"/>
        </w:rPr>
      </w:pPr>
    </w:p>
    <w:p>
      <w:pPr>
        <w:ind w:left="520" w:hanging="276"/>
        <w:spacing w:after="0"/>
        <w:tabs>
          <w:tab w:leader="none" w:pos="520" w:val="left"/>
        </w:tabs>
        <w:numPr>
          <w:ilvl w:val="0"/>
          <w:numId w:val="42"/>
        </w:numPr>
        <w:rPr>
          <w:rFonts w:ascii="Arial" w:cs="Arial" w:eastAsia="Arial" w:hAnsi="Arial"/>
          <w:sz w:val="21"/>
          <w:szCs w:val="21"/>
          <w:color w:val="242424"/>
        </w:rPr>
      </w:pPr>
      <w:r>
        <w:rPr>
          <w:rFonts w:ascii="Arial" w:cs="Arial" w:eastAsia="Arial" w:hAnsi="Arial"/>
          <w:sz w:val="18"/>
          <w:szCs w:val="18"/>
          <w:color w:val="242424"/>
        </w:rPr>
        <w:t>Hock E. Tan, President and Chief Executive Officer</w:t>
      </w:r>
    </w:p>
    <w:p>
      <w:pPr>
        <w:spacing w:after="0" w:line="89" w:lineRule="exact"/>
        <w:rPr>
          <w:rFonts w:ascii="Arial" w:cs="Arial" w:eastAsia="Arial" w:hAnsi="Arial"/>
          <w:sz w:val="21"/>
          <w:szCs w:val="21"/>
          <w:color w:val="242424"/>
        </w:rPr>
      </w:pPr>
    </w:p>
    <w:p>
      <w:pPr>
        <w:ind w:left="520" w:hanging="276"/>
        <w:spacing w:after="0"/>
        <w:tabs>
          <w:tab w:leader="none" w:pos="520" w:val="left"/>
        </w:tabs>
        <w:numPr>
          <w:ilvl w:val="0"/>
          <w:numId w:val="42"/>
        </w:numPr>
        <w:rPr>
          <w:rFonts w:ascii="Arial" w:cs="Arial" w:eastAsia="Arial" w:hAnsi="Arial"/>
          <w:sz w:val="21"/>
          <w:szCs w:val="21"/>
          <w:color w:val="242424"/>
        </w:rPr>
      </w:pPr>
      <w:r>
        <w:rPr>
          <w:rFonts w:ascii="Arial" w:cs="Arial" w:eastAsia="Arial" w:hAnsi="Arial"/>
          <w:sz w:val="18"/>
          <w:szCs w:val="18"/>
          <w:color w:val="242424"/>
        </w:rPr>
        <w:t>Kirsten M. Spears, Chief Financial Officer and Chief Accounting Officer</w:t>
      </w:r>
    </w:p>
    <w:p>
      <w:pPr>
        <w:spacing w:after="0" w:line="103" w:lineRule="exact"/>
        <w:rPr>
          <w:rFonts w:ascii="Arial" w:cs="Arial" w:eastAsia="Arial" w:hAnsi="Arial"/>
          <w:sz w:val="21"/>
          <w:szCs w:val="21"/>
          <w:color w:val="242424"/>
        </w:rPr>
      </w:pPr>
    </w:p>
    <w:p>
      <w:pPr>
        <w:ind w:left="520" w:hanging="276"/>
        <w:spacing w:after="0"/>
        <w:tabs>
          <w:tab w:leader="none" w:pos="520" w:val="left"/>
        </w:tabs>
        <w:numPr>
          <w:ilvl w:val="0"/>
          <w:numId w:val="42"/>
        </w:numPr>
        <w:rPr>
          <w:rFonts w:ascii="Arial" w:cs="Arial" w:eastAsia="Arial" w:hAnsi="Arial"/>
          <w:sz w:val="21"/>
          <w:szCs w:val="21"/>
          <w:color w:val="242424"/>
        </w:rPr>
      </w:pPr>
      <w:r>
        <w:rPr>
          <w:rFonts w:ascii="Arial" w:cs="Arial" w:eastAsia="Arial" w:hAnsi="Arial"/>
          <w:sz w:val="18"/>
          <w:szCs w:val="18"/>
          <w:color w:val="242424"/>
        </w:rPr>
        <w:t>Mark D. Brazeal, Chief Legal and Corporate Affairs Officer</w:t>
      </w:r>
    </w:p>
    <w:p>
      <w:pPr>
        <w:spacing w:after="0" w:line="103" w:lineRule="exact"/>
        <w:rPr>
          <w:rFonts w:ascii="Arial" w:cs="Arial" w:eastAsia="Arial" w:hAnsi="Arial"/>
          <w:sz w:val="21"/>
          <w:szCs w:val="21"/>
          <w:color w:val="242424"/>
        </w:rPr>
      </w:pPr>
    </w:p>
    <w:p>
      <w:pPr>
        <w:ind w:left="520" w:hanging="276"/>
        <w:spacing w:after="0"/>
        <w:tabs>
          <w:tab w:leader="none" w:pos="520" w:val="left"/>
        </w:tabs>
        <w:numPr>
          <w:ilvl w:val="0"/>
          <w:numId w:val="42"/>
        </w:numPr>
        <w:rPr>
          <w:rFonts w:ascii="Arial" w:cs="Arial" w:eastAsia="Arial" w:hAnsi="Arial"/>
          <w:sz w:val="21"/>
          <w:szCs w:val="21"/>
          <w:color w:val="242424"/>
        </w:rPr>
      </w:pPr>
      <w:r>
        <w:rPr>
          <w:rFonts w:ascii="Arial" w:cs="Arial" w:eastAsia="Arial" w:hAnsi="Arial"/>
          <w:sz w:val="18"/>
          <w:szCs w:val="18"/>
          <w:color w:val="242424"/>
        </w:rPr>
        <w:t>Charlie B. Kawwas, Ph.D., Chief Operating Officer</w:t>
      </w:r>
    </w:p>
    <w:p>
      <w:pPr>
        <w:spacing w:after="0" w:line="89" w:lineRule="exact"/>
        <w:rPr>
          <w:rFonts w:ascii="Arial" w:cs="Arial" w:eastAsia="Arial" w:hAnsi="Arial"/>
          <w:sz w:val="21"/>
          <w:szCs w:val="21"/>
          <w:color w:val="242424"/>
        </w:rPr>
      </w:pPr>
    </w:p>
    <w:p>
      <w:pPr>
        <w:ind w:left="520" w:hanging="276"/>
        <w:spacing w:after="0"/>
        <w:tabs>
          <w:tab w:leader="none" w:pos="520" w:val="left"/>
        </w:tabs>
        <w:numPr>
          <w:ilvl w:val="0"/>
          <w:numId w:val="42"/>
        </w:numPr>
        <w:rPr>
          <w:rFonts w:ascii="Arial" w:cs="Arial" w:eastAsia="Arial" w:hAnsi="Arial"/>
          <w:sz w:val="21"/>
          <w:szCs w:val="21"/>
          <w:color w:val="242424"/>
        </w:rPr>
      </w:pPr>
      <w:r>
        <w:rPr>
          <w:rFonts w:ascii="Arial" w:cs="Arial" w:eastAsia="Arial" w:hAnsi="Arial"/>
          <w:sz w:val="18"/>
          <w:szCs w:val="18"/>
          <w:color w:val="242424"/>
        </w:rPr>
        <w:t>Thomas H. Krause, Jr., President, Broadcom Software Group</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Executive Summary:</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Fiscal Year 2021 Company Performance and Key Pay Decisions</w:t>
      </w:r>
    </w:p>
    <w:p>
      <w:pPr>
        <w:spacing w:after="0" w:line="16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242424"/>
        </w:rPr>
        <w:t>Despite the on-going COVID-19 pandemic and challenges to our business, our Fiscal Year 2021 performance continued to be strong. Our executive compensation program is structured around the achievement of near-term financial and operational targets and longer-term business objectives and strategies. We believe in rewarding excellent performance and reflecting underperformance, if that occurs. We seek to closely align our executive officers’ interests with those of our stockholders and, accordingly, allocate a significant portion of our executives’ compensation opportunity to RSUs, the value of which fluctuates based on our stock price, and other performance-based compensation, which is dependent on our TSR performance relative to that of our peers and our financial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Our Fiscal Year 2021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Financial Results Highlights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242424"/>
        </w:rPr>
        <w:t>Our Fiscal Year 2021 financial results highlights* include increases in:</w:t>
      </w:r>
    </w:p>
    <w:p>
      <w:pPr>
        <w:spacing w:after="0" w:line="108" w:lineRule="exact"/>
        <w:rPr>
          <w:sz w:val="20"/>
          <w:szCs w:val="20"/>
          <w:color w:val="auto"/>
        </w:rPr>
      </w:pPr>
    </w:p>
    <w:p>
      <w:pPr>
        <w:ind w:left="520" w:hanging="276"/>
        <w:spacing w:after="0"/>
        <w:tabs>
          <w:tab w:leader="none" w:pos="520" w:val="left"/>
        </w:tabs>
        <w:numPr>
          <w:ilvl w:val="0"/>
          <w:numId w:val="43"/>
        </w:numPr>
        <w:rPr>
          <w:rFonts w:ascii="Arial" w:cs="Arial" w:eastAsia="Arial" w:hAnsi="Arial"/>
          <w:sz w:val="21"/>
          <w:szCs w:val="21"/>
          <w:color w:val="242424"/>
        </w:rPr>
      </w:pPr>
      <w:r>
        <w:rPr>
          <w:rFonts w:ascii="Arial" w:cs="Arial" w:eastAsia="Arial" w:hAnsi="Arial"/>
          <w:sz w:val="18"/>
          <w:szCs w:val="18"/>
          <w:color w:val="242424"/>
        </w:rPr>
        <w:t>Year-over-year revenue to $27,450 million, 15% above Fiscal Year 2020.</w:t>
      </w:r>
    </w:p>
    <w:p>
      <w:pPr>
        <w:spacing w:after="0" w:line="119" w:lineRule="exact"/>
        <w:rPr>
          <w:rFonts w:ascii="Arial" w:cs="Arial" w:eastAsia="Arial" w:hAnsi="Arial"/>
          <w:sz w:val="21"/>
          <w:szCs w:val="21"/>
          <w:color w:val="242424"/>
        </w:rPr>
      </w:pPr>
    </w:p>
    <w:p>
      <w:pPr>
        <w:ind w:left="560" w:right="460" w:hanging="316"/>
        <w:spacing w:after="0" w:line="226" w:lineRule="auto"/>
        <w:tabs>
          <w:tab w:leader="none" w:pos="512" w:val="left"/>
        </w:tabs>
        <w:numPr>
          <w:ilvl w:val="0"/>
          <w:numId w:val="43"/>
        </w:numPr>
        <w:rPr>
          <w:rFonts w:ascii="Arial" w:cs="Arial" w:eastAsia="Arial" w:hAnsi="Arial"/>
          <w:sz w:val="21"/>
          <w:szCs w:val="21"/>
          <w:color w:val="242424"/>
        </w:rPr>
      </w:pPr>
      <w:r>
        <w:rPr>
          <w:rFonts w:ascii="Arial" w:cs="Arial" w:eastAsia="Arial" w:hAnsi="Arial"/>
          <w:sz w:val="18"/>
          <w:szCs w:val="18"/>
          <w:color w:val="242424"/>
        </w:rPr>
        <w:t>GAAP operating income to $8,519 million, 112% above Fiscal Year 2020; and non-GAAP operating income to $15,912 million, 23% above Fiscal Year 2020.</w:t>
      </w:r>
    </w:p>
    <w:p>
      <w:pPr>
        <w:spacing w:after="0" w:line="134" w:lineRule="exact"/>
        <w:rPr>
          <w:rFonts w:ascii="Arial" w:cs="Arial" w:eastAsia="Arial" w:hAnsi="Arial"/>
          <w:sz w:val="21"/>
          <w:szCs w:val="21"/>
          <w:color w:val="242424"/>
        </w:rPr>
      </w:pPr>
    </w:p>
    <w:p>
      <w:pPr>
        <w:ind w:left="560" w:right="340" w:hanging="316"/>
        <w:spacing w:after="0" w:line="226" w:lineRule="auto"/>
        <w:tabs>
          <w:tab w:leader="none" w:pos="512" w:val="left"/>
        </w:tabs>
        <w:numPr>
          <w:ilvl w:val="0"/>
          <w:numId w:val="43"/>
        </w:numPr>
        <w:rPr>
          <w:rFonts w:ascii="Arial" w:cs="Arial" w:eastAsia="Arial" w:hAnsi="Arial"/>
          <w:sz w:val="21"/>
          <w:szCs w:val="21"/>
          <w:color w:val="242424"/>
        </w:rPr>
      </w:pPr>
      <w:r>
        <w:rPr>
          <w:rFonts w:ascii="Arial" w:cs="Arial" w:eastAsia="Arial" w:hAnsi="Arial"/>
          <w:sz w:val="18"/>
          <w:szCs w:val="18"/>
          <w:color w:val="242424"/>
        </w:rPr>
        <w:t>Net cash provided by operating activities to $13,764 million, 14% above Fiscal Year 2020; and free cash flow to $13,321 million, 15% above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153035</wp:posOffset>
            </wp:positionV>
            <wp:extent cx="4358005" cy="2187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58005" cy="218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Arial" w:cs="Arial" w:eastAsia="Arial" w:hAnsi="Arial"/>
          <w:sz w:val="14"/>
          <w:szCs w:val="14"/>
          <w:color w:val="242424"/>
        </w:rPr>
        <w:t>*See Appendix A for a reconciliation of non-GAAP financial measures to the most directly comparable GAAP financial measures.</w:t>
      </w:r>
    </w:p>
    <w:p>
      <w:pPr>
        <w:sectPr>
          <w:pgSz w:w="11900" w:h="16838" w:orient="portrait"/>
          <w:cols w:equalWidth="0" w:num="1">
            <w:col w:w="11220"/>
          </w:cols>
          <w:pgMar w:left="320" w:top="340" w:right="35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25</w:t>
      </w:r>
    </w:p>
    <w:p>
      <w:pPr>
        <w:sectPr>
          <w:pgSz w:w="11900" w:h="16838" w:orient="portrait"/>
          <w:cols w:equalWidth="0" w:num="1">
            <w:col w:w="11220"/>
          </w:cols>
          <w:pgMar w:left="320" w:top="340" w:right="359" w:bottom="1440" w:gutter="0" w:footer="0" w:header="0"/>
          <w:type w:val="continuous"/>
        </w:sectPr>
      </w:pPr>
    </w:p>
    <w:bookmarkStart w:id="28" w:name="page29"/>
    <w:bookmarkEnd w:id="28"/>
    <w:p>
      <w:pPr>
        <w:ind w:left="20"/>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Return of Capital to Stockholders</w:t>
      </w:r>
    </w:p>
    <w:p>
      <w:pPr>
        <w:spacing w:after="0" w:line="18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242424"/>
        </w:rPr>
        <w:t>Our strong cash flow in Fiscal Year 2020 enabled us to return an aggregate of $7,511 million to our stockholders during Fiscal Year 2021, consisting of $6,212 million in cash dividends and $1,299 million for the elimination of shares withheld to cover employee withholding taxes due upon the vesting of net settled equity awards. In addition, our strong free cash flow in Fiscal Year 2021 enabled us to increase our quarterly common stock dividend to $4.10 per share in the first quarter of our Fiscal Year 2022, an increase of 14% over the quarterly dividend paid in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182245</wp:posOffset>
            </wp:positionV>
            <wp:extent cx="2322195" cy="2153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22195" cy="2153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3440" w:type="dxa"/>
        <w:tblCellMar>
          <w:top w:w="0" w:type="dxa"/>
          <w:left w:w="0" w:type="dxa"/>
          <w:bottom w:w="0" w:type="dxa"/>
          <w:right w:w="0" w:type="dxa"/>
        </w:tblCellMar>
      </w:tblPr>
      <w:tr>
        <w:trPr>
          <w:trHeight w:val="248"/>
        </w:trPr>
        <w:tc>
          <w:tcPr>
            <w:tcW w:w="2320" w:type="dxa"/>
            <w:vAlign w:val="bottom"/>
          </w:tcPr>
          <w:p>
            <w:pPr>
              <w:spacing w:after="0"/>
              <w:rPr>
                <w:sz w:val="20"/>
                <w:szCs w:val="20"/>
                <w:color w:val="auto"/>
              </w:rPr>
            </w:pPr>
            <w:r>
              <w:rPr>
                <w:rFonts w:ascii="Arial" w:cs="Arial" w:eastAsia="Arial" w:hAnsi="Arial"/>
                <w:sz w:val="12"/>
                <w:szCs w:val="12"/>
                <w:b w:val="1"/>
                <w:bCs w:val="1"/>
                <w:color w:val="FFFFFF"/>
              </w:rPr>
              <w:t>Dividend Increase YoY%  23%</w:t>
            </w:r>
          </w:p>
        </w:tc>
        <w:tc>
          <w:tcPr>
            <w:tcW w:w="1420" w:type="dxa"/>
            <w:vAlign w:val="bottom"/>
          </w:tcPr>
          <w:p>
            <w:pPr>
              <w:jc w:val="right"/>
              <w:ind w:right="598"/>
              <w:spacing w:after="0"/>
              <w:rPr>
                <w:sz w:val="20"/>
                <w:szCs w:val="20"/>
                <w:color w:val="auto"/>
              </w:rPr>
            </w:pPr>
            <w:r>
              <w:rPr>
                <w:rFonts w:ascii="Arial" w:cs="Arial" w:eastAsia="Arial" w:hAnsi="Arial"/>
                <w:sz w:val="12"/>
                <w:szCs w:val="12"/>
                <w:b w:val="1"/>
                <w:bCs w:val="1"/>
                <w:color w:val="FFFFFF"/>
              </w:rPr>
              <w:t>11%</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Total Stockholder Return</w:t>
      </w:r>
    </w:p>
    <w:p>
      <w:pPr>
        <w:spacing w:after="0" w:line="186" w:lineRule="exact"/>
        <w:rPr>
          <w:sz w:val="20"/>
          <w:szCs w:val="20"/>
          <w:color w:val="auto"/>
        </w:rPr>
      </w:pPr>
    </w:p>
    <w:p>
      <w:pPr>
        <w:spacing w:after="0" w:line="247" w:lineRule="auto"/>
        <w:rPr>
          <w:sz w:val="20"/>
          <w:szCs w:val="20"/>
          <w:color w:val="auto"/>
        </w:rPr>
      </w:pPr>
      <w:r>
        <w:rPr>
          <w:rFonts w:ascii="Arial" w:cs="Arial" w:eastAsia="Arial" w:hAnsi="Arial"/>
          <w:sz w:val="18"/>
          <w:szCs w:val="18"/>
          <w:color w:val="242424"/>
        </w:rPr>
        <w:t>Our five-year TSR performance, based on an investment of $100 in Broadcom common stock on the last trading day of our fiscal year 2016, has been very strong on both an absolute and relative basis. Although our one-year TSR increased significantly, we believe long-term TSR is a more relevant measure, as our stock price over short periods is frequently impacted by market volatility and macroeconomic events unrelated to our underlying performance.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42424"/>
        </w:rPr>
        <w:t>As Illustrated in the graph below:</w:t>
      </w:r>
    </w:p>
    <w:p>
      <w:pPr>
        <w:spacing w:after="0" w:line="121" w:lineRule="exact"/>
        <w:rPr>
          <w:sz w:val="20"/>
          <w:szCs w:val="20"/>
          <w:color w:val="auto"/>
        </w:rPr>
      </w:pPr>
    </w:p>
    <w:p>
      <w:pPr>
        <w:ind w:left="520" w:hanging="276"/>
        <w:spacing w:after="0"/>
        <w:tabs>
          <w:tab w:leader="none" w:pos="520" w:val="left"/>
        </w:tabs>
        <w:numPr>
          <w:ilvl w:val="0"/>
          <w:numId w:val="44"/>
        </w:numPr>
        <w:rPr>
          <w:rFonts w:ascii="Arial" w:cs="Arial" w:eastAsia="Arial" w:hAnsi="Arial"/>
          <w:sz w:val="21"/>
          <w:szCs w:val="21"/>
          <w:color w:val="242424"/>
        </w:rPr>
      </w:pPr>
      <w:r>
        <w:rPr>
          <w:rFonts w:ascii="Arial" w:cs="Arial" w:eastAsia="Arial" w:hAnsi="Arial"/>
          <w:sz w:val="18"/>
          <w:szCs w:val="18"/>
          <w:color w:val="242424"/>
        </w:rPr>
        <w:t>Our one-year TSR increased by 56.8% in Fiscal Year 2021.</w:t>
      </w:r>
    </w:p>
    <w:p>
      <w:pPr>
        <w:spacing w:after="0" w:line="145" w:lineRule="exact"/>
        <w:rPr>
          <w:rFonts w:ascii="Arial" w:cs="Arial" w:eastAsia="Arial" w:hAnsi="Arial"/>
          <w:sz w:val="21"/>
          <w:szCs w:val="21"/>
          <w:color w:val="242424"/>
        </w:rPr>
      </w:pPr>
    </w:p>
    <w:p>
      <w:pPr>
        <w:ind w:left="560" w:right="100" w:hanging="316"/>
        <w:spacing w:after="0" w:line="226" w:lineRule="auto"/>
        <w:tabs>
          <w:tab w:leader="none" w:pos="512" w:val="left"/>
        </w:tabs>
        <w:numPr>
          <w:ilvl w:val="0"/>
          <w:numId w:val="44"/>
        </w:numPr>
        <w:rPr>
          <w:rFonts w:ascii="Arial" w:cs="Arial" w:eastAsia="Arial" w:hAnsi="Arial"/>
          <w:sz w:val="21"/>
          <w:szCs w:val="21"/>
          <w:color w:val="242424"/>
        </w:rPr>
      </w:pPr>
      <w:r>
        <w:rPr>
          <w:rFonts w:ascii="Arial" w:cs="Arial" w:eastAsia="Arial" w:hAnsi="Arial"/>
          <w:sz w:val="18"/>
          <w:szCs w:val="18"/>
          <w:color w:val="242424"/>
        </w:rPr>
        <w:t>Our TSR increased by 34.0% annually on average over the past three fiscal years, and by 25.7% annually on average over the past five fiscal years.</w:t>
      </w:r>
    </w:p>
    <w:p>
      <w:pPr>
        <w:spacing w:after="0" w:line="117" w:lineRule="exact"/>
        <w:rPr>
          <w:rFonts w:ascii="Arial" w:cs="Arial" w:eastAsia="Arial" w:hAnsi="Arial"/>
          <w:sz w:val="21"/>
          <w:szCs w:val="21"/>
          <w:color w:val="242424"/>
        </w:rPr>
      </w:pPr>
    </w:p>
    <w:p>
      <w:pPr>
        <w:ind w:left="520" w:hanging="276"/>
        <w:spacing w:after="0"/>
        <w:tabs>
          <w:tab w:leader="none" w:pos="520" w:val="left"/>
        </w:tabs>
        <w:numPr>
          <w:ilvl w:val="0"/>
          <w:numId w:val="44"/>
        </w:numPr>
        <w:rPr>
          <w:rFonts w:ascii="Arial" w:cs="Arial" w:eastAsia="Arial" w:hAnsi="Arial"/>
          <w:sz w:val="21"/>
          <w:szCs w:val="21"/>
          <w:color w:val="242424"/>
        </w:rPr>
      </w:pPr>
      <w:r>
        <w:rPr>
          <w:rFonts w:ascii="Arial" w:cs="Arial" w:eastAsia="Arial" w:hAnsi="Arial"/>
          <w:sz w:val="18"/>
          <w:szCs w:val="18"/>
          <w:color w:val="242424"/>
        </w:rPr>
        <w:t>Our TSR for all three of these periods outperformed our peer group median and the S&amp;P 500 Index.</w:t>
      </w:r>
    </w:p>
    <w:p>
      <w:pPr>
        <w:spacing w:after="0" w:line="145" w:lineRule="exact"/>
        <w:rPr>
          <w:rFonts w:ascii="Arial" w:cs="Arial" w:eastAsia="Arial" w:hAnsi="Arial"/>
          <w:sz w:val="21"/>
          <w:szCs w:val="21"/>
          <w:color w:val="242424"/>
        </w:rPr>
      </w:pPr>
    </w:p>
    <w:p>
      <w:pPr>
        <w:ind w:left="560" w:right="140" w:hanging="316"/>
        <w:spacing w:after="0" w:line="226" w:lineRule="auto"/>
        <w:tabs>
          <w:tab w:leader="none" w:pos="512" w:val="left"/>
        </w:tabs>
        <w:numPr>
          <w:ilvl w:val="0"/>
          <w:numId w:val="44"/>
        </w:numPr>
        <w:rPr>
          <w:rFonts w:ascii="Arial" w:cs="Arial" w:eastAsia="Arial" w:hAnsi="Arial"/>
          <w:sz w:val="21"/>
          <w:szCs w:val="21"/>
          <w:color w:val="242424"/>
        </w:rPr>
      </w:pPr>
      <w:r>
        <w:rPr>
          <w:rFonts w:ascii="Arial" w:cs="Arial" w:eastAsia="Arial" w:hAnsi="Arial"/>
          <w:sz w:val="18"/>
          <w:szCs w:val="18"/>
          <w:color w:val="242424"/>
        </w:rPr>
        <w:t>We significantly increased our absolute TSR since our initial public offering in 2009 by over 4,003%, with an annual average increase of 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2124075</wp:posOffset>
            </wp:positionH>
            <wp:positionV relativeFrom="paragraph">
              <wp:posOffset>153035</wp:posOffset>
            </wp:positionV>
            <wp:extent cx="2902585" cy="2061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02585" cy="2061210"/>
                    </a:xfrm>
                    <a:prstGeom prst="rect">
                      <a:avLst/>
                    </a:prstGeom>
                    <a:noFill/>
                  </pic:spPr>
                </pic:pic>
              </a:graphicData>
            </a:graphic>
          </wp:anchor>
        </w:drawing>
      </w:r>
    </w:p>
    <w:p>
      <w:pPr>
        <w:sectPr>
          <w:pgSz w:w="11900" w:h="16838" w:orient="portrait"/>
          <w:cols w:equalWidth="0" w:num="1">
            <w:col w:w="11220"/>
          </w:cols>
          <w:pgMar w:left="320" w:top="1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0" w:hanging="354"/>
        <w:spacing w:after="0"/>
        <w:tabs>
          <w:tab w:leader="none" w:pos="360" w:val="left"/>
        </w:tabs>
        <w:numPr>
          <w:ilvl w:val="0"/>
          <w:numId w:val="45"/>
        </w:numPr>
        <w:rPr>
          <w:rFonts w:ascii="Arial" w:cs="Arial" w:eastAsia="Arial" w:hAnsi="Arial"/>
          <w:sz w:val="15"/>
          <w:szCs w:val="15"/>
          <w:color w:val="242424"/>
        </w:rPr>
      </w:pPr>
      <w:r>
        <w:rPr>
          <w:rFonts w:ascii="Arial" w:cs="Arial" w:eastAsia="Arial" w:hAnsi="Arial"/>
          <w:sz w:val="15"/>
          <w:szCs w:val="15"/>
          <w:color w:val="CC092F"/>
        </w:rPr>
        <w:t>2022 Proxy Statement</w:t>
      </w:r>
    </w:p>
    <w:p>
      <w:pPr>
        <w:sectPr>
          <w:pgSz w:w="11900" w:h="16838" w:orient="portrait"/>
          <w:cols w:equalWidth="0" w:num="1">
            <w:col w:w="11220"/>
          </w:cols>
          <w:pgMar w:left="320" w:top="181" w:right="35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Stockholder Engagement</w:t>
      </w:r>
    </w:p>
    <w:p>
      <w:pPr>
        <w:spacing w:after="0" w:line="19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242424"/>
        </w:rPr>
        <w:t>During Fiscal Year 2021, our Lead Independent Director and chairperson of the Compensation Committee, along with our Chairman of the Board and members of management, engaged with our stockholders and obtained feedback on our executive compensation program. This resulted in discussions with our largest stockholders on a variety of executive compensation related topics, including the proposed amendment and restatement of our 2012 Plan, executive management promotions and long-term incentive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Say-on-Pay</w:t>
      </w:r>
    </w:p>
    <w:p>
      <w:pPr>
        <w:spacing w:after="0" w:line="19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242424"/>
        </w:rPr>
        <w:t>At the 2021 annual meeting, we submitted the compensation of our NEOs to a non-binding, advisory vote of our stockholders (the “say-on-pay proposal”). Stockholders representing 95% of the shares present and voting on the matter were in favor of the proposal. In light of this approval, the Compensation Committee did not make any significant changes to our executive compensation structure.</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Fiscal Year 2021 Compensation Highlights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Annual Cash Incentive Bonus Payouts Reflect Fiscal Year 2021 Company Performance</w:t>
      </w:r>
    </w:p>
    <w:p>
      <w:pPr>
        <w:spacing w:after="0" w:line="186" w:lineRule="exact"/>
        <w:rPr>
          <w:sz w:val="20"/>
          <w:szCs w:val="20"/>
          <w:color w:val="auto"/>
        </w:rPr>
      </w:pPr>
    </w:p>
    <w:p>
      <w:pPr>
        <w:ind w:right="640"/>
        <w:spacing w:after="0" w:line="251" w:lineRule="auto"/>
        <w:rPr>
          <w:sz w:val="20"/>
          <w:szCs w:val="20"/>
          <w:color w:val="auto"/>
        </w:rPr>
      </w:pPr>
      <w:r>
        <w:rPr>
          <w:rFonts w:ascii="Arial" w:cs="Arial" w:eastAsia="Arial" w:hAnsi="Arial"/>
          <w:sz w:val="18"/>
          <w:szCs w:val="18"/>
          <w:color w:val="242424"/>
        </w:rPr>
        <w:t>Payouts under the APB Plan were tied to challenging pre-established annual corporate and divisional performance goals, as well as the individual contributions and performance of each executive. The APB Plan payouts reflected the following considerations:</w:t>
      </w:r>
    </w:p>
    <w:p>
      <w:pPr>
        <w:spacing w:after="0" w:line="172" w:lineRule="exact"/>
        <w:rPr>
          <w:sz w:val="20"/>
          <w:szCs w:val="20"/>
          <w:color w:val="auto"/>
        </w:rPr>
      </w:pPr>
    </w:p>
    <w:p>
      <w:pPr>
        <w:ind w:left="560" w:right="180" w:hanging="316"/>
        <w:spacing w:after="0" w:line="242" w:lineRule="auto"/>
        <w:tabs>
          <w:tab w:leader="none" w:pos="509" w:val="left"/>
        </w:tabs>
        <w:numPr>
          <w:ilvl w:val="0"/>
          <w:numId w:val="46"/>
        </w:numPr>
        <w:rPr>
          <w:rFonts w:ascii="Arial" w:cs="Arial" w:eastAsia="Arial" w:hAnsi="Arial"/>
          <w:sz w:val="21"/>
          <w:szCs w:val="21"/>
          <w:color w:val="242424"/>
        </w:rPr>
      </w:pPr>
      <w:r>
        <w:rPr>
          <w:rFonts w:ascii="Arial" w:cs="Arial" w:eastAsia="Arial" w:hAnsi="Arial"/>
          <w:sz w:val="18"/>
          <w:szCs w:val="18"/>
          <w:color w:val="242424"/>
        </w:rPr>
        <w:t xml:space="preserve">The Compensation Committee set the two Fiscal Year 2021 corporate performance goals </w:t>
      </w:r>
      <w:r>
        <w:rPr>
          <w:rFonts w:ascii="Arial" w:cs="Arial" w:eastAsia="Arial" w:hAnsi="Arial"/>
          <w:sz w:val="18"/>
          <w:szCs w:val="18"/>
          <w:i w:val="1"/>
          <w:iCs w:val="1"/>
          <w:color w:val="242424"/>
        </w:rPr>
        <w:t>–</w:t>
      </w:r>
      <w:r>
        <w:rPr>
          <w:rFonts w:ascii="Arial" w:cs="Arial" w:eastAsia="Arial" w:hAnsi="Arial"/>
          <w:sz w:val="18"/>
          <w:szCs w:val="18"/>
          <w:color w:val="242424"/>
        </w:rPr>
        <w:t xml:space="preserve"> revenue and adjusted non-GAAP operating margin (as defined in “</w:t>
      </w:r>
      <w:r>
        <w:rPr>
          <w:rFonts w:ascii="Arial" w:cs="Arial" w:eastAsia="Arial" w:hAnsi="Arial"/>
          <w:sz w:val="18"/>
          <w:szCs w:val="18"/>
          <w:i w:val="1"/>
          <w:iCs w:val="1"/>
          <w:color w:val="242424"/>
        </w:rPr>
        <w:t>Elements of Executive Compensation – Annual Cash Incentive Bonus Plan</w:t>
      </w:r>
      <w:r>
        <w:rPr>
          <w:rFonts w:ascii="Arial" w:cs="Arial" w:eastAsia="Arial" w:hAnsi="Arial"/>
          <w:sz w:val="18"/>
          <w:szCs w:val="18"/>
          <w:color w:val="242424"/>
        </w:rPr>
        <w:t xml:space="preserve">” below) </w:t>
      </w:r>
      <w:r>
        <w:rPr>
          <w:rFonts w:ascii="Arial" w:cs="Arial" w:eastAsia="Arial" w:hAnsi="Arial"/>
          <w:sz w:val="18"/>
          <w:szCs w:val="18"/>
          <w:i w:val="1"/>
          <w:iCs w:val="1"/>
          <w:color w:val="242424"/>
        </w:rPr>
        <w:t>–</w:t>
      </w:r>
      <w:r>
        <w:rPr>
          <w:rFonts w:ascii="Arial" w:cs="Arial" w:eastAsia="Arial" w:hAnsi="Arial"/>
          <w:sz w:val="18"/>
          <w:szCs w:val="18"/>
          <w:color w:val="242424"/>
        </w:rPr>
        <w:t xml:space="preserve"> at target attainment levels that would potentially enhance stockholder value and require substantial effort to achieve. Both the revenue and adjusted non-GAAP operating margin targets were set significantly above our Fiscal Year 2020 actual performance. The divisional performance goals were also set at levels difficult to attain by the division and the NEO in charge of the division.</w:t>
      </w:r>
    </w:p>
    <w:p>
      <w:pPr>
        <w:spacing w:after="0" w:line="198" w:lineRule="exact"/>
        <w:rPr>
          <w:rFonts w:ascii="Arial" w:cs="Arial" w:eastAsia="Arial" w:hAnsi="Arial"/>
          <w:sz w:val="21"/>
          <w:szCs w:val="21"/>
          <w:color w:val="242424"/>
        </w:rPr>
      </w:pPr>
    </w:p>
    <w:p>
      <w:pPr>
        <w:ind w:left="560" w:right="480" w:hanging="316"/>
        <w:spacing w:after="0" w:line="239" w:lineRule="auto"/>
        <w:tabs>
          <w:tab w:leader="none" w:pos="512" w:val="left"/>
        </w:tabs>
        <w:numPr>
          <w:ilvl w:val="0"/>
          <w:numId w:val="46"/>
        </w:numPr>
        <w:rPr>
          <w:rFonts w:ascii="Arial" w:cs="Arial" w:eastAsia="Arial" w:hAnsi="Arial"/>
          <w:sz w:val="20"/>
          <w:szCs w:val="20"/>
          <w:color w:val="242424"/>
        </w:rPr>
      </w:pPr>
      <w:r>
        <w:rPr>
          <w:rFonts w:ascii="Arial" w:cs="Arial" w:eastAsia="Arial" w:hAnsi="Arial"/>
          <w:sz w:val="17"/>
          <w:szCs w:val="17"/>
          <w:color w:val="242424"/>
        </w:rPr>
        <w:t>Our Fiscal Year 2021 revenue, which increased 15% over Fiscal Year 2020, and our adjusted non-GAAP operating margin both exceeded the maximum attainment levels, resulting in 150.0% attainment of the corporate performance goals under the APB Plan.</w:t>
      </w:r>
    </w:p>
    <w:p>
      <w:pPr>
        <w:spacing w:after="0" w:line="199" w:lineRule="exact"/>
        <w:rPr>
          <w:rFonts w:ascii="Arial" w:cs="Arial" w:eastAsia="Arial" w:hAnsi="Arial"/>
          <w:sz w:val="20"/>
          <w:szCs w:val="20"/>
          <w:color w:val="242424"/>
        </w:rPr>
      </w:pPr>
    </w:p>
    <w:p>
      <w:pPr>
        <w:ind w:left="560" w:right="180" w:hanging="316"/>
        <w:spacing w:after="0" w:line="239" w:lineRule="auto"/>
        <w:tabs>
          <w:tab w:leader="none" w:pos="509" w:val="left"/>
        </w:tabs>
        <w:numPr>
          <w:ilvl w:val="0"/>
          <w:numId w:val="46"/>
        </w:numPr>
        <w:rPr>
          <w:rFonts w:ascii="Arial" w:cs="Arial" w:eastAsia="Arial" w:hAnsi="Arial"/>
          <w:sz w:val="20"/>
          <w:szCs w:val="20"/>
          <w:color w:val="242424"/>
        </w:rPr>
      </w:pPr>
      <w:r>
        <w:rPr>
          <w:rFonts w:ascii="Arial" w:cs="Arial" w:eastAsia="Arial" w:hAnsi="Arial"/>
          <w:sz w:val="17"/>
          <w:szCs w:val="17"/>
          <w:color w:val="242424"/>
        </w:rPr>
        <w:t>The divisional performance goals unrelated to revenue and operating margin exceeded target performance levels. This combined with the attainment of our corporate goals resulted in payouts for all eligible employees under both our executive and employee APB plans.</w:t>
      </w:r>
    </w:p>
    <w:p>
      <w:pPr>
        <w:spacing w:after="0" w:line="199" w:lineRule="exact"/>
        <w:rPr>
          <w:rFonts w:ascii="Arial" w:cs="Arial" w:eastAsia="Arial" w:hAnsi="Arial"/>
          <w:sz w:val="20"/>
          <w:szCs w:val="20"/>
          <w:color w:val="242424"/>
        </w:rPr>
      </w:pPr>
    </w:p>
    <w:p>
      <w:pPr>
        <w:ind w:left="560" w:right="220" w:hanging="316"/>
        <w:spacing w:after="0" w:line="232" w:lineRule="auto"/>
        <w:tabs>
          <w:tab w:leader="none" w:pos="509" w:val="left"/>
        </w:tabs>
        <w:numPr>
          <w:ilvl w:val="0"/>
          <w:numId w:val="46"/>
        </w:numPr>
        <w:rPr>
          <w:rFonts w:ascii="Arial" w:cs="Arial" w:eastAsia="Arial" w:hAnsi="Arial"/>
          <w:sz w:val="21"/>
          <w:szCs w:val="21"/>
          <w:color w:val="242424"/>
        </w:rPr>
      </w:pPr>
      <w:r>
        <w:rPr>
          <w:rFonts w:ascii="Arial" w:cs="Arial" w:eastAsia="Arial" w:hAnsi="Arial"/>
          <w:sz w:val="18"/>
          <w:szCs w:val="18"/>
          <w:color w:val="242424"/>
        </w:rPr>
        <w:t>The Compensation Committee considers our CEO’s recommendations (other than with respect to himself) and judiciously applies individual performance multipliers to recognize the extraordinary efforts of our executives and exceptional performance with respect to our corporate performance goals and divisional results.</w:t>
      </w:r>
    </w:p>
    <w:p>
      <w:pPr>
        <w:spacing w:after="0" w:line="201" w:lineRule="exact"/>
        <w:rPr>
          <w:rFonts w:ascii="Arial" w:cs="Arial" w:eastAsia="Arial" w:hAnsi="Arial"/>
          <w:sz w:val="21"/>
          <w:szCs w:val="21"/>
          <w:color w:val="242424"/>
        </w:rPr>
      </w:pPr>
    </w:p>
    <w:p>
      <w:pPr>
        <w:ind w:left="560" w:right="60" w:hanging="316"/>
        <w:spacing w:after="0" w:line="237" w:lineRule="auto"/>
        <w:tabs>
          <w:tab w:leader="none" w:pos="509" w:val="left"/>
        </w:tabs>
        <w:numPr>
          <w:ilvl w:val="0"/>
          <w:numId w:val="46"/>
        </w:numPr>
        <w:rPr>
          <w:rFonts w:ascii="Arial" w:cs="Arial" w:eastAsia="Arial" w:hAnsi="Arial"/>
          <w:sz w:val="21"/>
          <w:szCs w:val="21"/>
          <w:color w:val="242424"/>
        </w:rPr>
      </w:pPr>
      <w:r>
        <w:rPr>
          <w:rFonts w:ascii="Arial" w:cs="Arial" w:eastAsia="Arial" w:hAnsi="Arial"/>
          <w:sz w:val="18"/>
          <w:szCs w:val="18"/>
          <w:color w:val="242424"/>
        </w:rPr>
        <w:t>The Compensation Committee (and the independent directors in the case of our CEO) carefully assessed the extraordinary efforts of our executive officers and our significant increase in revenue and adjusted non-GAAP operating margin year-over-year despite the challenges of the COVID-19 pandemic, macroeconomic uncertainty and supply chain constraints. Based on the assessment, our NEOs received individual performance multipliers of 100% to 150%. Our CEO (upon approval of the independent directors) received an individual performance multiplier of 150%, resulting in a payout of 225% of his target bonus.</w:t>
      </w:r>
    </w:p>
    <w:p>
      <w:pPr>
        <w:spacing w:after="0" w:line="200" w:lineRule="exact"/>
        <w:rPr>
          <w:sz w:val="20"/>
          <w:szCs w:val="20"/>
          <w:color w:val="auto"/>
        </w:rPr>
      </w:pPr>
    </w:p>
    <w:p>
      <w:pPr>
        <w:spacing w:after="0" w:line="257"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27</w:t>
      </w:r>
    </w:p>
    <w:p>
      <w:pPr>
        <w:sectPr>
          <w:pgSz w:w="11900" w:h="16838" w:orient="portrait"/>
          <w:cols w:equalWidth="0" w:num="1">
            <w:col w:w="11220"/>
          </w:cols>
          <w:pgMar w:left="320" w:top="181" w:right="359" w:bottom="1440" w:gutter="0" w:footer="0" w:header="0"/>
        </w:sectPr>
      </w:pPr>
    </w:p>
    <w:bookmarkStart w:id="30" w:name="page31"/>
    <w:bookmarkEnd w:id="30"/>
    <w:p>
      <w:pPr>
        <w:ind w:left="20"/>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Compensation Changes in Connection with Promotions</w:t>
      </w:r>
    </w:p>
    <w:p>
      <w:pPr>
        <w:spacing w:after="0" w:line="186"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242424"/>
        </w:rPr>
        <w:t>Ms. Spears, Dr. Kawwas and Mr. Krause were promoted and assumed broader responsibilities to ensure the long-term stability of our leadership and culture. Their new roles are CFO, Chief Operating Officer and President, Broadcom Software Group (which was previously known as the Infrastructure Software Group), respectively.</w:t>
      </w:r>
    </w:p>
    <w:p>
      <w:pPr>
        <w:spacing w:after="0" w:line="153"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242424"/>
        </w:rPr>
        <w:t>The Compensation Committee approved the following changes in recognition of the competitive talent market and the executives’ increased responsibilities.</w:t>
      </w:r>
    </w:p>
    <w:p>
      <w:pPr>
        <w:spacing w:after="0" w:line="160" w:lineRule="exact"/>
        <w:rPr>
          <w:sz w:val="20"/>
          <w:szCs w:val="20"/>
          <w:color w:val="auto"/>
        </w:rPr>
      </w:pPr>
    </w:p>
    <w:p>
      <w:pPr>
        <w:ind w:left="520" w:hanging="276"/>
        <w:spacing w:after="0"/>
        <w:tabs>
          <w:tab w:leader="none" w:pos="520" w:val="left"/>
        </w:tabs>
        <w:numPr>
          <w:ilvl w:val="0"/>
          <w:numId w:val="47"/>
        </w:numPr>
        <w:rPr>
          <w:rFonts w:ascii="Arial" w:cs="Arial" w:eastAsia="Arial" w:hAnsi="Arial"/>
          <w:sz w:val="21"/>
          <w:szCs w:val="21"/>
          <w:color w:val="242424"/>
        </w:rPr>
      </w:pPr>
      <w:r>
        <w:rPr>
          <w:rFonts w:ascii="Arial" w:cs="Arial" w:eastAsia="Arial" w:hAnsi="Arial"/>
          <w:sz w:val="18"/>
          <w:szCs w:val="18"/>
          <w:color w:val="242424"/>
        </w:rPr>
        <w:t>Ms. Spears, Dr. Kawwas and Mr. Krause received base salary increases effective December 10, 2020.</w:t>
      </w:r>
    </w:p>
    <w:p>
      <w:pPr>
        <w:spacing w:after="0" w:line="169" w:lineRule="exact"/>
        <w:rPr>
          <w:rFonts w:ascii="Arial" w:cs="Arial" w:eastAsia="Arial" w:hAnsi="Arial"/>
          <w:sz w:val="21"/>
          <w:szCs w:val="21"/>
          <w:color w:val="242424"/>
        </w:rPr>
      </w:pPr>
    </w:p>
    <w:p>
      <w:pPr>
        <w:ind w:left="520" w:hanging="276"/>
        <w:spacing w:after="0"/>
        <w:tabs>
          <w:tab w:leader="none" w:pos="520" w:val="left"/>
        </w:tabs>
        <w:numPr>
          <w:ilvl w:val="0"/>
          <w:numId w:val="47"/>
        </w:numPr>
        <w:rPr>
          <w:rFonts w:ascii="Arial" w:cs="Arial" w:eastAsia="Arial" w:hAnsi="Arial"/>
          <w:sz w:val="21"/>
          <w:szCs w:val="21"/>
          <w:color w:val="242424"/>
        </w:rPr>
      </w:pPr>
      <w:r>
        <w:rPr>
          <w:rFonts w:ascii="Arial" w:cs="Arial" w:eastAsia="Arial" w:hAnsi="Arial"/>
          <w:sz w:val="18"/>
          <w:szCs w:val="18"/>
          <w:color w:val="242424"/>
        </w:rPr>
        <w:t>Ms. Spears’ APB Plan bonus target percentage was increased to 100% of eligible earnings effective December 10, 2020.</w:t>
      </w:r>
    </w:p>
    <w:p>
      <w:pPr>
        <w:spacing w:after="0" w:line="198" w:lineRule="exact"/>
        <w:rPr>
          <w:rFonts w:ascii="Arial" w:cs="Arial" w:eastAsia="Arial" w:hAnsi="Arial"/>
          <w:sz w:val="21"/>
          <w:szCs w:val="21"/>
          <w:color w:val="242424"/>
        </w:rPr>
      </w:pPr>
    </w:p>
    <w:p>
      <w:pPr>
        <w:ind w:left="560" w:right="180" w:hanging="316"/>
        <w:spacing w:after="0" w:line="226" w:lineRule="auto"/>
        <w:tabs>
          <w:tab w:leader="none" w:pos="509" w:val="left"/>
        </w:tabs>
        <w:numPr>
          <w:ilvl w:val="0"/>
          <w:numId w:val="47"/>
        </w:numPr>
        <w:rPr>
          <w:rFonts w:ascii="Arial" w:cs="Arial" w:eastAsia="Arial" w:hAnsi="Arial"/>
          <w:sz w:val="21"/>
          <w:szCs w:val="21"/>
          <w:color w:val="242424"/>
        </w:rPr>
      </w:pPr>
      <w:r>
        <w:rPr>
          <w:rFonts w:ascii="Arial" w:cs="Arial" w:eastAsia="Arial" w:hAnsi="Arial"/>
          <w:sz w:val="18"/>
          <w:szCs w:val="18"/>
          <w:color w:val="242424"/>
        </w:rPr>
        <w:t>The performance goals under the APB Plan for Dr. Kawwas and Mr. Krause were changed to the attainment of overall corporate goals instead of divisional performance goals effective December 10, 2020.</w:t>
      </w:r>
    </w:p>
    <w:p>
      <w:pPr>
        <w:spacing w:after="0" w:line="200" w:lineRule="exact"/>
        <w:rPr>
          <w:rFonts w:ascii="Arial" w:cs="Arial" w:eastAsia="Arial" w:hAnsi="Arial"/>
          <w:sz w:val="21"/>
          <w:szCs w:val="21"/>
          <w:color w:val="242424"/>
        </w:rPr>
      </w:pPr>
    </w:p>
    <w:p>
      <w:pPr>
        <w:ind w:left="560" w:right="60" w:hanging="316"/>
        <w:spacing w:after="0" w:line="232" w:lineRule="auto"/>
        <w:tabs>
          <w:tab w:leader="none" w:pos="512" w:val="left"/>
        </w:tabs>
        <w:numPr>
          <w:ilvl w:val="0"/>
          <w:numId w:val="47"/>
        </w:numPr>
        <w:rPr>
          <w:rFonts w:ascii="Arial" w:cs="Arial" w:eastAsia="Arial" w:hAnsi="Arial"/>
          <w:sz w:val="21"/>
          <w:szCs w:val="21"/>
          <w:color w:val="242424"/>
        </w:rPr>
      </w:pPr>
      <w:r>
        <w:rPr>
          <w:rFonts w:ascii="Arial" w:cs="Arial" w:eastAsia="Arial" w:hAnsi="Arial"/>
          <w:sz w:val="18"/>
          <w:szCs w:val="18"/>
          <w:color w:val="242424"/>
        </w:rPr>
        <w:t>Ms. Spears, Dr. Kawwas and Mr. Krause were granted promotion equity incentive awards for their increased responsibilities due to their promotions that were not anticipated when they were granted the 2019 Multi-Year Equity Awards. These promotion equity incentive awards consist of 50% service-based RSU awards and 50% PSU awards at target.</w:t>
      </w:r>
    </w:p>
    <w:p>
      <w:pPr>
        <w:spacing w:after="0" w:line="161" w:lineRule="exact"/>
        <w:rPr>
          <w:sz w:val="20"/>
          <w:szCs w:val="20"/>
          <w:color w:val="auto"/>
        </w:rPr>
      </w:pPr>
    </w:p>
    <w:p>
      <w:pPr>
        <w:ind w:left="560" w:right="200"/>
        <w:spacing w:after="0" w:line="246" w:lineRule="auto"/>
        <w:rPr>
          <w:sz w:val="20"/>
          <w:szCs w:val="20"/>
          <w:color w:val="auto"/>
        </w:rPr>
      </w:pPr>
      <w:r>
        <w:rPr>
          <w:rFonts w:ascii="Arial" w:cs="Arial" w:eastAsia="Arial" w:hAnsi="Arial"/>
          <w:sz w:val="18"/>
          <w:szCs w:val="18"/>
          <w:color w:val="242424"/>
        </w:rPr>
        <w:t>The aggregate target market value of each of the promotion equity incentive awards for Dr. Kawwas and Mr. Krause that the Compensation Committee approved was $15,000,000; however, the value of each of these promotion equity incentive awards in the “</w:t>
      </w:r>
      <w:r>
        <w:rPr>
          <w:rFonts w:ascii="Arial" w:cs="Arial" w:eastAsia="Arial" w:hAnsi="Arial"/>
          <w:sz w:val="18"/>
          <w:szCs w:val="18"/>
          <w:i w:val="1"/>
          <w:iCs w:val="1"/>
          <w:color w:val="242424"/>
        </w:rPr>
        <w:t>Fiscal Year 2021 Summary Compensation Table</w:t>
      </w:r>
      <w:r>
        <w:rPr>
          <w:rFonts w:ascii="Arial" w:cs="Arial" w:eastAsia="Arial" w:hAnsi="Arial"/>
          <w:sz w:val="18"/>
          <w:szCs w:val="18"/>
          <w:color w:val="242424"/>
        </w:rPr>
        <w:t>” below is $20,115,046 because it is the accounting grant date fair value under ASC 718 on April 5, 2021, when the stockholders approved the 2012 Plan and the actual grant date for accounting purposes. The factors provided below in the “</w:t>
      </w:r>
      <w:r>
        <w:rPr>
          <w:rFonts w:ascii="Arial" w:cs="Arial" w:eastAsia="Arial" w:hAnsi="Arial"/>
          <w:sz w:val="18"/>
          <w:szCs w:val="18"/>
          <w:i w:val="1"/>
          <w:iCs w:val="1"/>
          <w:color w:val="242424"/>
        </w:rPr>
        <w:t>Equity Awards Granted in Fiscal Year 2021</w:t>
      </w:r>
      <w:r>
        <w:rPr>
          <w:rFonts w:ascii="Arial" w:cs="Arial" w:eastAsia="Arial" w:hAnsi="Arial"/>
          <w:sz w:val="18"/>
          <w:szCs w:val="18"/>
          <w:color w:val="242424"/>
        </w:rPr>
        <w:t>” section explain the difference between the target market value approved by the Compensation Committee and the accounting grant date fair value.</w:t>
      </w:r>
    </w:p>
    <w:p>
      <w:pPr>
        <w:spacing w:after="0" w:line="140" w:lineRule="exact"/>
        <w:rPr>
          <w:sz w:val="20"/>
          <w:szCs w:val="20"/>
          <w:color w:val="auto"/>
        </w:rPr>
      </w:pPr>
    </w:p>
    <w:p>
      <w:pPr>
        <w:ind w:left="560" w:right="300"/>
        <w:spacing w:after="0" w:line="272" w:lineRule="auto"/>
        <w:rPr>
          <w:sz w:val="20"/>
          <w:szCs w:val="20"/>
          <w:color w:val="auto"/>
        </w:rPr>
      </w:pPr>
      <w:r>
        <w:rPr>
          <w:rFonts w:ascii="Arial" w:cs="Arial" w:eastAsia="Arial" w:hAnsi="Arial"/>
          <w:sz w:val="18"/>
          <w:szCs w:val="18"/>
          <w:color w:val="242424"/>
        </w:rPr>
        <w:t>See the “</w:t>
      </w:r>
      <w:r>
        <w:rPr>
          <w:rFonts w:ascii="Arial" w:cs="Arial" w:eastAsia="Arial" w:hAnsi="Arial"/>
          <w:sz w:val="18"/>
          <w:szCs w:val="18"/>
          <w:i w:val="1"/>
          <w:iCs w:val="1"/>
          <w:color w:val="242424"/>
        </w:rPr>
        <w:t>Elements of Executive Compensation – Long-Term Incentive Compensation</w:t>
      </w:r>
      <w:r>
        <w:rPr>
          <w:rFonts w:ascii="Arial" w:cs="Arial" w:eastAsia="Arial" w:hAnsi="Arial"/>
          <w:sz w:val="18"/>
          <w:szCs w:val="18"/>
          <w:color w:val="242424"/>
        </w:rPr>
        <w:t>” section below for more information relating to these awards.</w:t>
      </w:r>
    </w:p>
    <w:p>
      <w:pPr>
        <w:spacing w:after="0" w:line="132"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242424"/>
        </w:rPr>
        <w:t>There were no other increases to NEO base salaries or target bonus opportunities in Fiscal Year 2021. Further, Ms. Spears, Messrs. Brazeal and Krause and Dr. Kawwas were not granted regular annual equity incentive awards in Fiscal Year 2021 because of their previously granted 2019 Multi-Year Equity Awards.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PSU Grant for our CEO</w:t>
      </w:r>
    </w:p>
    <w:p>
      <w:pPr>
        <w:spacing w:after="0" w:line="186" w:lineRule="exact"/>
        <w:rPr>
          <w:sz w:val="20"/>
          <w:szCs w:val="20"/>
          <w:color w:val="auto"/>
        </w:rPr>
      </w:pPr>
    </w:p>
    <w:p>
      <w:pPr>
        <w:spacing w:after="0" w:line="247" w:lineRule="auto"/>
        <w:rPr>
          <w:sz w:val="20"/>
          <w:szCs w:val="20"/>
          <w:color w:val="auto"/>
        </w:rPr>
      </w:pPr>
      <w:r>
        <w:rPr>
          <w:rFonts w:ascii="Arial" w:cs="Arial" w:eastAsia="Arial" w:hAnsi="Arial"/>
          <w:sz w:val="18"/>
          <w:szCs w:val="18"/>
          <w:color w:val="242424"/>
        </w:rPr>
        <w:t>Mr. Tan received an annual PSU award due to the importance of his continued commitment, his retention in a competitive talent market and his leadership in continued stockholder value creation. Absent this award, Mr. Tan would not have had any unvested equity awards after June 2021. See the “</w:t>
      </w:r>
      <w:r>
        <w:rPr>
          <w:rFonts w:ascii="Arial" w:cs="Arial" w:eastAsia="Arial" w:hAnsi="Arial"/>
          <w:sz w:val="18"/>
          <w:szCs w:val="18"/>
          <w:i w:val="1"/>
          <w:iCs w:val="1"/>
          <w:color w:val="242424"/>
        </w:rPr>
        <w:t>Elements of Executive Compensation – Long-Term Incentive Compensation</w:t>
      </w:r>
      <w:r>
        <w:rPr>
          <w:rFonts w:ascii="Arial" w:cs="Arial" w:eastAsia="Arial" w:hAnsi="Arial"/>
          <w:sz w:val="18"/>
          <w:szCs w:val="18"/>
          <w:color w:val="242424"/>
        </w:rPr>
        <w:t>” section below for more information relating to this award.</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Overview of Our Executive Compensation Program</w:t>
      </w:r>
    </w:p>
    <w:p>
      <w:pPr>
        <w:spacing w:after="0" w:line="188" w:lineRule="exact"/>
        <w:rPr>
          <w:sz w:val="20"/>
          <w:szCs w:val="20"/>
          <w:color w:val="auto"/>
        </w:rPr>
      </w:pPr>
    </w:p>
    <w:p>
      <w:pPr>
        <w:spacing w:after="0" w:line="247" w:lineRule="auto"/>
        <w:rPr>
          <w:sz w:val="20"/>
          <w:szCs w:val="20"/>
          <w:color w:val="auto"/>
        </w:rPr>
      </w:pPr>
      <w:r>
        <w:rPr>
          <w:rFonts w:ascii="Arial" w:cs="Arial" w:eastAsia="Arial" w:hAnsi="Arial"/>
          <w:sz w:val="18"/>
          <w:szCs w:val="18"/>
          <w:color w:val="242424"/>
        </w:rPr>
        <w:t>The Compensation Committee believes that, in general, about half of our executive officers’, and more of our CEO’s, target total direct compensation should be dependent upon our performance. Accordingly, our executive compensation program is designed to reward our executive officers for producing sustainable growth in stockholder value consistent with our strategic plan, align their interests with the interests of our stockholders, and attract and retain top talent.</w:t>
      </w:r>
    </w:p>
    <w:p>
      <w:pPr>
        <w:spacing w:after="0" w:line="200" w:lineRule="exact"/>
        <w:rPr>
          <w:sz w:val="20"/>
          <w:szCs w:val="20"/>
          <w:color w:val="auto"/>
        </w:rPr>
      </w:pPr>
    </w:p>
    <w:p>
      <w:pPr>
        <w:spacing w:after="0" w:line="249" w:lineRule="exact"/>
        <w:rPr>
          <w:sz w:val="20"/>
          <w:szCs w:val="20"/>
          <w:color w:val="auto"/>
        </w:rPr>
      </w:pPr>
    </w:p>
    <w:p>
      <w:pPr>
        <w:ind w:left="360" w:hanging="354"/>
        <w:spacing w:after="0"/>
        <w:tabs>
          <w:tab w:leader="none" w:pos="360" w:val="left"/>
        </w:tabs>
        <w:numPr>
          <w:ilvl w:val="0"/>
          <w:numId w:val="48"/>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140"/>
          </w:cols>
          <w:pgMar w:left="320" w:top="181"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Target Total Direct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242424"/>
        </w:rPr>
        <w:t>Our annual total direct compensation consists of three principal elements:</w:t>
      </w:r>
    </w:p>
    <w:p>
      <w:pPr>
        <w:spacing w:after="0" w:line="171" w:lineRule="exact"/>
        <w:rPr>
          <w:sz w:val="20"/>
          <w:szCs w:val="20"/>
          <w:color w:val="auto"/>
        </w:rPr>
      </w:pPr>
    </w:p>
    <w:tbl>
      <w:tblPr>
        <w:tblLayout w:type="fixed"/>
        <w:tblInd w:w="550" w:type="dxa"/>
        <w:tblCellMar>
          <w:top w:w="0" w:type="dxa"/>
          <w:left w:w="0" w:type="dxa"/>
          <w:bottom w:w="0" w:type="dxa"/>
          <w:right w:w="0" w:type="dxa"/>
        </w:tblCellMar>
      </w:tblPr>
      <w:tr>
        <w:trPr>
          <w:trHeight w:val="251"/>
        </w:trPr>
        <w:tc>
          <w:tcPr>
            <w:tcW w:w="2180" w:type="dxa"/>
            <w:vAlign w:val="bottom"/>
            <w:tcBorders>
              <w:top w:val="single" w:sz="8" w:color="242424"/>
              <w:left w:val="single" w:sz="8" w:color="242424"/>
              <w:right w:val="single" w:sz="8" w:color="242424"/>
            </w:tcBorders>
            <w:vMerge w:val="restart"/>
          </w:tcPr>
          <w:p>
            <w:pPr>
              <w:jc w:val="center"/>
              <w:spacing w:after="0"/>
              <w:rPr>
                <w:sz w:val="20"/>
                <w:szCs w:val="20"/>
                <w:color w:val="auto"/>
              </w:rPr>
            </w:pPr>
            <w:r>
              <w:rPr>
                <w:rFonts w:ascii="Arial" w:cs="Arial" w:eastAsia="Arial" w:hAnsi="Arial"/>
                <w:sz w:val="18"/>
                <w:szCs w:val="18"/>
                <w:b w:val="1"/>
                <w:bCs w:val="1"/>
                <w:color w:val="242424"/>
                <w:w w:val="97"/>
              </w:rPr>
              <w:t>Base Salary</w:t>
            </w:r>
          </w:p>
        </w:tc>
        <w:tc>
          <w:tcPr>
            <w:tcW w:w="8000" w:type="dxa"/>
            <w:vAlign w:val="bottom"/>
            <w:tcBorders>
              <w:top w:val="single" w:sz="8" w:color="242424"/>
              <w:right w:val="single" w:sz="8" w:color="242424"/>
            </w:tcBorders>
          </w:tcPr>
          <w:p>
            <w:pPr>
              <w:ind w:left="20"/>
              <w:spacing w:after="0"/>
              <w:rPr>
                <w:sz w:val="20"/>
                <w:szCs w:val="20"/>
                <w:color w:val="auto"/>
              </w:rPr>
            </w:pPr>
            <w:r>
              <w:rPr>
                <w:rFonts w:ascii="Arial" w:cs="Arial" w:eastAsia="Arial" w:hAnsi="Arial"/>
                <w:sz w:val="18"/>
                <w:szCs w:val="18"/>
                <w:color w:val="242424"/>
              </w:rPr>
              <w:t>Individual salaries reflect the executive’s responsibilities and sustained individual performance.</w:t>
            </w:r>
          </w:p>
        </w:tc>
        <w:tc>
          <w:tcPr>
            <w:tcW w:w="0" w:type="dxa"/>
            <w:vAlign w:val="bottom"/>
          </w:tcPr>
          <w:p>
            <w:pPr>
              <w:spacing w:after="0"/>
              <w:rPr>
                <w:sz w:val="1"/>
                <w:szCs w:val="1"/>
                <w:color w:val="auto"/>
              </w:rPr>
            </w:pPr>
          </w:p>
        </w:tc>
      </w:tr>
      <w:tr>
        <w:trPr>
          <w:trHeight w:val="106"/>
        </w:trPr>
        <w:tc>
          <w:tcPr>
            <w:tcW w:w="2180" w:type="dxa"/>
            <w:vAlign w:val="bottom"/>
            <w:tcBorders>
              <w:left w:val="single" w:sz="8" w:color="242424"/>
              <w:right w:val="single" w:sz="8" w:color="242424"/>
            </w:tcBorders>
            <w:vMerge w:val="continue"/>
          </w:tcPr>
          <w:p>
            <w:pPr>
              <w:spacing w:after="0"/>
              <w:rPr>
                <w:sz w:val="9"/>
                <w:szCs w:val="9"/>
                <w:color w:val="auto"/>
              </w:rPr>
            </w:pPr>
          </w:p>
        </w:tc>
        <w:tc>
          <w:tcPr>
            <w:tcW w:w="8000" w:type="dxa"/>
            <w:vAlign w:val="bottom"/>
            <w:tcBorders>
              <w:right w:val="single" w:sz="8" w:color="242424"/>
            </w:tcBorders>
            <w:vMerge w:val="restart"/>
          </w:tcPr>
          <w:p>
            <w:pPr>
              <w:ind w:left="20"/>
              <w:spacing w:after="0"/>
              <w:rPr>
                <w:sz w:val="20"/>
                <w:szCs w:val="20"/>
                <w:color w:val="auto"/>
              </w:rPr>
            </w:pPr>
            <w:r>
              <w:rPr>
                <w:rFonts w:ascii="Arial" w:cs="Arial" w:eastAsia="Arial" w:hAnsi="Arial"/>
                <w:sz w:val="18"/>
                <w:szCs w:val="18"/>
                <w:color w:val="242424"/>
              </w:rPr>
              <w:t>Salaries are set to be competitive with market and industry norms.</w:t>
            </w:r>
          </w:p>
        </w:tc>
        <w:tc>
          <w:tcPr>
            <w:tcW w:w="0" w:type="dxa"/>
            <w:vAlign w:val="bottom"/>
          </w:tcPr>
          <w:p>
            <w:pPr>
              <w:spacing w:after="0"/>
              <w:rPr>
                <w:sz w:val="1"/>
                <w:szCs w:val="1"/>
                <w:color w:val="auto"/>
              </w:rPr>
            </w:pPr>
          </w:p>
        </w:tc>
      </w:tr>
      <w:tr>
        <w:trPr>
          <w:trHeight w:val="106"/>
        </w:trPr>
        <w:tc>
          <w:tcPr>
            <w:tcW w:w="2180" w:type="dxa"/>
            <w:vAlign w:val="bottom"/>
            <w:tcBorders>
              <w:left w:val="single" w:sz="8" w:color="242424"/>
              <w:right w:val="single" w:sz="8" w:color="242424"/>
            </w:tcBorders>
          </w:tcPr>
          <w:p>
            <w:pPr>
              <w:spacing w:after="0"/>
              <w:rPr>
                <w:sz w:val="9"/>
                <w:szCs w:val="9"/>
                <w:color w:val="auto"/>
              </w:rPr>
            </w:pPr>
          </w:p>
        </w:tc>
        <w:tc>
          <w:tcPr>
            <w:tcW w:w="8000" w:type="dxa"/>
            <w:vAlign w:val="bottom"/>
            <w:tcBorders>
              <w:right w:val="single" w:sz="8" w:color="242424"/>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180" w:type="dxa"/>
            <w:vAlign w:val="bottom"/>
            <w:tcBorders>
              <w:left w:val="single" w:sz="8" w:color="242424"/>
              <w:bottom w:val="single" w:sz="8" w:color="242424"/>
              <w:right w:val="single" w:sz="8" w:color="242424"/>
            </w:tcBorders>
          </w:tcPr>
          <w:p>
            <w:pPr>
              <w:spacing w:after="0"/>
              <w:rPr>
                <w:sz w:val="2"/>
                <w:szCs w:val="2"/>
                <w:color w:val="auto"/>
              </w:rPr>
            </w:pPr>
          </w:p>
        </w:tc>
        <w:tc>
          <w:tcPr>
            <w:tcW w:w="8000" w:type="dxa"/>
            <w:vAlign w:val="bottom"/>
            <w:tcBorders>
              <w:bottom w:val="single" w:sz="8" w:color="242424"/>
              <w:right w:val="single" w:sz="8" w:color="242424"/>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left w:val="single" w:sz="8" w:color="242424"/>
              <w:right w:val="single" w:sz="8" w:color="242424"/>
            </w:tcBorders>
          </w:tcPr>
          <w:p>
            <w:pPr>
              <w:spacing w:after="0"/>
              <w:rPr>
                <w:sz w:val="21"/>
                <w:szCs w:val="21"/>
                <w:color w:val="auto"/>
              </w:rPr>
            </w:pPr>
          </w:p>
        </w:tc>
        <w:tc>
          <w:tcPr>
            <w:tcW w:w="8000" w:type="dxa"/>
            <w:vAlign w:val="bottom"/>
            <w:tcBorders>
              <w:right w:val="single" w:sz="8" w:color="242424"/>
            </w:tcBorders>
          </w:tcPr>
          <w:p>
            <w:pPr>
              <w:ind w:left="20"/>
              <w:spacing w:after="0"/>
              <w:rPr>
                <w:sz w:val="20"/>
                <w:szCs w:val="20"/>
                <w:color w:val="auto"/>
              </w:rPr>
            </w:pPr>
            <w:r>
              <w:rPr>
                <w:rFonts w:ascii="Arial" w:cs="Arial" w:eastAsia="Arial" w:hAnsi="Arial"/>
                <w:sz w:val="18"/>
                <w:szCs w:val="18"/>
                <w:color w:val="242424"/>
              </w:rPr>
              <w:t>The APB Plan is intended to reward the achievement of pre-established annual corporate and</w:t>
            </w:r>
          </w:p>
        </w:tc>
        <w:tc>
          <w:tcPr>
            <w:tcW w:w="0" w:type="dxa"/>
            <w:vAlign w:val="bottom"/>
          </w:tcPr>
          <w:p>
            <w:pPr>
              <w:spacing w:after="0"/>
              <w:rPr>
                <w:sz w:val="1"/>
                <w:szCs w:val="1"/>
                <w:color w:val="auto"/>
              </w:rPr>
            </w:pPr>
          </w:p>
        </w:tc>
      </w:tr>
      <w:tr>
        <w:trPr>
          <w:trHeight w:val="212"/>
        </w:trPr>
        <w:tc>
          <w:tcPr>
            <w:tcW w:w="2180" w:type="dxa"/>
            <w:vAlign w:val="bottom"/>
            <w:tcBorders>
              <w:left w:val="single" w:sz="8" w:color="242424"/>
              <w:right w:val="single" w:sz="8" w:color="242424"/>
            </w:tcBorders>
          </w:tcPr>
          <w:p>
            <w:pPr>
              <w:spacing w:after="0"/>
              <w:rPr>
                <w:sz w:val="18"/>
                <w:szCs w:val="18"/>
                <w:color w:val="auto"/>
              </w:rPr>
            </w:pPr>
          </w:p>
        </w:tc>
        <w:tc>
          <w:tcPr>
            <w:tcW w:w="8000" w:type="dxa"/>
            <w:vAlign w:val="bottom"/>
            <w:tcBorders>
              <w:right w:val="single" w:sz="8" w:color="242424"/>
            </w:tcBorders>
          </w:tcPr>
          <w:p>
            <w:pPr>
              <w:ind w:left="20"/>
              <w:spacing w:after="0"/>
              <w:rPr>
                <w:sz w:val="20"/>
                <w:szCs w:val="20"/>
                <w:color w:val="auto"/>
              </w:rPr>
            </w:pPr>
            <w:r>
              <w:rPr>
                <w:rFonts w:ascii="Arial" w:cs="Arial" w:eastAsia="Arial" w:hAnsi="Arial"/>
                <w:sz w:val="18"/>
                <w:szCs w:val="18"/>
                <w:color w:val="242424"/>
              </w:rPr>
              <w:t>divisional performance goals, as well as the individual contributions and performance of each</w:t>
            </w:r>
          </w:p>
        </w:tc>
        <w:tc>
          <w:tcPr>
            <w:tcW w:w="0" w:type="dxa"/>
            <w:vAlign w:val="bottom"/>
          </w:tcPr>
          <w:p>
            <w:pPr>
              <w:spacing w:after="0"/>
              <w:rPr>
                <w:sz w:val="1"/>
                <w:szCs w:val="1"/>
                <w:color w:val="auto"/>
              </w:rPr>
            </w:pPr>
          </w:p>
        </w:tc>
      </w:tr>
      <w:tr>
        <w:trPr>
          <w:trHeight w:val="212"/>
        </w:trPr>
        <w:tc>
          <w:tcPr>
            <w:tcW w:w="2180" w:type="dxa"/>
            <w:vAlign w:val="bottom"/>
            <w:tcBorders>
              <w:left w:val="single" w:sz="8" w:color="242424"/>
              <w:right w:val="single" w:sz="8" w:color="242424"/>
            </w:tcBorders>
            <w:vMerge w:val="restart"/>
          </w:tcPr>
          <w:p>
            <w:pPr>
              <w:jc w:val="center"/>
              <w:spacing w:after="0"/>
              <w:rPr>
                <w:sz w:val="20"/>
                <w:szCs w:val="20"/>
                <w:color w:val="auto"/>
              </w:rPr>
            </w:pPr>
            <w:r>
              <w:rPr>
                <w:rFonts w:ascii="Arial" w:cs="Arial" w:eastAsia="Arial" w:hAnsi="Arial"/>
                <w:sz w:val="18"/>
                <w:szCs w:val="18"/>
                <w:b w:val="1"/>
                <w:bCs w:val="1"/>
                <w:color w:val="242424"/>
                <w:w w:val="96"/>
              </w:rPr>
              <w:t>Short-Term</w:t>
            </w:r>
          </w:p>
        </w:tc>
        <w:tc>
          <w:tcPr>
            <w:tcW w:w="8000" w:type="dxa"/>
            <w:vAlign w:val="bottom"/>
            <w:tcBorders>
              <w:right w:val="single" w:sz="8" w:color="242424"/>
            </w:tcBorders>
          </w:tcPr>
          <w:p>
            <w:pPr>
              <w:ind w:left="20"/>
              <w:spacing w:after="0"/>
              <w:rPr>
                <w:sz w:val="20"/>
                <w:szCs w:val="20"/>
                <w:color w:val="auto"/>
              </w:rPr>
            </w:pPr>
            <w:r>
              <w:rPr>
                <w:rFonts w:ascii="Arial" w:cs="Arial" w:eastAsia="Arial" w:hAnsi="Arial"/>
                <w:sz w:val="18"/>
                <w:szCs w:val="18"/>
                <w:color w:val="242424"/>
              </w:rPr>
              <w:t>executive.</w:t>
            </w:r>
          </w:p>
        </w:tc>
        <w:tc>
          <w:tcPr>
            <w:tcW w:w="0" w:type="dxa"/>
            <w:vAlign w:val="bottom"/>
          </w:tcPr>
          <w:p>
            <w:pPr>
              <w:spacing w:after="0"/>
              <w:rPr>
                <w:sz w:val="1"/>
                <w:szCs w:val="1"/>
                <w:color w:val="auto"/>
              </w:rPr>
            </w:pPr>
          </w:p>
        </w:tc>
      </w:tr>
      <w:tr>
        <w:trPr>
          <w:trHeight w:val="203"/>
        </w:trPr>
        <w:tc>
          <w:tcPr>
            <w:tcW w:w="2180" w:type="dxa"/>
            <w:vAlign w:val="bottom"/>
            <w:tcBorders>
              <w:left w:val="single" w:sz="8" w:color="242424"/>
              <w:right w:val="single" w:sz="8" w:color="242424"/>
            </w:tcBorders>
            <w:vMerge w:val="continue"/>
          </w:tcPr>
          <w:p>
            <w:pPr>
              <w:spacing w:after="0"/>
              <w:rPr>
                <w:sz w:val="17"/>
                <w:szCs w:val="17"/>
                <w:color w:val="auto"/>
              </w:rPr>
            </w:pPr>
          </w:p>
        </w:tc>
        <w:tc>
          <w:tcPr>
            <w:tcW w:w="8000" w:type="dxa"/>
            <w:vAlign w:val="bottom"/>
            <w:tcBorders>
              <w:right w:val="single" w:sz="8" w:color="242424"/>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Borders>
              <w:left w:val="single" w:sz="8" w:color="242424"/>
              <w:right w:val="single" w:sz="8" w:color="242424"/>
            </w:tcBorders>
          </w:tcPr>
          <w:p>
            <w:pPr>
              <w:jc w:val="center"/>
              <w:spacing w:after="0"/>
              <w:rPr>
                <w:sz w:val="20"/>
                <w:szCs w:val="20"/>
                <w:color w:val="auto"/>
              </w:rPr>
            </w:pPr>
            <w:r>
              <w:rPr>
                <w:rFonts w:ascii="Arial" w:cs="Arial" w:eastAsia="Arial" w:hAnsi="Arial"/>
                <w:sz w:val="18"/>
                <w:szCs w:val="18"/>
                <w:b w:val="1"/>
                <w:bCs w:val="1"/>
                <w:color w:val="242424"/>
                <w:w w:val="97"/>
              </w:rPr>
              <w:t>Incentives (STI)</w:t>
            </w:r>
          </w:p>
        </w:tc>
        <w:tc>
          <w:tcPr>
            <w:tcW w:w="8000" w:type="dxa"/>
            <w:vAlign w:val="bottom"/>
            <w:tcBorders>
              <w:right w:val="single" w:sz="8" w:color="242424"/>
            </w:tcBorders>
            <w:vMerge w:val="restart"/>
          </w:tcPr>
          <w:p>
            <w:pPr>
              <w:ind w:left="20"/>
              <w:spacing w:after="0"/>
              <w:rPr>
                <w:sz w:val="20"/>
                <w:szCs w:val="20"/>
                <w:color w:val="auto"/>
              </w:rPr>
            </w:pPr>
            <w:r>
              <w:rPr>
                <w:rFonts w:ascii="Arial" w:cs="Arial" w:eastAsia="Arial" w:hAnsi="Arial"/>
                <w:sz w:val="18"/>
                <w:szCs w:val="18"/>
                <w:color w:val="242424"/>
              </w:rPr>
              <w:t>In Fiscal Year 2021, our corporate performance goals were (i) revenue and (ii) adjusted non-GAAP</w:t>
            </w:r>
          </w:p>
        </w:tc>
        <w:tc>
          <w:tcPr>
            <w:tcW w:w="0" w:type="dxa"/>
            <w:vAlign w:val="bottom"/>
          </w:tcPr>
          <w:p>
            <w:pPr>
              <w:spacing w:after="0"/>
              <w:rPr>
                <w:sz w:val="1"/>
                <w:szCs w:val="1"/>
                <w:color w:val="auto"/>
              </w:rPr>
            </w:pPr>
          </w:p>
        </w:tc>
      </w:tr>
      <w:tr>
        <w:trPr>
          <w:trHeight w:val="53"/>
        </w:trPr>
        <w:tc>
          <w:tcPr>
            <w:tcW w:w="2180" w:type="dxa"/>
            <w:vAlign w:val="bottom"/>
            <w:tcBorders>
              <w:left w:val="single" w:sz="8" w:color="242424"/>
              <w:right w:val="single" w:sz="8" w:color="242424"/>
            </w:tcBorders>
          </w:tcPr>
          <w:p>
            <w:pPr>
              <w:spacing w:after="0"/>
              <w:rPr>
                <w:sz w:val="4"/>
                <w:szCs w:val="4"/>
                <w:color w:val="auto"/>
              </w:rPr>
            </w:pPr>
          </w:p>
        </w:tc>
        <w:tc>
          <w:tcPr>
            <w:tcW w:w="8000" w:type="dxa"/>
            <w:vAlign w:val="bottom"/>
            <w:tcBorders>
              <w:right w:val="single" w:sz="8" w:color="242424"/>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180" w:type="dxa"/>
            <w:vAlign w:val="bottom"/>
            <w:tcBorders>
              <w:left w:val="single" w:sz="8" w:color="242424"/>
              <w:right w:val="single" w:sz="8" w:color="242424"/>
            </w:tcBorders>
          </w:tcPr>
          <w:p>
            <w:pPr>
              <w:spacing w:after="0"/>
              <w:rPr>
                <w:sz w:val="18"/>
                <w:szCs w:val="18"/>
                <w:color w:val="auto"/>
              </w:rPr>
            </w:pPr>
          </w:p>
        </w:tc>
        <w:tc>
          <w:tcPr>
            <w:tcW w:w="8000" w:type="dxa"/>
            <w:vAlign w:val="bottom"/>
            <w:tcBorders>
              <w:right w:val="single" w:sz="8" w:color="242424"/>
            </w:tcBorders>
          </w:tcPr>
          <w:p>
            <w:pPr>
              <w:ind w:left="20"/>
              <w:spacing w:after="0"/>
              <w:rPr>
                <w:sz w:val="20"/>
                <w:szCs w:val="20"/>
                <w:color w:val="auto"/>
              </w:rPr>
            </w:pPr>
            <w:r>
              <w:rPr>
                <w:rFonts w:ascii="Arial" w:cs="Arial" w:eastAsia="Arial" w:hAnsi="Arial"/>
                <w:sz w:val="18"/>
                <w:szCs w:val="18"/>
                <w:color w:val="242424"/>
              </w:rPr>
              <w:t>operating income as a percentage of revenue. Pre-established attainment levels are designed to</w:t>
            </w:r>
          </w:p>
        </w:tc>
        <w:tc>
          <w:tcPr>
            <w:tcW w:w="0" w:type="dxa"/>
            <w:vAlign w:val="bottom"/>
          </w:tcPr>
          <w:p>
            <w:pPr>
              <w:spacing w:after="0"/>
              <w:rPr>
                <w:sz w:val="1"/>
                <w:szCs w:val="1"/>
                <w:color w:val="auto"/>
              </w:rPr>
            </w:pPr>
          </w:p>
        </w:tc>
      </w:tr>
      <w:tr>
        <w:trPr>
          <w:trHeight w:val="212"/>
        </w:trPr>
        <w:tc>
          <w:tcPr>
            <w:tcW w:w="2180" w:type="dxa"/>
            <w:vAlign w:val="bottom"/>
            <w:tcBorders>
              <w:left w:val="single" w:sz="8" w:color="242424"/>
              <w:right w:val="single" w:sz="8" w:color="242424"/>
            </w:tcBorders>
          </w:tcPr>
          <w:p>
            <w:pPr>
              <w:spacing w:after="0"/>
              <w:rPr>
                <w:sz w:val="18"/>
                <w:szCs w:val="18"/>
                <w:color w:val="auto"/>
              </w:rPr>
            </w:pPr>
          </w:p>
        </w:tc>
        <w:tc>
          <w:tcPr>
            <w:tcW w:w="8000" w:type="dxa"/>
            <w:vAlign w:val="bottom"/>
            <w:tcBorders>
              <w:right w:val="single" w:sz="8" w:color="242424"/>
            </w:tcBorders>
          </w:tcPr>
          <w:p>
            <w:pPr>
              <w:ind w:left="20"/>
              <w:spacing w:after="0"/>
              <w:rPr>
                <w:sz w:val="20"/>
                <w:szCs w:val="20"/>
                <w:color w:val="auto"/>
              </w:rPr>
            </w:pPr>
            <w:r>
              <w:rPr>
                <w:rFonts w:ascii="Arial" w:cs="Arial" w:eastAsia="Arial" w:hAnsi="Arial"/>
                <w:sz w:val="18"/>
                <w:szCs w:val="18"/>
                <w:color w:val="242424"/>
              </w:rPr>
              <w:t>significantly enhance stockholder value, to be difficult to attain and to require substantial effort to</w:t>
            </w:r>
          </w:p>
        </w:tc>
        <w:tc>
          <w:tcPr>
            <w:tcW w:w="0" w:type="dxa"/>
            <w:vAlign w:val="bottom"/>
          </w:tcPr>
          <w:p>
            <w:pPr>
              <w:spacing w:after="0"/>
              <w:rPr>
                <w:sz w:val="1"/>
                <w:szCs w:val="1"/>
                <w:color w:val="auto"/>
              </w:rPr>
            </w:pPr>
          </w:p>
        </w:tc>
      </w:tr>
      <w:tr>
        <w:trPr>
          <w:trHeight w:val="212"/>
        </w:trPr>
        <w:tc>
          <w:tcPr>
            <w:tcW w:w="2180" w:type="dxa"/>
            <w:vAlign w:val="bottom"/>
            <w:tcBorders>
              <w:left w:val="single" w:sz="8" w:color="242424"/>
              <w:right w:val="single" w:sz="8" w:color="242424"/>
            </w:tcBorders>
          </w:tcPr>
          <w:p>
            <w:pPr>
              <w:spacing w:after="0"/>
              <w:rPr>
                <w:sz w:val="18"/>
                <w:szCs w:val="18"/>
                <w:color w:val="auto"/>
              </w:rPr>
            </w:pPr>
          </w:p>
        </w:tc>
        <w:tc>
          <w:tcPr>
            <w:tcW w:w="8000" w:type="dxa"/>
            <w:vAlign w:val="bottom"/>
            <w:tcBorders>
              <w:right w:val="single" w:sz="8" w:color="242424"/>
            </w:tcBorders>
          </w:tcPr>
          <w:p>
            <w:pPr>
              <w:ind w:left="20"/>
              <w:spacing w:after="0"/>
              <w:rPr>
                <w:sz w:val="20"/>
                <w:szCs w:val="20"/>
                <w:color w:val="auto"/>
              </w:rPr>
            </w:pPr>
            <w:r>
              <w:rPr>
                <w:rFonts w:ascii="Arial" w:cs="Arial" w:eastAsia="Arial" w:hAnsi="Arial"/>
                <w:sz w:val="18"/>
                <w:szCs w:val="18"/>
                <w:color w:val="242424"/>
              </w:rPr>
              <w:t>achieve.</w:t>
            </w:r>
          </w:p>
        </w:tc>
        <w:tc>
          <w:tcPr>
            <w:tcW w:w="0" w:type="dxa"/>
            <w:vAlign w:val="bottom"/>
          </w:tcPr>
          <w:p>
            <w:pPr>
              <w:spacing w:after="0"/>
              <w:rPr>
                <w:sz w:val="1"/>
                <w:szCs w:val="1"/>
                <w:color w:val="auto"/>
              </w:rPr>
            </w:pPr>
          </w:p>
        </w:tc>
      </w:tr>
      <w:tr>
        <w:trPr>
          <w:trHeight w:val="28"/>
        </w:trPr>
        <w:tc>
          <w:tcPr>
            <w:tcW w:w="2180" w:type="dxa"/>
            <w:vAlign w:val="bottom"/>
            <w:tcBorders>
              <w:left w:val="single" w:sz="8" w:color="242424"/>
              <w:bottom w:val="single" w:sz="8" w:color="242424"/>
              <w:right w:val="single" w:sz="8" w:color="242424"/>
            </w:tcBorders>
          </w:tcPr>
          <w:p>
            <w:pPr>
              <w:spacing w:after="0"/>
              <w:rPr>
                <w:sz w:val="2"/>
                <w:szCs w:val="2"/>
                <w:color w:val="auto"/>
              </w:rPr>
            </w:pPr>
          </w:p>
        </w:tc>
        <w:tc>
          <w:tcPr>
            <w:tcW w:w="8000" w:type="dxa"/>
            <w:vAlign w:val="bottom"/>
            <w:tcBorders>
              <w:bottom w:val="single" w:sz="8" w:color="242424"/>
              <w:right w:val="single" w:sz="8" w:color="242424"/>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180" w:type="dxa"/>
            <w:vAlign w:val="bottom"/>
            <w:tcBorders>
              <w:left w:val="single" w:sz="8" w:color="242424"/>
              <w:right w:val="single" w:sz="8" w:color="242424"/>
            </w:tcBorders>
            <w:vMerge w:val="restart"/>
          </w:tcPr>
          <w:p>
            <w:pPr>
              <w:jc w:val="center"/>
              <w:spacing w:after="0"/>
              <w:rPr>
                <w:sz w:val="20"/>
                <w:szCs w:val="20"/>
                <w:color w:val="auto"/>
              </w:rPr>
            </w:pPr>
            <w:r>
              <w:rPr>
                <w:rFonts w:ascii="Arial" w:cs="Arial" w:eastAsia="Arial" w:hAnsi="Arial"/>
                <w:sz w:val="18"/>
                <w:szCs w:val="18"/>
                <w:b w:val="1"/>
                <w:bCs w:val="1"/>
                <w:color w:val="242424"/>
                <w:w w:val="97"/>
              </w:rPr>
              <w:t>Long-Term</w:t>
            </w:r>
          </w:p>
        </w:tc>
        <w:tc>
          <w:tcPr>
            <w:tcW w:w="8000" w:type="dxa"/>
            <w:vAlign w:val="bottom"/>
            <w:tcBorders>
              <w:right w:val="single" w:sz="8" w:color="242424"/>
            </w:tcBorders>
          </w:tcPr>
          <w:p>
            <w:pPr>
              <w:ind w:left="20"/>
              <w:spacing w:after="0"/>
              <w:rPr>
                <w:sz w:val="20"/>
                <w:szCs w:val="20"/>
                <w:color w:val="auto"/>
              </w:rPr>
            </w:pPr>
            <w:r>
              <w:rPr>
                <w:rFonts w:ascii="Arial" w:cs="Arial" w:eastAsia="Arial" w:hAnsi="Arial"/>
                <w:sz w:val="18"/>
                <w:szCs w:val="18"/>
                <w:color w:val="242424"/>
              </w:rPr>
              <w:t>RSU awards and PSU awards are granted to encourage and reward the efforts of our executives to</w:t>
            </w:r>
          </w:p>
        </w:tc>
        <w:tc>
          <w:tcPr>
            <w:tcW w:w="0" w:type="dxa"/>
            <w:vAlign w:val="bottom"/>
          </w:tcPr>
          <w:p>
            <w:pPr>
              <w:spacing w:after="0"/>
              <w:rPr>
                <w:sz w:val="1"/>
                <w:szCs w:val="1"/>
                <w:color w:val="auto"/>
              </w:rPr>
            </w:pPr>
          </w:p>
        </w:tc>
      </w:tr>
      <w:tr>
        <w:trPr>
          <w:trHeight w:val="71"/>
        </w:trPr>
        <w:tc>
          <w:tcPr>
            <w:tcW w:w="2180" w:type="dxa"/>
            <w:vAlign w:val="bottom"/>
            <w:tcBorders>
              <w:left w:val="single" w:sz="8" w:color="242424"/>
              <w:right w:val="single" w:sz="8" w:color="242424"/>
            </w:tcBorders>
            <w:vMerge w:val="continue"/>
          </w:tcPr>
          <w:p>
            <w:pPr>
              <w:spacing w:after="0"/>
              <w:rPr>
                <w:sz w:val="6"/>
                <w:szCs w:val="6"/>
                <w:color w:val="auto"/>
              </w:rPr>
            </w:pPr>
          </w:p>
        </w:tc>
        <w:tc>
          <w:tcPr>
            <w:tcW w:w="8000" w:type="dxa"/>
            <w:vAlign w:val="bottom"/>
            <w:tcBorders>
              <w:right w:val="single" w:sz="8" w:color="242424"/>
            </w:tcBorders>
            <w:vMerge w:val="restart"/>
          </w:tcPr>
          <w:p>
            <w:pPr>
              <w:ind w:left="20"/>
              <w:spacing w:after="0"/>
              <w:rPr>
                <w:sz w:val="20"/>
                <w:szCs w:val="20"/>
                <w:color w:val="auto"/>
              </w:rPr>
            </w:pPr>
            <w:r>
              <w:rPr>
                <w:rFonts w:ascii="Arial" w:cs="Arial" w:eastAsia="Arial" w:hAnsi="Arial"/>
                <w:sz w:val="18"/>
                <w:szCs w:val="18"/>
                <w:color w:val="242424"/>
                <w:w w:val="99"/>
              </w:rPr>
              <w:t>grow sustainable, long-term stockholder value. These equity awards further encourage retention and</w:t>
            </w:r>
          </w:p>
        </w:tc>
        <w:tc>
          <w:tcPr>
            <w:tcW w:w="0" w:type="dxa"/>
            <w:vAlign w:val="bottom"/>
          </w:tcPr>
          <w:p>
            <w:pPr>
              <w:spacing w:after="0"/>
              <w:rPr>
                <w:sz w:val="1"/>
                <w:szCs w:val="1"/>
                <w:color w:val="auto"/>
              </w:rPr>
            </w:pPr>
          </w:p>
        </w:tc>
      </w:tr>
      <w:tr>
        <w:trPr>
          <w:trHeight w:val="141"/>
        </w:trPr>
        <w:tc>
          <w:tcPr>
            <w:tcW w:w="2180" w:type="dxa"/>
            <w:vAlign w:val="bottom"/>
            <w:tcBorders>
              <w:left w:val="single" w:sz="8" w:color="242424"/>
              <w:right w:val="single" w:sz="8" w:color="242424"/>
            </w:tcBorders>
            <w:vMerge w:val="restart"/>
          </w:tcPr>
          <w:p>
            <w:pPr>
              <w:jc w:val="center"/>
              <w:spacing w:after="0"/>
              <w:rPr>
                <w:sz w:val="20"/>
                <w:szCs w:val="20"/>
                <w:color w:val="auto"/>
              </w:rPr>
            </w:pPr>
            <w:r>
              <w:rPr>
                <w:rFonts w:ascii="Arial" w:cs="Arial" w:eastAsia="Arial" w:hAnsi="Arial"/>
                <w:sz w:val="18"/>
                <w:szCs w:val="18"/>
                <w:b w:val="1"/>
                <w:bCs w:val="1"/>
                <w:color w:val="242424"/>
                <w:w w:val="96"/>
              </w:rPr>
              <w:t>Incentives (LTI)</w:t>
            </w:r>
          </w:p>
        </w:tc>
        <w:tc>
          <w:tcPr>
            <w:tcW w:w="8000" w:type="dxa"/>
            <w:vAlign w:val="bottom"/>
            <w:tcBorders>
              <w:right w:val="single" w:sz="8" w:color="242424"/>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180" w:type="dxa"/>
            <w:vAlign w:val="bottom"/>
            <w:tcBorders>
              <w:left w:val="single" w:sz="8" w:color="242424"/>
              <w:right w:val="single" w:sz="8" w:color="242424"/>
            </w:tcBorders>
            <w:vMerge w:val="continue"/>
          </w:tcPr>
          <w:p>
            <w:pPr>
              <w:spacing w:after="0"/>
              <w:rPr>
                <w:sz w:val="8"/>
                <w:szCs w:val="8"/>
                <w:color w:val="auto"/>
              </w:rPr>
            </w:pPr>
          </w:p>
        </w:tc>
        <w:tc>
          <w:tcPr>
            <w:tcW w:w="8000" w:type="dxa"/>
            <w:vAlign w:val="bottom"/>
            <w:tcBorders>
              <w:right w:val="single" w:sz="8" w:color="242424"/>
            </w:tcBorders>
            <w:vMerge w:val="restart"/>
          </w:tcPr>
          <w:p>
            <w:pPr>
              <w:ind w:left="20"/>
              <w:spacing w:after="0"/>
              <w:rPr>
                <w:sz w:val="20"/>
                <w:szCs w:val="20"/>
                <w:color w:val="auto"/>
              </w:rPr>
            </w:pPr>
            <w:r>
              <w:rPr>
                <w:rFonts w:ascii="Arial" w:cs="Arial" w:eastAsia="Arial" w:hAnsi="Arial"/>
                <w:sz w:val="18"/>
                <w:szCs w:val="18"/>
                <w:color w:val="242424"/>
              </w:rPr>
              <w:t>mitigate compensation-related risks.</w:t>
            </w:r>
          </w:p>
        </w:tc>
        <w:tc>
          <w:tcPr>
            <w:tcW w:w="0" w:type="dxa"/>
            <w:vAlign w:val="bottom"/>
          </w:tcPr>
          <w:p>
            <w:pPr>
              <w:spacing w:after="0"/>
              <w:rPr>
                <w:sz w:val="1"/>
                <w:szCs w:val="1"/>
                <w:color w:val="auto"/>
              </w:rPr>
            </w:pPr>
          </w:p>
        </w:tc>
      </w:tr>
      <w:tr>
        <w:trPr>
          <w:trHeight w:val="119"/>
        </w:trPr>
        <w:tc>
          <w:tcPr>
            <w:tcW w:w="2180" w:type="dxa"/>
            <w:vAlign w:val="bottom"/>
            <w:tcBorders>
              <w:left w:val="single" w:sz="8" w:color="242424"/>
              <w:right w:val="single" w:sz="8" w:color="242424"/>
            </w:tcBorders>
          </w:tcPr>
          <w:p>
            <w:pPr>
              <w:spacing w:after="0"/>
              <w:rPr>
                <w:sz w:val="10"/>
                <w:szCs w:val="10"/>
                <w:color w:val="auto"/>
              </w:rPr>
            </w:pPr>
          </w:p>
        </w:tc>
        <w:tc>
          <w:tcPr>
            <w:tcW w:w="8000" w:type="dxa"/>
            <w:vAlign w:val="bottom"/>
            <w:tcBorders>
              <w:right w:val="single" w:sz="8" w:color="242424"/>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180" w:type="dxa"/>
            <w:vAlign w:val="bottom"/>
            <w:tcBorders>
              <w:left w:val="single" w:sz="8" w:color="242424"/>
              <w:bottom w:val="single" w:sz="8" w:color="242424"/>
              <w:right w:val="single" w:sz="8" w:color="242424"/>
            </w:tcBorders>
          </w:tcPr>
          <w:p>
            <w:pPr>
              <w:spacing w:after="0"/>
              <w:rPr>
                <w:sz w:val="2"/>
                <w:szCs w:val="2"/>
                <w:color w:val="auto"/>
              </w:rPr>
            </w:pPr>
          </w:p>
        </w:tc>
        <w:tc>
          <w:tcPr>
            <w:tcW w:w="8000" w:type="dxa"/>
            <w:vAlign w:val="bottom"/>
            <w:tcBorders>
              <w:bottom w:val="single" w:sz="8" w:color="242424"/>
              <w:right w:val="single" w:sz="8" w:color="24242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242424"/>
        </w:rPr>
        <w:t>The following charts compare the Fiscal Year 2021 target total direct compensation for our CEO and our other NEOs. Target total direct compensation consists of (i) base salary, (ii) target STI through the APB Plan, and (iii) target LTI in the form of equity awards comprised of service-based RSU awards and PSU awards based on the fair market value of the awards on the grant date or the effective date, as the case may be. As shown in the charts below, approximately 95% of our NEOs’ target total direct compensation in Fiscal Year 2021 is comprised of variable compensation elements.</w:t>
      </w:r>
    </w:p>
    <w:p>
      <w:pPr>
        <w:spacing w:after="0" w:line="154" w:lineRule="exact"/>
        <w:rPr>
          <w:sz w:val="20"/>
          <w:szCs w:val="20"/>
          <w:color w:val="auto"/>
        </w:rPr>
      </w:pPr>
    </w:p>
    <w:p>
      <w:pPr>
        <w:ind w:right="360"/>
        <w:spacing w:after="0" w:line="251" w:lineRule="auto"/>
        <w:rPr>
          <w:sz w:val="20"/>
          <w:szCs w:val="20"/>
          <w:color w:val="auto"/>
        </w:rPr>
      </w:pPr>
      <w:r>
        <w:rPr>
          <w:rFonts w:ascii="Arial" w:cs="Arial" w:eastAsia="Arial" w:hAnsi="Arial"/>
          <w:sz w:val="18"/>
          <w:szCs w:val="18"/>
          <w:color w:val="242424"/>
        </w:rPr>
        <w:t>The CEO chart includes Mr. Tan’s Fiscal Year 2021 PSU award based on its fair market value on the December 15, 2020 effective date and assuming target performance.</w:t>
      </w:r>
    </w:p>
    <w:p>
      <w:pPr>
        <w:spacing w:after="0" w:line="15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242424"/>
        </w:rPr>
        <w:t>The Other NEO chart includes the equity awards granted in connection with the promotion of three NEOs: (i) the service-based RSU awards and PSU awards granted to Ms. Spears, assuming target performance, and (ii) the annualized value of the service-based RSU awards and PSU awards, which vests over three years, granted to Dr. Kawwas and Mr. Krause, in each case based on the fair market value on the December 15, 2020 effective date and assuming target performance. In addition, the Other NEO chart includes the portion of the 2019 Multi-Year Equity Awards granted to the NEOs other than our CEO in January 2019 that began vesting in March 2021, based on the January 2019 grant date fair market value and assuming target performance. The 2019 Multi-Year Equity Awards vest on the same basis as if four annual equity grants were made on March 15 each year, beginning in 2019 for four successive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5376545" cy="2078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76545" cy="207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29</w:t>
      </w:r>
    </w:p>
    <w:p>
      <w:pPr>
        <w:sectPr>
          <w:pgSz w:w="11900" w:h="16838" w:orient="portrait"/>
          <w:cols w:equalWidth="0" w:num="1">
            <w:col w:w="11220"/>
          </w:cols>
          <w:pgMar w:left="320" w:top="181" w:right="359" w:bottom="1440" w:gutter="0" w:footer="0" w:header="0"/>
        </w:sectPr>
      </w:pPr>
    </w:p>
    <w:bookmarkStart w:id="32" w:name="page33"/>
    <w:bookmarkEnd w:id="32"/>
    <w:p>
      <w:pPr>
        <w:ind w:left="20"/>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Executive Compensation Program Governance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242424"/>
        </w:rPr>
        <w:t>The table below highlights our key executive compensation program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860" cy="2355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235585"/>
                    </a:xfrm>
                    <a:prstGeom prst="rect">
                      <a:avLst/>
                    </a:prstGeom>
                    <a:noFill/>
                  </pic:spPr>
                </pic:pic>
              </a:graphicData>
            </a:graphic>
          </wp:anchor>
        </w:drawing>
      </w:r>
    </w:p>
    <w:p>
      <w:pPr>
        <w:spacing w:after="0" w:line="180" w:lineRule="exact"/>
        <w:rPr>
          <w:sz w:val="20"/>
          <w:szCs w:val="20"/>
          <w:color w:val="auto"/>
        </w:rPr>
      </w:pPr>
    </w:p>
    <w:p>
      <w:pPr>
        <w:jc w:val="right"/>
        <w:ind w:right="1640"/>
        <w:spacing w:after="0"/>
        <w:tabs>
          <w:tab w:leader="none" w:pos="2160" w:val="left"/>
        </w:tabs>
        <w:rPr>
          <w:sz w:val="20"/>
          <w:szCs w:val="20"/>
          <w:color w:val="auto"/>
        </w:rPr>
      </w:pPr>
      <w:r>
        <w:rPr>
          <w:rFonts w:ascii="Arial" w:cs="Arial" w:eastAsia="Arial" w:hAnsi="Arial"/>
          <w:sz w:val="16"/>
          <w:szCs w:val="16"/>
          <w:b w:val="1"/>
          <w:bCs w:val="1"/>
          <w:color w:val="242424"/>
        </w:rPr>
        <w:t>Best Practices We Employ</w:t>
      </w:r>
      <w:r>
        <w:rPr>
          <w:sz w:val="20"/>
          <w:szCs w:val="20"/>
          <w:color w:val="auto"/>
        </w:rPr>
        <w:tab/>
      </w:r>
      <w:r>
        <w:rPr>
          <w:rFonts w:ascii="Arial" w:cs="Arial" w:eastAsia="Arial" w:hAnsi="Arial"/>
          <w:sz w:val="15"/>
          <w:szCs w:val="15"/>
          <w:b w:val="1"/>
          <w:bCs w:val="1"/>
          <w:color w:val="242424"/>
        </w:rPr>
        <w:t>Practices We Do Not Employ</w:t>
      </w:r>
    </w:p>
    <w:p>
      <w:pPr>
        <w:sectPr>
          <w:pgSz w:w="11900" w:h="16838" w:orient="portrait"/>
          <w:cols w:equalWidth="0" w:num="1">
            <w:col w:w="11220"/>
          </w:cols>
          <w:pgMar w:left="320" w:top="181" w:right="359" w:bottom="1440" w:gutter="0" w:footer="0" w:header="0"/>
        </w:sectPr>
      </w:pPr>
    </w:p>
    <w:p>
      <w:pPr>
        <w:spacing w:after="0" w:line="104" w:lineRule="exact"/>
        <w:rPr>
          <w:sz w:val="20"/>
          <w:szCs w:val="20"/>
          <w:color w:val="auto"/>
        </w:rPr>
      </w:pPr>
    </w:p>
    <w:p>
      <w:pPr>
        <w:ind w:left="620" w:hanging="435"/>
        <w:spacing w:after="0"/>
        <w:tabs>
          <w:tab w:leader="none" w:pos="620" w:val="left"/>
        </w:tabs>
        <w:numPr>
          <w:ilvl w:val="0"/>
          <w:numId w:val="49"/>
        </w:numPr>
        <w:rPr>
          <w:rFonts w:ascii="Arial" w:cs="Arial" w:eastAsia="Arial" w:hAnsi="Arial"/>
          <w:sz w:val="21"/>
          <w:szCs w:val="21"/>
          <w:color w:val="CC092F"/>
        </w:rPr>
      </w:pPr>
      <w:r>
        <w:rPr>
          <w:rFonts w:ascii="Arial" w:cs="Arial" w:eastAsia="Arial" w:hAnsi="Arial"/>
          <w:sz w:val="16"/>
          <w:szCs w:val="16"/>
          <w:color w:val="242424"/>
        </w:rPr>
        <w:t>Majority of NEO compensation tied to long-term performance</w:t>
      </w:r>
    </w:p>
    <w:p>
      <w:pPr>
        <w:spacing w:after="0" w:line="74" w:lineRule="exact"/>
        <w:rPr>
          <w:rFonts w:ascii="Arial" w:cs="Arial" w:eastAsia="Arial" w:hAnsi="Arial"/>
          <w:sz w:val="21"/>
          <w:szCs w:val="21"/>
          <w:color w:val="CC092F"/>
        </w:rPr>
      </w:pPr>
    </w:p>
    <w:p>
      <w:pPr>
        <w:ind w:left="620" w:hanging="435"/>
        <w:spacing w:after="0"/>
        <w:tabs>
          <w:tab w:leader="none" w:pos="620" w:val="left"/>
        </w:tabs>
        <w:numPr>
          <w:ilvl w:val="0"/>
          <w:numId w:val="49"/>
        </w:numPr>
        <w:rPr>
          <w:rFonts w:ascii="Arial" w:cs="Arial" w:eastAsia="Arial" w:hAnsi="Arial"/>
          <w:sz w:val="20"/>
          <w:szCs w:val="20"/>
          <w:color w:val="CC092F"/>
        </w:rPr>
      </w:pPr>
      <w:r>
        <w:rPr>
          <w:rFonts w:ascii="Arial" w:cs="Arial" w:eastAsia="Arial" w:hAnsi="Arial"/>
          <w:sz w:val="15"/>
          <w:szCs w:val="15"/>
          <w:color w:val="242424"/>
        </w:rPr>
        <w:t>Performance metrics directly tied to value creation for stockholders</w:t>
      </w:r>
    </w:p>
    <w:p>
      <w:pPr>
        <w:spacing w:after="0" w:line="63" w:lineRule="exact"/>
        <w:rPr>
          <w:rFonts w:ascii="Arial" w:cs="Arial" w:eastAsia="Arial" w:hAnsi="Arial"/>
          <w:sz w:val="20"/>
          <w:szCs w:val="20"/>
          <w:color w:val="CC092F"/>
        </w:rPr>
      </w:pPr>
    </w:p>
    <w:p>
      <w:pPr>
        <w:ind w:left="620" w:hanging="435"/>
        <w:spacing w:after="0"/>
        <w:tabs>
          <w:tab w:leader="none" w:pos="620" w:val="left"/>
        </w:tabs>
        <w:numPr>
          <w:ilvl w:val="0"/>
          <w:numId w:val="49"/>
        </w:numPr>
        <w:rPr>
          <w:rFonts w:ascii="Arial" w:cs="Arial" w:eastAsia="Arial" w:hAnsi="Arial"/>
          <w:sz w:val="21"/>
          <w:szCs w:val="21"/>
          <w:color w:val="CC092F"/>
        </w:rPr>
      </w:pPr>
      <w:r>
        <w:rPr>
          <w:rFonts w:ascii="Arial" w:cs="Arial" w:eastAsia="Arial" w:hAnsi="Arial"/>
          <w:sz w:val="16"/>
          <w:szCs w:val="16"/>
          <w:color w:val="242424"/>
        </w:rPr>
        <w:t>Caps on cash and equity incentive plan payouts</w:t>
      </w:r>
    </w:p>
    <w:p>
      <w:pPr>
        <w:spacing w:after="0" w:line="42" w:lineRule="exact"/>
        <w:rPr>
          <w:rFonts w:ascii="Arial" w:cs="Arial" w:eastAsia="Arial" w:hAnsi="Arial"/>
          <w:sz w:val="21"/>
          <w:szCs w:val="21"/>
          <w:color w:val="CC092F"/>
        </w:rPr>
      </w:pPr>
    </w:p>
    <w:p>
      <w:pPr>
        <w:ind w:left="620" w:hanging="435"/>
        <w:spacing w:after="0" w:line="185" w:lineRule="auto"/>
        <w:tabs>
          <w:tab w:leader="none" w:pos="620" w:val="left"/>
        </w:tabs>
        <w:numPr>
          <w:ilvl w:val="0"/>
          <w:numId w:val="49"/>
        </w:numPr>
        <w:rPr>
          <w:rFonts w:ascii="Arial" w:cs="Arial" w:eastAsia="Arial" w:hAnsi="Arial"/>
          <w:sz w:val="28"/>
          <w:szCs w:val="28"/>
          <w:color w:val="CC092F"/>
          <w:vertAlign w:val="subscript"/>
        </w:rPr>
      </w:pPr>
      <w:r>
        <w:rPr>
          <w:rFonts w:ascii="Arial" w:cs="Arial" w:eastAsia="Arial" w:hAnsi="Arial"/>
          <w:sz w:val="13"/>
          <w:szCs w:val="13"/>
          <w:color w:val="242424"/>
        </w:rPr>
        <w:t>Annual risk assessment of compensation programs</w:t>
      </w:r>
    </w:p>
    <w:p>
      <w:pPr>
        <w:spacing w:after="0" w:line="56" w:lineRule="exact"/>
        <w:rPr>
          <w:rFonts w:ascii="Arial" w:cs="Arial" w:eastAsia="Arial" w:hAnsi="Arial"/>
          <w:sz w:val="28"/>
          <w:szCs w:val="28"/>
          <w:color w:val="CC092F"/>
          <w:vertAlign w:val="subscript"/>
        </w:rPr>
      </w:pPr>
    </w:p>
    <w:p>
      <w:pPr>
        <w:ind w:left="620" w:hanging="435"/>
        <w:spacing w:after="0" w:line="185" w:lineRule="auto"/>
        <w:tabs>
          <w:tab w:leader="none" w:pos="620" w:val="left"/>
        </w:tabs>
        <w:numPr>
          <w:ilvl w:val="0"/>
          <w:numId w:val="49"/>
        </w:numPr>
        <w:rPr>
          <w:rFonts w:ascii="Arial" w:cs="Arial" w:eastAsia="Arial" w:hAnsi="Arial"/>
          <w:sz w:val="28"/>
          <w:szCs w:val="28"/>
          <w:color w:val="CC092F"/>
          <w:vertAlign w:val="subscript"/>
        </w:rPr>
      </w:pPr>
      <w:r>
        <w:rPr>
          <w:rFonts w:ascii="Arial" w:cs="Arial" w:eastAsia="Arial" w:hAnsi="Arial"/>
          <w:sz w:val="13"/>
          <w:szCs w:val="13"/>
          <w:color w:val="242424"/>
        </w:rPr>
        <w:t>Engagement of an independent compensation consultant</w:t>
      </w:r>
    </w:p>
    <w:p>
      <w:pPr>
        <w:spacing w:after="0" w:line="113" w:lineRule="exact"/>
        <w:rPr>
          <w:rFonts w:ascii="Arial" w:cs="Arial" w:eastAsia="Arial" w:hAnsi="Arial"/>
          <w:sz w:val="28"/>
          <w:szCs w:val="28"/>
          <w:color w:val="CC092F"/>
          <w:vertAlign w:val="subscript"/>
        </w:rPr>
      </w:pPr>
    </w:p>
    <w:p>
      <w:pPr>
        <w:ind w:left="620" w:right="220" w:hanging="435"/>
        <w:spacing w:after="0"/>
        <w:tabs>
          <w:tab w:leader="none" w:pos="620" w:val="left"/>
        </w:tabs>
        <w:numPr>
          <w:ilvl w:val="0"/>
          <w:numId w:val="49"/>
        </w:numPr>
        <w:rPr>
          <w:rFonts w:ascii="Arial" w:cs="Arial" w:eastAsia="Arial" w:hAnsi="Arial"/>
          <w:sz w:val="30"/>
          <w:szCs w:val="30"/>
          <w:color w:val="CC092F"/>
          <w:vertAlign w:val="subscript"/>
        </w:rPr>
      </w:pPr>
      <w:r>
        <w:rPr>
          <w:rFonts w:ascii="Arial" w:cs="Arial" w:eastAsia="Arial" w:hAnsi="Arial"/>
          <w:sz w:val="13"/>
          <w:szCs w:val="13"/>
          <w:color w:val="242424"/>
        </w:rPr>
        <w:t>CEO compensation reviewed and approved by the independent directors</w:t>
      </w:r>
    </w:p>
    <w:p>
      <w:pPr>
        <w:spacing w:after="0" w:line="20" w:lineRule="exact"/>
        <w:rPr>
          <w:sz w:val="20"/>
          <w:szCs w:val="20"/>
          <w:color w:val="auto"/>
        </w:rPr>
      </w:pPr>
      <w:r>
        <w:rPr>
          <w:sz w:val="20"/>
          <w:szCs w:val="20"/>
          <w:color w:val="auto"/>
        </w:rPr>
        <w:br w:type="column"/>
      </w:r>
    </w:p>
    <w:p>
      <w:pPr>
        <w:ind w:left="494" w:hanging="494"/>
        <w:spacing w:after="0" w:line="182" w:lineRule="auto"/>
        <w:tabs>
          <w:tab w:leader="none" w:pos="494" w:val="left"/>
        </w:tabs>
        <w:numPr>
          <w:ilvl w:val="0"/>
          <w:numId w:val="50"/>
        </w:numPr>
        <w:rPr>
          <w:rFonts w:ascii="Arial" w:cs="Arial" w:eastAsia="Arial" w:hAnsi="Arial"/>
          <w:sz w:val="38"/>
          <w:szCs w:val="38"/>
          <w:color w:val="CC092F"/>
          <w:vertAlign w:val="subscript"/>
        </w:rPr>
      </w:pPr>
      <w:r>
        <w:rPr>
          <w:rFonts w:ascii="Arial" w:cs="Arial" w:eastAsia="Arial" w:hAnsi="Arial"/>
          <w:sz w:val="15"/>
          <w:szCs w:val="15"/>
          <w:color w:val="242424"/>
        </w:rPr>
        <w:t>No excessive risk taking in incentive plan designs</w:t>
      </w:r>
    </w:p>
    <w:p>
      <w:pPr>
        <w:spacing w:after="0" w:line="57" w:lineRule="exact"/>
        <w:rPr>
          <w:rFonts w:ascii="Arial" w:cs="Arial" w:eastAsia="Arial" w:hAnsi="Arial"/>
          <w:sz w:val="38"/>
          <w:szCs w:val="38"/>
          <w:color w:val="CC092F"/>
          <w:vertAlign w:val="subscript"/>
        </w:rPr>
      </w:pPr>
    </w:p>
    <w:p>
      <w:pPr>
        <w:ind w:left="494" w:hanging="494"/>
        <w:spacing w:after="0" w:line="185" w:lineRule="auto"/>
        <w:tabs>
          <w:tab w:leader="none" w:pos="494" w:val="left"/>
        </w:tabs>
        <w:numPr>
          <w:ilvl w:val="0"/>
          <w:numId w:val="50"/>
        </w:numPr>
        <w:rPr>
          <w:rFonts w:ascii="Arial" w:cs="Arial" w:eastAsia="Arial" w:hAnsi="Arial"/>
          <w:sz w:val="28"/>
          <w:szCs w:val="28"/>
          <w:color w:val="CC092F"/>
          <w:vertAlign w:val="subscript"/>
        </w:rPr>
      </w:pPr>
      <w:r>
        <w:rPr>
          <w:rFonts w:ascii="Arial" w:cs="Arial" w:eastAsia="Arial" w:hAnsi="Arial"/>
          <w:sz w:val="13"/>
          <w:szCs w:val="13"/>
          <w:color w:val="242424"/>
        </w:rPr>
        <w:t>No re-pricing of underwater stock options</w:t>
      </w:r>
    </w:p>
    <w:p>
      <w:pPr>
        <w:spacing w:after="0" w:line="56" w:lineRule="exact"/>
        <w:rPr>
          <w:rFonts w:ascii="Arial" w:cs="Arial" w:eastAsia="Arial" w:hAnsi="Arial"/>
          <w:sz w:val="28"/>
          <w:szCs w:val="28"/>
          <w:color w:val="CC092F"/>
          <w:vertAlign w:val="subscript"/>
        </w:rPr>
      </w:pPr>
    </w:p>
    <w:p>
      <w:pPr>
        <w:ind w:left="494" w:hanging="494"/>
        <w:spacing w:after="0" w:line="185" w:lineRule="auto"/>
        <w:tabs>
          <w:tab w:leader="none" w:pos="494" w:val="left"/>
        </w:tabs>
        <w:numPr>
          <w:ilvl w:val="0"/>
          <w:numId w:val="50"/>
        </w:numPr>
        <w:rPr>
          <w:rFonts w:ascii="Arial" w:cs="Arial" w:eastAsia="Arial" w:hAnsi="Arial"/>
          <w:sz w:val="28"/>
          <w:szCs w:val="28"/>
          <w:color w:val="CC092F"/>
          <w:vertAlign w:val="subscript"/>
        </w:rPr>
      </w:pPr>
      <w:r>
        <w:rPr>
          <w:rFonts w:ascii="Arial" w:cs="Arial" w:eastAsia="Arial" w:hAnsi="Arial"/>
          <w:sz w:val="13"/>
          <w:szCs w:val="13"/>
          <w:color w:val="242424"/>
        </w:rPr>
        <w:t>No excise tax gross-ups</w:t>
      </w:r>
    </w:p>
    <w:p>
      <w:pPr>
        <w:spacing w:after="0" w:line="77" w:lineRule="exact"/>
        <w:rPr>
          <w:rFonts w:ascii="Arial" w:cs="Arial" w:eastAsia="Arial" w:hAnsi="Arial"/>
          <w:sz w:val="28"/>
          <w:szCs w:val="28"/>
          <w:color w:val="CC092F"/>
          <w:vertAlign w:val="subscript"/>
        </w:rPr>
      </w:pPr>
    </w:p>
    <w:p>
      <w:pPr>
        <w:ind w:left="494" w:hanging="494"/>
        <w:spacing w:after="0"/>
        <w:tabs>
          <w:tab w:leader="none" w:pos="494" w:val="left"/>
        </w:tabs>
        <w:numPr>
          <w:ilvl w:val="0"/>
          <w:numId w:val="50"/>
        </w:numPr>
        <w:rPr>
          <w:rFonts w:ascii="Arial" w:cs="Arial" w:eastAsia="Arial" w:hAnsi="Arial"/>
          <w:sz w:val="21"/>
          <w:szCs w:val="21"/>
          <w:color w:val="CC092F"/>
        </w:rPr>
      </w:pPr>
      <w:r>
        <w:rPr>
          <w:rFonts w:ascii="Arial" w:cs="Arial" w:eastAsia="Arial" w:hAnsi="Arial"/>
          <w:sz w:val="16"/>
          <w:szCs w:val="16"/>
          <w:color w:val="242424"/>
        </w:rPr>
        <w:t>No supplemental retirement or pension benefits</w:t>
      </w:r>
    </w:p>
    <w:p>
      <w:pPr>
        <w:spacing w:after="0" w:line="42" w:lineRule="exact"/>
        <w:rPr>
          <w:rFonts w:ascii="Arial" w:cs="Arial" w:eastAsia="Arial" w:hAnsi="Arial"/>
          <w:sz w:val="21"/>
          <w:szCs w:val="21"/>
          <w:color w:val="CC092F"/>
        </w:rPr>
      </w:pPr>
    </w:p>
    <w:p>
      <w:pPr>
        <w:ind w:left="494" w:hanging="494"/>
        <w:spacing w:after="0" w:line="185" w:lineRule="auto"/>
        <w:tabs>
          <w:tab w:leader="none" w:pos="494" w:val="left"/>
        </w:tabs>
        <w:numPr>
          <w:ilvl w:val="0"/>
          <w:numId w:val="50"/>
        </w:numPr>
        <w:rPr>
          <w:rFonts w:ascii="Arial" w:cs="Arial" w:eastAsia="Arial" w:hAnsi="Arial"/>
          <w:sz w:val="28"/>
          <w:szCs w:val="28"/>
          <w:color w:val="CC092F"/>
          <w:vertAlign w:val="subscript"/>
        </w:rPr>
      </w:pPr>
      <w:r>
        <w:rPr>
          <w:rFonts w:ascii="Arial" w:cs="Arial" w:eastAsia="Arial" w:hAnsi="Arial"/>
          <w:sz w:val="13"/>
          <w:szCs w:val="13"/>
          <w:color w:val="242424"/>
        </w:rPr>
        <w:t>No guaranteed bonuses</w:t>
      </w:r>
    </w:p>
    <w:p>
      <w:pPr>
        <w:spacing w:after="0" w:line="88" w:lineRule="exact"/>
        <w:rPr>
          <w:rFonts w:ascii="Arial" w:cs="Arial" w:eastAsia="Arial" w:hAnsi="Arial"/>
          <w:sz w:val="28"/>
          <w:szCs w:val="28"/>
          <w:color w:val="CC092F"/>
          <w:vertAlign w:val="subscript"/>
        </w:rPr>
      </w:pPr>
    </w:p>
    <w:p>
      <w:pPr>
        <w:ind w:left="494" w:hanging="494"/>
        <w:spacing w:after="0"/>
        <w:tabs>
          <w:tab w:leader="none" w:pos="494" w:val="left"/>
        </w:tabs>
        <w:numPr>
          <w:ilvl w:val="0"/>
          <w:numId w:val="50"/>
        </w:numPr>
        <w:rPr>
          <w:rFonts w:ascii="Arial" w:cs="Arial" w:eastAsia="Arial" w:hAnsi="Arial"/>
          <w:sz w:val="20"/>
          <w:szCs w:val="20"/>
          <w:color w:val="CC092F"/>
        </w:rPr>
      </w:pPr>
      <w:r>
        <w:rPr>
          <w:rFonts w:ascii="Arial" w:cs="Arial" w:eastAsia="Arial" w:hAnsi="Arial"/>
          <w:sz w:val="15"/>
          <w:szCs w:val="15"/>
          <w:color w:val="242424"/>
        </w:rPr>
        <w:t>No “single trigger</w:t>
      </w:r>
      <w:r>
        <w:rPr>
          <w:rFonts w:ascii="Arial" w:cs="Arial" w:eastAsia="Arial" w:hAnsi="Arial"/>
          <w:sz w:val="15"/>
          <w:szCs w:val="15"/>
          <w:color w:val="404040"/>
        </w:rPr>
        <w:t>”</w:t>
      </w:r>
      <w:r>
        <w:rPr>
          <w:rFonts w:ascii="Arial" w:cs="Arial" w:eastAsia="Arial" w:hAnsi="Arial"/>
          <w:sz w:val="15"/>
          <w:szCs w:val="15"/>
          <w:color w:val="242424"/>
        </w:rPr>
        <w:t xml:space="preserve"> change in control payments 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-3618865</wp:posOffset>
            </wp:positionH>
            <wp:positionV relativeFrom="paragraph">
              <wp:posOffset>-913130</wp:posOffset>
            </wp:positionV>
            <wp:extent cx="7134860" cy="1936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93675"/>
                    </a:xfrm>
                    <a:prstGeom prst="rect">
                      <a:avLst/>
                    </a:prstGeom>
                    <a:noFill/>
                  </pic:spPr>
                </pic:pic>
              </a:graphicData>
            </a:graphic>
          </wp:anchor>
        </w:drawing>
        <w:drawing>
          <wp:anchor simplePos="0" relativeHeight="251657728" behindDoc="1" locked="0" layoutInCell="0" allowOverlap="1">
            <wp:simplePos x="0" y="0"/>
            <wp:positionH relativeFrom="column">
              <wp:posOffset>-3618865</wp:posOffset>
            </wp:positionH>
            <wp:positionV relativeFrom="paragraph">
              <wp:posOffset>-526415</wp:posOffset>
            </wp:positionV>
            <wp:extent cx="7134860" cy="1936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193675"/>
                    </a:xfrm>
                    <a:prstGeom prst="rect">
                      <a:avLst/>
                    </a:prstGeom>
                    <a:noFill/>
                  </pic:spPr>
                </pic:pic>
              </a:graphicData>
            </a:graphic>
          </wp:anchor>
        </w:drawing>
        <w:drawing>
          <wp:anchor simplePos="0" relativeHeight="251657728" behindDoc="1" locked="0" layoutInCell="0" allowOverlap="1">
            <wp:simplePos x="0" y="0"/>
            <wp:positionH relativeFrom="column">
              <wp:posOffset>-3618865</wp:posOffset>
            </wp:positionH>
            <wp:positionV relativeFrom="paragraph">
              <wp:posOffset>-139065</wp:posOffset>
            </wp:positionV>
            <wp:extent cx="7134860" cy="260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-3618865</wp:posOffset>
            </wp:positionH>
            <wp:positionV relativeFrom="paragraph">
              <wp:posOffset>-1115060</wp:posOffset>
            </wp:positionV>
            <wp:extent cx="7134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5320" w:space="386"/>
            <w:col w:w="5514"/>
          </w:cols>
          <w:pgMar w:left="320" w:top="181" w:right="359" w:bottom="1440" w:gutter="0" w:footer="0" w:header="0"/>
          <w:type w:val="continuous"/>
        </w:sectPr>
      </w:pPr>
    </w:p>
    <w:tbl>
      <w:tblPr>
        <w:tblLayout w:type="fixed"/>
        <w:tblInd w:w="180" w:type="dxa"/>
        <w:tblCellMar>
          <w:top w:w="0" w:type="dxa"/>
          <w:left w:w="0" w:type="dxa"/>
          <w:bottom w:w="0" w:type="dxa"/>
          <w:right w:w="0" w:type="dxa"/>
        </w:tblCellMar>
      </w:tblPr>
      <w:tr>
        <w:trPr>
          <w:trHeight w:val="241"/>
        </w:trPr>
        <w:tc>
          <w:tcPr>
            <w:tcW w:w="280" w:type="dxa"/>
            <w:vAlign w:val="bottom"/>
          </w:tcPr>
          <w:p>
            <w:pPr>
              <w:spacing w:after="0"/>
              <w:rPr>
                <w:sz w:val="20"/>
                <w:szCs w:val="20"/>
                <w:color w:val="auto"/>
              </w:rPr>
            </w:pPr>
            <w:r>
              <w:rPr>
                <w:rFonts w:ascii="Arial" w:cs="Arial" w:eastAsia="Arial" w:hAnsi="Arial"/>
                <w:sz w:val="21"/>
                <w:szCs w:val="21"/>
                <w:color w:val="CC092F"/>
              </w:rPr>
              <w:t>ü</w:t>
            </w:r>
          </w:p>
        </w:tc>
        <w:tc>
          <w:tcPr>
            <w:tcW w:w="5560" w:type="dxa"/>
            <w:vAlign w:val="bottom"/>
          </w:tcPr>
          <w:p>
            <w:pPr>
              <w:ind w:left="160"/>
              <w:spacing w:after="0"/>
              <w:rPr>
                <w:sz w:val="20"/>
                <w:szCs w:val="20"/>
                <w:color w:val="auto"/>
              </w:rPr>
            </w:pPr>
            <w:r>
              <w:rPr>
                <w:rFonts w:ascii="Arial" w:cs="Arial" w:eastAsia="Arial" w:hAnsi="Arial"/>
                <w:sz w:val="16"/>
                <w:szCs w:val="16"/>
                <w:color w:val="242424"/>
              </w:rPr>
              <w:t xml:space="preserve">Stock ownership guidelines for all executive officers and directors (see  </w:t>
            </w:r>
            <w:r>
              <w:rPr>
                <w:rFonts w:ascii="Arial" w:cs="Arial" w:eastAsia="Arial" w:hAnsi="Arial"/>
                <w:sz w:val="21"/>
                <w:szCs w:val="21"/>
                <w:color w:val="CC092F"/>
              </w:rPr>
              <w:t>X</w:t>
            </w:r>
          </w:p>
        </w:tc>
        <w:tc>
          <w:tcPr>
            <w:tcW w:w="3380" w:type="dxa"/>
            <w:vAlign w:val="bottom"/>
          </w:tcPr>
          <w:p>
            <w:pPr>
              <w:ind w:left="180"/>
              <w:spacing w:after="0"/>
              <w:rPr>
                <w:sz w:val="20"/>
                <w:szCs w:val="20"/>
                <w:color w:val="auto"/>
              </w:rPr>
            </w:pPr>
            <w:r>
              <w:rPr>
                <w:rFonts w:ascii="Arial" w:cs="Arial" w:eastAsia="Arial" w:hAnsi="Arial"/>
                <w:sz w:val="16"/>
                <w:szCs w:val="16"/>
                <w:color w:val="242424"/>
                <w:w w:val="98"/>
              </w:rPr>
              <w:t>No perquisites, other than in modest amounts</w:t>
            </w:r>
          </w:p>
        </w:tc>
      </w:tr>
      <w:tr>
        <w:trPr>
          <w:trHeight w:val="192"/>
        </w:trPr>
        <w:tc>
          <w:tcPr>
            <w:tcW w:w="280" w:type="dxa"/>
            <w:vAlign w:val="bottom"/>
          </w:tcPr>
          <w:p>
            <w:pPr>
              <w:spacing w:after="0"/>
              <w:rPr>
                <w:sz w:val="16"/>
                <w:szCs w:val="16"/>
                <w:color w:val="auto"/>
              </w:rPr>
            </w:pPr>
          </w:p>
        </w:tc>
        <w:tc>
          <w:tcPr>
            <w:tcW w:w="5560" w:type="dxa"/>
            <w:vAlign w:val="bottom"/>
          </w:tcPr>
          <w:p>
            <w:pPr>
              <w:ind w:left="160"/>
              <w:spacing w:after="0"/>
              <w:rPr>
                <w:rFonts w:ascii="Arial" w:cs="Arial" w:eastAsia="Arial" w:hAnsi="Arial"/>
                <w:sz w:val="16"/>
                <w:szCs w:val="16"/>
                <w:color w:val="242424"/>
              </w:rPr>
            </w:pPr>
            <w:r>
              <w:rPr>
                <w:rFonts w:ascii="Arial" w:cs="Arial" w:eastAsia="Arial" w:hAnsi="Arial"/>
                <w:sz w:val="16"/>
                <w:szCs w:val="16"/>
                <w:color w:val="242424"/>
              </w:rPr>
              <w:t xml:space="preserve">page </w:t>
            </w:r>
            <w:hyperlink w:anchor="page9">
              <w:r>
                <w:rPr>
                  <w:rFonts w:ascii="Arial" w:cs="Arial" w:eastAsia="Arial" w:hAnsi="Arial"/>
                  <w:sz w:val="16"/>
                  <w:szCs w:val="16"/>
                  <w:color w:val="242424"/>
                </w:rPr>
                <w:t>7)</w:t>
              </w:r>
            </w:hyperlink>
          </w:p>
        </w:tc>
        <w:tc>
          <w:tcPr>
            <w:tcW w:w="3380" w:type="dxa"/>
            <w:vAlign w:val="bottom"/>
          </w:tcPr>
          <w:p>
            <w:pPr>
              <w:spacing w:after="0"/>
              <w:rPr>
                <w:sz w:val="16"/>
                <w:szCs w:val="16"/>
                <w:color w:val="auto"/>
              </w:rPr>
            </w:pPr>
          </w:p>
        </w:tc>
      </w:tr>
    </w:tbl>
    <w:p>
      <w:pPr>
        <w:spacing w:after="0" w:line="73" w:lineRule="exact"/>
        <w:rPr>
          <w:sz w:val="20"/>
          <w:szCs w:val="20"/>
          <w:color w:val="auto"/>
        </w:rPr>
      </w:pPr>
    </w:p>
    <w:p>
      <w:pPr>
        <w:ind w:left="620" w:right="5640" w:hanging="435"/>
        <w:spacing w:after="0" w:line="209" w:lineRule="auto"/>
        <w:tabs>
          <w:tab w:leader="none" w:pos="620" w:val="left"/>
        </w:tabs>
        <w:numPr>
          <w:ilvl w:val="0"/>
          <w:numId w:val="51"/>
        </w:numPr>
        <w:rPr>
          <w:rFonts w:ascii="Arial" w:cs="Arial" w:eastAsia="Arial" w:hAnsi="Arial"/>
          <w:sz w:val="14"/>
          <w:szCs w:val="14"/>
          <w:color w:val="242424"/>
        </w:rPr>
      </w:pPr>
      <w:r>
        <w:rPr>
          <w:rFonts w:ascii="Arial" w:cs="Arial" w:eastAsia="Arial" w:hAnsi="Arial"/>
          <w:sz w:val="14"/>
          <w:szCs w:val="14"/>
          <w:color w:val="242424"/>
        </w:rPr>
        <w:t xml:space="preserve">Anti-hedging and anti-pledging policy for employees and directors (see page </w:t>
      </w:r>
      <w:hyperlink w:anchor="page10">
        <w:r>
          <w:rPr>
            <w:rFonts w:ascii="Arial" w:cs="Arial" w:eastAsia="Arial" w:hAnsi="Arial"/>
            <w:sz w:val="14"/>
            <w:szCs w:val="14"/>
            <w:color w:val="242424"/>
          </w:rPr>
          <w:t>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-231775</wp:posOffset>
            </wp:positionV>
            <wp:extent cx="7134860" cy="260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Compensation Philosophy and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242424"/>
        </w:rPr>
        <w:t>Our executive compensation program is designed to achieve the following:</w:t>
      </w:r>
    </w:p>
    <w:p>
      <w:pPr>
        <w:spacing w:after="0" w:line="68" w:lineRule="exact"/>
        <w:rPr>
          <w:sz w:val="20"/>
          <w:szCs w:val="20"/>
          <w:color w:val="auto"/>
        </w:rPr>
      </w:pPr>
    </w:p>
    <w:p>
      <w:pPr>
        <w:ind w:left="520" w:hanging="276"/>
        <w:spacing w:after="0"/>
        <w:tabs>
          <w:tab w:leader="none" w:pos="520" w:val="left"/>
        </w:tabs>
        <w:numPr>
          <w:ilvl w:val="0"/>
          <w:numId w:val="52"/>
        </w:numPr>
        <w:rPr>
          <w:rFonts w:ascii="Arial" w:cs="Arial" w:eastAsia="Arial" w:hAnsi="Arial"/>
          <w:sz w:val="21"/>
          <w:szCs w:val="21"/>
          <w:color w:val="242424"/>
        </w:rPr>
      </w:pPr>
      <w:r>
        <w:rPr>
          <w:rFonts w:ascii="Arial" w:cs="Arial" w:eastAsia="Arial" w:hAnsi="Arial"/>
          <w:sz w:val="18"/>
          <w:szCs w:val="18"/>
          <w:color w:val="242424"/>
        </w:rPr>
        <w:t>attract qualified, experienced and talented executives in a highly competitive market;</w:t>
      </w:r>
    </w:p>
    <w:p>
      <w:pPr>
        <w:spacing w:after="0" w:line="63" w:lineRule="exact"/>
        <w:rPr>
          <w:rFonts w:ascii="Arial" w:cs="Arial" w:eastAsia="Arial" w:hAnsi="Arial"/>
          <w:sz w:val="21"/>
          <w:szCs w:val="21"/>
          <w:color w:val="242424"/>
        </w:rPr>
      </w:pPr>
    </w:p>
    <w:p>
      <w:pPr>
        <w:ind w:left="520" w:hanging="276"/>
        <w:spacing w:after="0"/>
        <w:tabs>
          <w:tab w:leader="none" w:pos="520" w:val="left"/>
        </w:tabs>
        <w:numPr>
          <w:ilvl w:val="0"/>
          <w:numId w:val="52"/>
        </w:numPr>
        <w:rPr>
          <w:rFonts w:ascii="Arial" w:cs="Arial" w:eastAsia="Arial" w:hAnsi="Arial"/>
          <w:sz w:val="21"/>
          <w:szCs w:val="21"/>
          <w:color w:val="242424"/>
        </w:rPr>
      </w:pPr>
      <w:r>
        <w:rPr>
          <w:rFonts w:ascii="Arial" w:cs="Arial" w:eastAsia="Arial" w:hAnsi="Arial"/>
          <w:sz w:val="18"/>
          <w:szCs w:val="18"/>
          <w:color w:val="242424"/>
        </w:rPr>
        <w:t>retain, motivate and reward these executives, whose skills, knowledge and performance are critical to our on-going success;</w:t>
      </w:r>
    </w:p>
    <w:p>
      <w:pPr>
        <w:spacing w:after="0" w:line="92" w:lineRule="exact"/>
        <w:rPr>
          <w:rFonts w:ascii="Arial" w:cs="Arial" w:eastAsia="Arial" w:hAnsi="Arial"/>
          <w:sz w:val="21"/>
          <w:szCs w:val="21"/>
          <w:color w:val="242424"/>
        </w:rPr>
      </w:pPr>
    </w:p>
    <w:p>
      <w:pPr>
        <w:ind w:left="560" w:right="20" w:hanging="316"/>
        <w:spacing w:after="0" w:line="232" w:lineRule="auto"/>
        <w:tabs>
          <w:tab w:leader="none" w:pos="512" w:val="left"/>
        </w:tabs>
        <w:numPr>
          <w:ilvl w:val="0"/>
          <w:numId w:val="52"/>
        </w:numPr>
        <w:rPr>
          <w:rFonts w:ascii="Arial" w:cs="Arial" w:eastAsia="Arial" w:hAnsi="Arial"/>
          <w:sz w:val="21"/>
          <w:szCs w:val="21"/>
          <w:color w:val="242424"/>
        </w:rPr>
      </w:pPr>
      <w:r>
        <w:rPr>
          <w:rFonts w:ascii="Arial" w:cs="Arial" w:eastAsia="Arial" w:hAnsi="Arial"/>
          <w:sz w:val="18"/>
          <w:szCs w:val="18"/>
          <w:color w:val="242424"/>
        </w:rPr>
        <w:t>encourage our executives to focus on the achievement of our corporate financial and operational performance goals by aligning their APB Plan payout to the achievement of pre-established annual corporate and divisional goals, as well as the individual contributions and performance of each executive; and</w:t>
      </w:r>
    </w:p>
    <w:p>
      <w:pPr>
        <w:spacing w:after="0" w:line="95" w:lineRule="exact"/>
        <w:rPr>
          <w:rFonts w:ascii="Arial" w:cs="Arial" w:eastAsia="Arial" w:hAnsi="Arial"/>
          <w:sz w:val="21"/>
          <w:szCs w:val="21"/>
          <w:color w:val="242424"/>
        </w:rPr>
      </w:pPr>
    </w:p>
    <w:p>
      <w:pPr>
        <w:ind w:left="560" w:right="140" w:hanging="316"/>
        <w:spacing w:after="0" w:line="248" w:lineRule="auto"/>
        <w:tabs>
          <w:tab w:leader="none" w:pos="512" w:val="left"/>
        </w:tabs>
        <w:numPr>
          <w:ilvl w:val="0"/>
          <w:numId w:val="52"/>
        </w:numPr>
        <w:rPr>
          <w:rFonts w:ascii="Arial" w:cs="Arial" w:eastAsia="Arial" w:hAnsi="Arial"/>
          <w:sz w:val="20"/>
          <w:szCs w:val="20"/>
          <w:color w:val="242424"/>
        </w:rPr>
      </w:pPr>
      <w:r>
        <w:rPr>
          <w:rFonts w:ascii="Arial" w:cs="Arial" w:eastAsia="Arial" w:hAnsi="Arial"/>
          <w:sz w:val="17"/>
          <w:szCs w:val="17"/>
          <w:color w:val="242424"/>
        </w:rPr>
        <w:t>align our executives’ interests with our stockholders interests by linking a significant portion of each executive’s target total direct compensation opportunity to stockholder returns in the form of PSUs that are subject to the attainment of pre-established performance-based objectives, and the rest in the form of service-based RSUs, the value of which fluctuates based on our stock price.</w:t>
      </w:r>
    </w:p>
    <w:p>
      <w:pPr>
        <w:spacing w:after="0" w:line="153"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242424"/>
        </w:rPr>
        <w:t>Equity awards are a long-term retention tool for our key executives. When granting equity awards or when recommending to the independent directors an equity award grant to our CEO, the Compensation Committee considers each executive’s level of experience and expertise and overall value to Broadcom, as well as how much vested and unvested equity the executive then holds.</w:t>
      </w:r>
    </w:p>
    <w:p>
      <w:pPr>
        <w:spacing w:after="0" w:line="153"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242424"/>
        </w:rPr>
        <w:t>The Compensation Committee has adopted a compensation philosophy that is designed to keep our executives’ target total direct compensation competitive with the compensation of executives in comparable positions at other companies in our compensation peer group and third-party market pay surveys. Generally, target total cash compensation falls below the median of the competitive market, but in combination with equity, target total direct compensation may be higher. The Compensation Committee bases its decisions on the needs of Broadcom and an executive’s level of sustained performance, expertise, experience, marketability and internal equitability.</w:t>
      </w:r>
    </w:p>
    <w:p>
      <w:pPr>
        <w:spacing w:after="0" w:line="154"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color w:val="242424"/>
        </w:rPr>
        <w:t>While the Compensation Committee and our Board generally consider the accounting and tax implications of their executive compensation decisions, neither element has been a material consideration in the compensation awarded to our NEOs historically.</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Stockholder Engagement</w:t>
      </w:r>
    </w:p>
    <w:p>
      <w:pPr>
        <w:spacing w:after="0" w:line="192" w:lineRule="exact"/>
        <w:rPr>
          <w:sz w:val="20"/>
          <w:szCs w:val="20"/>
          <w:color w:val="auto"/>
        </w:rPr>
      </w:pPr>
    </w:p>
    <w:p>
      <w:pPr>
        <w:spacing w:after="0" w:line="247" w:lineRule="auto"/>
        <w:rPr>
          <w:sz w:val="20"/>
          <w:szCs w:val="20"/>
          <w:color w:val="auto"/>
        </w:rPr>
      </w:pPr>
      <w:r>
        <w:rPr>
          <w:rFonts w:ascii="Arial" w:cs="Arial" w:eastAsia="Arial" w:hAnsi="Arial"/>
          <w:sz w:val="18"/>
          <w:szCs w:val="18"/>
          <w:color w:val="242424"/>
        </w:rPr>
        <w:t>Each year we engage with our stockholders and obtain feedback on our executive compensation program. In Fiscal Year 2021, we contacted stockholders beneficially owning over 60% of our then outstanding shares of common stock and engaged with stockholders owning over 57% of our then outstanding stock. Our Lead Independent Director and chairperson of the Compensation Committee, along with our Chairman of the Board and members of management, participated in these engagements and discussed a variety of executive compensation related topics, including the</w:t>
      </w:r>
    </w:p>
    <w:p>
      <w:pPr>
        <w:spacing w:after="0" w:line="200" w:lineRule="exact"/>
        <w:rPr>
          <w:sz w:val="20"/>
          <w:szCs w:val="20"/>
          <w:color w:val="auto"/>
        </w:rPr>
      </w:pPr>
    </w:p>
    <w:p>
      <w:pPr>
        <w:spacing w:after="0" w:line="248" w:lineRule="exact"/>
        <w:rPr>
          <w:sz w:val="20"/>
          <w:szCs w:val="20"/>
          <w:color w:val="auto"/>
        </w:rPr>
      </w:pPr>
    </w:p>
    <w:p>
      <w:pPr>
        <w:ind w:left="360" w:hanging="354"/>
        <w:spacing w:after="0"/>
        <w:tabs>
          <w:tab w:leader="none" w:pos="360" w:val="left"/>
        </w:tabs>
        <w:numPr>
          <w:ilvl w:val="0"/>
          <w:numId w:val="53"/>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20"/>
          </w:cols>
          <w:pgMar w:left="320" w:top="181" w:right="35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242424"/>
        </w:rPr>
        <w:t>proposed amendment and restatement of our 2012 Plan, executive management promotions and long-term incentive compensation.</w:t>
      </w:r>
    </w:p>
    <w:p>
      <w:pPr>
        <w:spacing w:after="0" w:line="164"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242424"/>
        </w:rPr>
        <w:t>These stockholders indicated that they continue to be generally supportive of our executive compensation actions and decisions and program design. The feedback received from our stockholders was reported to both the Compensation Committee and the Board.</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Compensation Determination Process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Role of the Compensation Committee</w:t>
      </w:r>
    </w:p>
    <w:p>
      <w:pPr>
        <w:spacing w:after="0" w:line="19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242424"/>
        </w:rPr>
        <w:t>The Compensation Committee devotes significant time throughout the year to our executive compensation program to ensure that it aligns executive pay with corporate performance and incentivizes our executives to pursue corporate financial, operational and strategic goals that will create sustainable, long-term stockholder value.</w:t>
      </w:r>
    </w:p>
    <w:p>
      <w:pPr>
        <w:spacing w:after="0" w:line="153" w:lineRule="exact"/>
        <w:rPr>
          <w:sz w:val="20"/>
          <w:szCs w:val="20"/>
          <w:color w:val="auto"/>
        </w:rPr>
      </w:pPr>
    </w:p>
    <w:p>
      <w:pPr>
        <w:ind w:right="240" w:firstLine="5"/>
        <w:spacing w:after="0" w:line="251" w:lineRule="auto"/>
        <w:rPr>
          <w:sz w:val="20"/>
          <w:szCs w:val="20"/>
          <w:color w:val="auto"/>
        </w:rPr>
      </w:pPr>
      <w:r>
        <w:rPr>
          <w:rFonts w:ascii="Arial" w:cs="Arial" w:eastAsia="Arial" w:hAnsi="Arial"/>
          <w:sz w:val="18"/>
          <w:szCs w:val="18"/>
          <w:color w:val="242424"/>
        </w:rPr>
        <w:t>The Compensation Committee reviews and approves the compensation of our key executives, except our CEO, for whom the Compensation Committee makes recommendations for review and approval by the independent directors of our Board.</w:t>
      </w:r>
    </w:p>
    <w:p>
      <w:pPr>
        <w:spacing w:after="0" w:line="12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42424"/>
        </w:rPr>
        <w:t>Individual Executive Compensation Assessment</w:t>
      </w:r>
      <w:r>
        <w:rPr>
          <w:rFonts w:ascii="Arial" w:cs="Arial" w:eastAsia="Arial" w:hAnsi="Arial"/>
          <w:sz w:val="18"/>
          <w:szCs w:val="18"/>
          <w:i w:val="1"/>
          <w:iCs w:val="1"/>
          <w:color w:val="242424"/>
        </w:rPr>
        <w:t>.</w:t>
      </w:r>
      <w:r>
        <w:rPr>
          <w:rFonts w:ascii="Arial" w:cs="Arial" w:eastAsia="Arial" w:hAnsi="Arial"/>
          <w:sz w:val="18"/>
          <w:szCs w:val="18"/>
          <w:b w:val="1"/>
          <w:bCs w:val="1"/>
          <w:i w:val="1"/>
          <w:iCs w:val="1"/>
          <w:color w:val="242424"/>
        </w:rPr>
        <w:t xml:space="preserve"> </w:t>
      </w:r>
      <w:r>
        <w:rPr>
          <w:rFonts w:ascii="Arial" w:cs="Arial" w:eastAsia="Arial" w:hAnsi="Arial"/>
          <w:sz w:val="18"/>
          <w:szCs w:val="18"/>
          <w:color w:val="242424"/>
        </w:rPr>
        <w:t>In addition to market compensation data provided by its compensation consultant, the</w:t>
      </w:r>
      <w:r>
        <w:rPr>
          <w:rFonts w:ascii="Arial" w:cs="Arial" w:eastAsia="Arial" w:hAnsi="Arial"/>
          <w:sz w:val="18"/>
          <w:szCs w:val="18"/>
          <w:b w:val="1"/>
          <w:bCs w:val="1"/>
          <w:i w:val="1"/>
          <w:iCs w:val="1"/>
          <w:color w:val="242424"/>
        </w:rPr>
        <w:t xml:space="preserve"> </w:t>
      </w:r>
      <w:r>
        <w:rPr>
          <w:rFonts w:ascii="Arial" w:cs="Arial" w:eastAsia="Arial" w:hAnsi="Arial"/>
          <w:sz w:val="18"/>
          <w:szCs w:val="18"/>
          <w:color w:val="242424"/>
        </w:rPr>
        <w:t>Compensation Committee (and, in the case of our CEO, the independent directors) considers the following information, among other factors, for each executive when determining his or her compensation:</w:t>
      </w:r>
    </w:p>
    <w:p>
      <w:pPr>
        <w:spacing w:after="0" w:line="75" w:lineRule="exact"/>
        <w:rPr>
          <w:sz w:val="20"/>
          <w:szCs w:val="20"/>
          <w:color w:val="auto"/>
        </w:rPr>
      </w:pPr>
    </w:p>
    <w:p>
      <w:pPr>
        <w:ind w:left="560" w:right="300" w:hanging="316"/>
        <w:spacing w:after="0" w:line="226" w:lineRule="auto"/>
        <w:tabs>
          <w:tab w:leader="none" w:pos="512" w:val="left"/>
        </w:tabs>
        <w:numPr>
          <w:ilvl w:val="0"/>
          <w:numId w:val="54"/>
        </w:numPr>
        <w:rPr>
          <w:rFonts w:ascii="Arial" w:cs="Arial" w:eastAsia="Arial" w:hAnsi="Arial"/>
          <w:sz w:val="21"/>
          <w:szCs w:val="21"/>
          <w:color w:val="242424"/>
        </w:rPr>
      </w:pPr>
      <w:r>
        <w:rPr>
          <w:rFonts w:ascii="Arial" w:cs="Arial" w:eastAsia="Arial" w:hAnsi="Arial"/>
          <w:sz w:val="18"/>
          <w:szCs w:val="18"/>
          <w:color w:val="242424"/>
        </w:rPr>
        <w:t>current base salary, target APB Plan opportunities (and prior fiscal year payouts), the accumulated value of outstanding and unvested equity awards and other benefits;</w:t>
      </w:r>
    </w:p>
    <w:p>
      <w:pPr>
        <w:spacing w:after="0" w:line="94" w:lineRule="exact"/>
        <w:rPr>
          <w:rFonts w:ascii="Arial" w:cs="Arial" w:eastAsia="Arial" w:hAnsi="Arial"/>
          <w:sz w:val="21"/>
          <w:szCs w:val="21"/>
          <w:color w:val="242424"/>
        </w:rPr>
      </w:pPr>
    </w:p>
    <w:p>
      <w:pPr>
        <w:ind w:left="560" w:right="700" w:hanging="316"/>
        <w:spacing w:after="0" w:line="226" w:lineRule="auto"/>
        <w:tabs>
          <w:tab w:leader="none" w:pos="512" w:val="left"/>
        </w:tabs>
        <w:numPr>
          <w:ilvl w:val="0"/>
          <w:numId w:val="54"/>
        </w:numPr>
        <w:rPr>
          <w:rFonts w:ascii="Arial" w:cs="Arial" w:eastAsia="Arial" w:hAnsi="Arial"/>
          <w:sz w:val="21"/>
          <w:szCs w:val="21"/>
          <w:color w:val="242424"/>
        </w:rPr>
      </w:pPr>
      <w:r>
        <w:rPr>
          <w:rFonts w:ascii="Arial" w:cs="Arial" w:eastAsia="Arial" w:hAnsi="Arial"/>
          <w:sz w:val="18"/>
          <w:szCs w:val="18"/>
          <w:color w:val="242424"/>
        </w:rPr>
        <w:t>the individual’s overall performance, as well as the importance of the role, the individual’s knowledge and skills to Broadcom, the individual’s leadership within Broadcom and the individual’s contributions to Broadcom’s culture; and</w:t>
      </w:r>
    </w:p>
    <w:p>
      <w:pPr>
        <w:spacing w:after="0" w:line="64" w:lineRule="exact"/>
        <w:rPr>
          <w:rFonts w:ascii="Arial" w:cs="Arial" w:eastAsia="Arial" w:hAnsi="Arial"/>
          <w:sz w:val="21"/>
          <w:szCs w:val="21"/>
          <w:color w:val="242424"/>
        </w:rPr>
      </w:pPr>
    </w:p>
    <w:p>
      <w:pPr>
        <w:ind w:left="520" w:hanging="276"/>
        <w:spacing w:after="0"/>
        <w:tabs>
          <w:tab w:leader="none" w:pos="520" w:val="left"/>
        </w:tabs>
        <w:numPr>
          <w:ilvl w:val="0"/>
          <w:numId w:val="54"/>
        </w:numPr>
        <w:rPr>
          <w:rFonts w:ascii="Arial" w:cs="Arial" w:eastAsia="Arial" w:hAnsi="Arial"/>
          <w:sz w:val="21"/>
          <w:szCs w:val="21"/>
          <w:color w:val="242424"/>
        </w:rPr>
      </w:pPr>
      <w:r>
        <w:rPr>
          <w:rFonts w:ascii="Arial" w:cs="Arial" w:eastAsia="Arial" w:hAnsi="Arial"/>
          <w:sz w:val="18"/>
          <w:szCs w:val="18"/>
          <w:color w:val="242424"/>
        </w:rPr>
        <w:t>our CEO’s recommendation on compensation and individual performance (other than for himself).</w:t>
      </w:r>
    </w:p>
    <w:p>
      <w:pPr>
        <w:spacing w:after="0" w:line="159"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242424"/>
        </w:rPr>
        <w:t>This information helps the Compensation Committee and the independent directors to understand the long-term retentive elements and total compensation delivered to our executives.</w:t>
      </w:r>
    </w:p>
    <w:p>
      <w:pPr>
        <w:spacing w:after="0" w:line="128" w:lineRule="exact"/>
        <w:rPr>
          <w:sz w:val="20"/>
          <w:szCs w:val="20"/>
          <w:color w:val="auto"/>
        </w:rPr>
      </w:pPr>
    </w:p>
    <w:p>
      <w:pPr>
        <w:ind w:right="760"/>
        <w:spacing w:after="0" w:line="276" w:lineRule="auto"/>
        <w:rPr>
          <w:sz w:val="20"/>
          <w:szCs w:val="20"/>
          <w:color w:val="auto"/>
        </w:rPr>
      </w:pPr>
      <w:r>
        <w:rPr>
          <w:rFonts w:ascii="Arial" w:cs="Arial" w:eastAsia="Arial" w:hAnsi="Arial"/>
          <w:sz w:val="18"/>
          <w:szCs w:val="18"/>
          <w:b w:val="1"/>
          <w:bCs w:val="1"/>
          <w:i w:val="1"/>
          <w:iCs w:val="1"/>
          <w:color w:val="242424"/>
        </w:rPr>
        <w:t>Internal Pay Parity</w:t>
      </w:r>
      <w:r>
        <w:rPr>
          <w:rFonts w:ascii="Arial" w:cs="Arial" w:eastAsia="Arial" w:hAnsi="Arial"/>
          <w:sz w:val="18"/>
          <w:szCs w:val="18"/>
          <w:color w:val="242424"/>
        </w:rPr>
        <w:t>. While we do not maintain a formal policy regarding internal pay parity, it is often considered by the Compensation</w:t>
      </w:r>
      <w:r>
        <w:rPr>
          <w:rFonts w:ascii="Arial" w:cs="Arial" w:eastAsia="Arial" w:hAnsi="Arial"/>
          <w:sz w:val="18"/>
          <w:szCs w:val="18"/>
          <w:b w:val="1"/>
          <w:bCs w:val="1"/>
          <w:i w:val="1"/>
          <w:iCs w:val="1"/>
          <w:color w:val="242424"/>
        </w:rPr>
        <w:t xml:space="preserve"> </w:t>
      </w:r>
      <w:r>
        <w:rPr>
          <w:rFonts w:ascii="Arial" w:cs="Arial" w:eastAsia="Arial" w:hAnsi="Arial"/>
          <w:sz w:val="18"/>
          <w:szCs w:val="18"/>
          <w:color w:val="242424"/>
        </w:rPr>
        <w:t>Committee and the independent directors when determining compensation.</w:t>
      </w:r>
    </w:p>
    <w:p>
      <w:pPr>
        <w:spacing w:after="0" w:line="12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242424"/>
        </w:rPr>
        <w:t>Consistent with market practice, our CEO is compensated at a higher level than our other executives due to his higher level of responsibility, accountability and experience. Given Mr. Tan’s responsibility for our overall performance, the independent directors believe that compensating him at a higher level than our other executives and weighting his total compensation more heavily toward long-term, performance-based incentive compensation is consistent with market practice, appropriately reflects his contributions and directly aligns his incentives with the interests of our stockholders. Accordingly, Mr. Tan receives more of his target total direct compensation in the form of LTI compensation through PSU awards as compared to our other executives.</w:t>
      </w:r>
    </w:p>
    <w:p>
      <w:pPr>
        <w:spacing w:after="0" w:line="13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242424"/>
        </w:rPr>
        <w:t>Compensation Risk Oversight</w:t>
      </w:r>
      <w:r>
        <w:rPr>
          <w:rFonts w:ascii="Arial" w:cs="Arial" w:eastAsia="Arial" w:hAnsi="Arial"/>
          <w:sz w:val="18"/>
          <w:szCs w:val="18"/>
          <w:i w:val="1"/>
          <w:iCs w:val="1"/>
          <w:color w:val="242424"/>
        </w:rPr>
        <w:t>.</w:t>
      </w:r>
      <w:r>
        <w:rPr>
          <w:rFonts w:ascii="Arial" w:cs="Arial" w:eastAsia="Arial" w:hAnsi="Arial"/>
          <w:sz w:val="18"/>
          <w:szCs w:val="18"/>
          <w:b w:val="1"/>
          <w:bCs w:val="1"/>
          <w:i w:val="1"/>
          <w:iCs w:val="1"/>
          <w:color w:val="242424"/>
        </w:rPr>
        <w:t xml:space="preserve"> </w:t>
      </w:r>
      <w:r>
        <w:rPr>
          <w:rFonts w:ascii="Arial" w:cs="Arial" w:eastAsia="Arial" w:hAnsi="Arial"/>
          <w:sz w:val="18"/>
          <w:szCs w:val="18"/>
          <w:color w:val="242424"/>
        </w:rPr>
        <w:t>While our Board has overall responsibility for risk oversight, the Compensation Committee annually reviews</w:t>
      </w:r>
      <w:r>
        <w:rPr>
          <w:rFonts w:ascii="Arial" w:cs="Arial" w:eastAsia="Arial" w:hAnsi="Arial"/>
          <w:sz w:val="18"/>
          <w:szCs w:val="18"/>
          <w:b w:val="1"/>
          <w:bCs w:val="1"/>
          <w:i w:val="1"/>
          <w:iCs w:val="1"/>
          <w:color w:val="242424"/>
        </w:rPr>
        <w:t xml:space="preserve"> </w:t>
      </w:r>
      <w:r>
        <w:rPr>
          <w:rFonts w:ascii="Arial" w:cs="Arial" w:eastAsia="Arial" w:hAnsi="Arial"/>
          <w:sz w:val="18"/>
          <w:szCs w:val="18"/>
          <w:color w:val="242424"/>
        </w:rPr>
        <w:t>and discusses the risks that relate to all of our compensation policies and practices, including incentive and commission arrangements below the executive level. The Compensation Committee does not believe that our compensation policies or practices create potential material market risk for Broadcom.</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Role of Compensation Consultant</w:t>
      </w:r>
    </w:p>
    <w:p>
      <w:pPr>
        <w:spacing w:after="0" w:line="192" w:lineRule="exact"/>
        <w:rPr>
          <w:sz w:val="20"/>
          <w:szCs w:val="20"/>
          <w:color w:val="auto"/>
        </w:rPr>
      </w:pPr>
    </w:p>
    <w:p>
      <w:pPr>
        <w:ind w:right="540"/>
        <w:spacing w:after="0" w:line="265" w:lineRule="auto"/>
        <w:rPr>
          <w:sz w:val="20"/>
          <w:szCs w:val="20"/>
          <w:color w:val="auto"/>
        </w:rPr>
      </w:pPr>
      <w:r>
        <w:rPr>
          <w:rFonts w:ascii="Arial" w:cs="Arial" w:eastAsia="Arial" w:hAnsi="Arial"/>
          <w:sz w:val="17"/>
          <w:szCs w:val="17"/>
          <w:color w:val="242424"/>
        </w:rPr>
        <w:t>In Fiscal Year 2021, Compensia, Inc. (“Compensia”) provided consulting services to the Compensation Committee and the independent directors, including assessments of executive and non-employee director compensation based on analyses of competitive market compensation data. In addition, the Compensation Committee relied on Compensia for periodic updates on regulatory developments and market trends related to executive and non-employee director compensation matters. Compensia did not provide any other services to Broadcom except advising the Compensation Committee and the independent directors on compensation-related matters.</w:t>
      </w:r>
    </w:p>
    <w:p>
      <w:pPr>
        <w:spacing w:after="0" w:line="140"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242424"/>
        </w:rPr>
        <w:t>The Compensation Committee has assessed the independence of Compensia pursuant to the six independence factors set forth in the SEC and Nasdaq rules and concluded that Compensia was independent and its work for the Compensation Committee did not raise any conflict of interest.</w:t>
      </w:r>
    </w:p>
    <w:p>
      <w:pPr>
        <w:spacing w:after="0" w:line="200" w:lineRule="exact"/>
        <w:rPr>
          <w:sz w:val="20"/>
          <w:szCs w:val="20"/>
          <w:color w:val="auto"/>
        </w:rPr>
      </w:pPr>
    </w:p>
    <w:p>
      <w:pPr>
        <w:spacing w:after="0" w:line="248"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31</w:t>
      </w:r>
    </w:p>
    <w:p>
      <w:pPr>
        <w:sectPr>
          <w:pgSz w:w="11900" w:h="16838" w:orient="portrait"/>
          <w:cols w:equalWidth="0" w:num="1">
            <w:col w:w="11220"/>
          </w:cols>
          <w:pgMar w:left="320" w:top="181" w:right="359" w:bottom="1440" w:gutter="0" w:footer="0" w:header="0"/>
        </w:sectPr>
      </w:pPr>
    </w:p>
    <w:bookmarkStart w:id="34" w:name="page35"/>
    <w:bookmarkEnd w:id="34"/>
    <w:p>
      <w:pPr>
        <w:ind w:left="20"/>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Compensation Competitive Analysis</w:t>
      </w:r>
    </w:p>
    <w:p>
      <w:pPr>
        <w:spacing w:after="0" w:line="188"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242424"/>
        </w:rPr>
        <w:t>The Compensation Committee works with its compensation consultant to develop a meaningful compensation peer group for purposes of understanding competitive market compensation practices. This peer group is reviewed and updated annually as necessary. The peer group is used for comparative purposes only. The Compensation Committee does not benchmark any pay elements or target total direct compensation to a specific percentile. In the absence of relevant peer group data, the Compensation Committee reviews industry-based market pay survey data (“market survey data”), such as the Radford Global Compensation Database Survey and Mercer High Tech Salary Survey (Asia).</w:t>
      </w:r>
    </w:p>
    <w:p>
      <w:pPr>
        <w:spacing w:after="0" w:line="140"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color w:val="242424"/>
        </w:rPr>
        <w:t>In October 2020, the Compensation Committee approved the compensation peer group for Fiscal Year 2021, which appears below and was developed in consultation with Compensia.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242424"/>
        </w:rPr>
        <w:t>The following selection criteria were considered as guidelines when developing the compensation peer group:</w:t>
      </w:r>
    </w:p>
    <w:p>
      <w:pPr>
        <w:spacing w:after="0" w:line="68" w:lineRule="exact"/>
        <w:rPr>
          <w:sz w:val="20"/>
          <w:szCs w:val="20"/>
          <w:color w:val="auto"/>
        </w:rPr>
      </w:pPr>
    </w:p>
    <w:p>
      <w:pPr>
        <w:ind w:left="520" w:hanging="276"/>
        <w:spacing w:after="0"/>
        <w:tabs>
          <w:tab w:leader="none" w:pos="520" w:val="left"/>
        </w:tabs>
        <w:numPr>
          <w:ilvl w:val="0"/>
          <w:numId w:val="55"/>
        </w:numPr>
        <w:rPr>
          <w:rFonts w:ascii="Arial" w:cs="Arial" w:eastAsia="Arial" w:hAnsi="Arial"/>
          <w:sz w:val="21"/>
          <w:szCs w:val="21"/>
          <w:color w:val="242424"/>
        </w:rPr>
      </w:pPr>
      <w:r>
        <w:rPr>
          <w:rFonts w:ascii="Arial" w:cs="Arial" w:eastAsia="Arial" w:hAnsi="Arial"/>
          <w:sz w:val="18"/>
          <w:szCs w:val="18"/>
          <w:b w:val="1"/>
          <w:bCs w:val="1"/>
          <w:color w:val="242424"/>
        </w:rPr>
        <w:t>Revenues</w:t>
      </w:r>
      <w:r>
        <w:rPr>
          <w:rFonts w:ascii="Arial" w:cs="Arial" w:eastAsia="Arial" w:hAnsi="Arial"/>
          <w:sz w:val="18"/>
          <w:szCs w:val="18"/>
          <w:color w:val="242424"/>
        </w:rPr>
        <w:t>: comparability across annual revenue, generally 0.5 to 2.0 times that of Broadcom;</w:t>
      </w:r>
    </w:p>
    <w:p>
      <w:pPr>
        <w:spacing w:after="0" w:line="63" w:lineRule="exact"/>
        <w:rPr>
          <w:rFonts w:ascii="Arial" w:cs="Arial" w:eastAsia="Arial" w:hAnsi="Arial"/>
          <w:sz w:val="21"/>
          <w:szCs w:val="21"/>
          <w:color w:val="242424"/>
        </w:rPr>
      </w:pPr>
    </w:p>
    <w:p>
      <w:pPr>
        <w:ind w:left="520" w:hanging="276"/>
        <w:spacing w:after="0"/>
        <w:tabs>
          <w:tab w:leader="none" w:pos="520" w:val="left"/>
        </w:tabs>
        <w:numPr>
          <w:ilvl w:val="0"/>
          <w:numId w:val="55"/>
        </w:numPr>
        <w:rPr>
          <w:rFonts w:ascii="Arial" w:cs="Arial" w:eastAsia="Arial" w:hAnsi="Arial"/>
          <w:sz w:val="21"/>
          <w:szCs w:val="21"/>
          <w:color w:val="242424"/>
        </w:rPr>
      </w:pPr>
      <w:r>
        <w:rPr>
          <w:rFonts w:ascii="Arial" w:cs="Arial" w:eastAsia="Arial" w:hAnsi="Arial"/>
          <w:sz w:val="18"/>
          <w:szCs w:val="18"/>
          <w:b w:val="1"/>
          <w:bCs w:val="1"/>
          <w:color w:val="242424"/>
        </w:rPr>
        <w:t>Market capitalization</w:t>
      </w:r>
      <w:r>
        <w:rPr>
          <w:rFonts w:ascii="Arial" w:cs="Arial" w:eastAsia="Arial" w:hAnsi="Arial"/>
          <w:sz w:val="18"/>
          <w:szCs w:val="18"/>
          <w:color w:val="242424"/>
        </w:rPr>
        <w:t>: market capitalization that generally fall between 0.3 to 3.0 times that of Broadcom; and</w:t>
      </w:r>
    </w:p>
    <w:p>
      <w:pPr>
        <w:spacing w:after="0" w:line="63" w:lineRule="exact"/>
        <w:rPr>
          <w:rFonts w:ascii="Arial" w:cs="Arial" w:eastAsia="Arial" w:hAnsi="Arial"/>
          <w:sz w:val="21"/>
          <w:szCs w:val="21"/>
          <w:color w:val="242424"/>
        </w:rPr>
      </w:pPr>
    </w:p>
    <w:p>
      <w:pPr>
        <w:ind w:left="520" w:hanging="276"/>
        <w:spacing w:after="0"/>
        <w:tabs>
          <w:tab w:leader="none" w:pos="520" w:val="left"/>
        </w:tabs>
        <w:numPr>
          <w:ilvl w:val="0"/>
          <w:numId w:val="55"/>
        </w:numPr>
        <w:rPr>
          <w:rFonts w:ascii="Arial" w:cs="Arial" w:eastAsia="Arial" w:hAnsi="Arial"/>
          <w:sz w:val="21"/>
          <w:szCs w:val="21"/>
          <w:color w:val="242424"/>
        </w:rPr>
      </w:pPr>
      <w:r>
        <w:rPr>
          <w:rFonts w:ascii="Arial" w:cs="Arial" w:eastAsia="Arial" w:hAnsi="Arial"/>
          <w:sz w:val="18"/>
          <w:szCs w:val="18"/>
          <w:b w:val="1"/>
          <w:bCs w:val="1"/>
          <w:color w:val="242424"/>
        </w:rPr>
        <w:t>Industry</w:t>
      </w:r>
      <w:r>
        <w:rPr>
          <w:rFonts w:ascii="Arial" w:cs="Arial" w:eastAsia="Arial" w:hAnsi="Arial"/>
          <w:sz w:val="18"/>
          <w:szCs w:val="18"/>
          <w:color w:val="242424"/>
        </w:rPr>
        <w:t>: companies in semiconductor-related and other technology-focused industries having a similar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7134860" cy="151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Fiscal Year 2021 Peer Group</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Borders>
              <w:top w:val="single" w:sz="8" w:color="CC092F"/>
            </w:tcBorders>
            <w:vMerge w:val="restart"/>
          </w:tcPr>
          <w:p>
            <w:pPr>
              <w:ind w:left="160"/>
              <w:spacing w:after="0"/>
              <w:rPr>
                <w:sz w:val="20"/>
                <w:szCs w:val="20"/>
                <w:color w:val="auto"/>
              </w:rPr>
            </w:pPr>
            <w:r>
              <w:rPr>
                <w:rFonts w:ascii="Arial" w:cs="Arial" w:eastAsia="Arial" w:hAnsi="Arial"/>
                <w:sz w:val="16"/>
                <w:szCs w:val="16"/>
                <w:color w:val="242424"/>
              </w:rPr>
              <w:t>3M Company</w:t>
            </w:r>
          </w:p>
        </w:tc>
        <w:tc>
          <w:tcPr>
            <w:tcW w:w="2780" w:type="dxa"/>
            <w:vAlign w:val="bottom"/>
            <w:tcBorders>
              <w:top w:val="single" w:sz="8" w:color="CC092F"/>
            </w:tcBorders>
            <w:gridSpan w:val="2"/>
            <w:vMerge w:val="restart"/>
          </w:tcPr>
          <w:p>
            <w:pPr>
              <w:ind w:left="420"/>
              <w:spacing w:after="0"/>
              <w:rPr>
                <w:sz w:val="20"/>
                <w:szCs w:val="20"/>
                <w:color w:val="auto"/>
              </w:rPr>
            </w:pPr>
            <w:r>
              <w:rPr>
                <w:rFonts w:ascii="Arial" w:cs="Arial" w:eastAsia="Arial" w:hAnsi="Arial"/>
                <w:sz w:val="16"/>
                <w:szCs w:val="16"/>
                <w:color w:val="242424"/>
              </w:rPr>
              <w:t>Cisco Systems, Inc.</w:t>
            </w:r>
          </w:p>
        </w:tc>
        <w:tc>
          <w:tcPr>
            <w:tcW w:w="2760" w:type="dxa"/>
            <w:vAlign w:val="bottom"/>
            <w:tcBorders>
              <w:top w:val="single" w:sz="8" w:color="CC092F"/>
            </w:tcBorders>
          </w:tcPr>
          <w:p>
            <w:pPr>
              <w:ind w:left="340"/>
              <w:spacing w:after="0"/>
              <w:rPr>
                <w:sz w:val="20"/>
                <w:szCs w:val="20"/>
                <w:color w:val="auto"/>
              </w:rPr>
            </w:pPr>
            <w:r>
              <w:rPr>
                <w:rFonts w:ascii="Arial" w:cs="Arial" w:eastAsia="Arial" w:hAnsi="Arial"/>
                <w:sz w:val="16"/>
                <w:szCs w:val="16"/>
                <w:color w:val="242424"/>
              </w:rPr>
              <w:t>International Business Machines</w:t>
            </w:r>
          </w:p>
        </w:tc>
        <w:tc>
          <w:tcPr>
            <w:tcW w:w="2880" w:type="dxa"/>
            <w:vAlign w:val="bottom"/>
            <w:tcBorders>
              <w:top w:val="single" w:sz="8" w:color="CC092F"/>
            </w:tcBorders>
            <w:vMerge w:val="restart"/>
          </w:tcPr>
          <w:p>
            <w:pPr>
              <w:ind w:left="140"/>
              <w:spacing w:after="0"/>
              <w:rPr>
                <w:sz w:val="20"/>
                <w:szCs w:val="20"/>
                <w:color w:val="auto"/>
              </w:rPr>
            </w:pPr>
            <w:r>
              <w:rPr>
                <w:rFonts w:ascii="Arial" w:cs="Arial" w:eastAsia="Arial" w:hAnsi="Arial"/>
                <w:sz w:val="16"/>
                <w:szCs w:val="16"/>
                <w:color w:val="242424"/>
              </w:rPr>
              <w:t>PayPal Holdings, Inc.</w:t>
            </w:r>
          </w:p>
        </w:tc>
        <w:tc>
          <w:tcPr>
            <w:tcW w:w="0" w:type="dxa"/>
            <w:vAlign w:val="bottom"/>
          </w:tcPr>
          <w:p>
            <w:pPr>
              <w:spacing w:after="0"/>
              <w:rPr>
                <w:sz w:val="1"/>
                <w:szCs w:val="1"/>
                <w:color w:val="auto"/>
              </w:rPr>
            </w:pPr>
          </w:p>
        </w:tc>
      </w:tr>
      <w:tr>
        <w:trPr>
          <w:trHeight w:val="112"/>
        </w:trPr>
        <w:tc>
          <w:tcPr>
            <w:tcW w:w="2820" w:type="dxa"/>
            <w:vAlign w:val="bottom"/>
            <w:vMerge w:val="continue"/>
          </w:tcPr>
          <w:p>
            <w:pPr>
              <w:spacing w:after="0"/>
              <w:rPr>
                <w:sz w:val="9"/>
                <w:szCs w:val="9"/>
                <w:color w:val="auto"/>
              </w:rPr>
            </w:pPr>
          </w:p>
        </w:tc>
        <w:tc>
          <w:tcPr>
            <w:tcW w:w="2780" w:type="dxa"/>
            <w:vAlign w:val="bottom"/>
            <w:gridSpan w:val="2"/>
            <w:vMerge w:val="continue"/>
          </w:tcPr>
          <w:p>
            <w:pPr>
              <w:spacing w:after="0"/>
              <w:rPr>
                <w:sz w:val="9"/>
                <w:szCs w:val="9"/>
                <w:color w:val="auto"/>
              </w:rPr>
            </w:pPr>
          </w:p>
        </w:tc>
        <w:tc>
          <w:tcPr>
            <w:tcW w:w="2760" w:type="dxa"/>
            <w:vAlign w:val="bottom"/>
            <w:vMerge w:val="restart"/>
          </w:tcPr>
          <w:p>
            <w:pPr>
              <w:ind w:left="340"/>
              <w:spacing w:after="0"/>
              <w:rPr>
                <w:sz w:val="20"/>
                <w:szCs w:val="20"/>
                <w:color w:val="auto"/>
              </w:rPr>
            </w:pPr>
            <w:r>
              <w:rPr>
                <w:rFonts w:ascii="Arial" w:cs="Arial" w:eastAsia="Arial" w:hAnsi="Arial"/>
                <w:sz w:val="16"/>
                <w:szCs w:val="16"/>
                <w:color w:val="242424"/>
              </w:rPr>
              <w:t>Corporation</w:t>
            </w: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2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1"/>
        </w:trPr>
        <w:tc>
          <w:tcPr>
            <w:tcW w:w="2820" w:type="dxa"/>
            <w:vAlign w:val="bottom"/>
            <w:vMerge w:val="restart"/>
          </w:tcPr>
          <w:p>
            <w:pPr>
              <w:ind w:left="140"/>
              <w:spacing w:after="0"/>
              <w:rPr>
                <w:sz w:val="20"/>
                <w:szCs w:val="20"/>
                <w:color w:val="auto"/>
              </w:rPr>
            </w:pPr>
            <w:r>
              <w:rPr>
                <w:rFonts w:ascii="Arial" w:cs="Arial" w:eastAsia="Arial" w:hAnsi="Arial"/>
                <w:sz w:val="16"/>
                <w:szCs w:val="16"/>
                <w:color w:val="242424"/>
              </w:rPr>
              <w:t>Adobe, Inc.</w:t>
            </w:r>
          </w:p>
        </w:tc>
        <w:tc>
          <w:tcPr>
            <w:tcW w:w="2780" w:type="dxa"/>
            <w:vAlign w:val="bottom"/>
            <w:gridSpan w:val="2"/>
          </w:tcPr>
          <w:p>
            <w:pPr>
              <w:ind w:left="420"/>
              <w:spacing w:after="0"/>
              <w:rPr>
                <w:sz w:val="20"/>
                <w:szCs w:val="20"/>
                <w:color w:val="auto"/>
              </w:rPr>
            </w:pPr>
            <w:r>
              <w:rPr>
                <w:rFonts w:ascii="Arial" w:cs="Arial" w:eastAsia="Arial" w:hAnsi="Arial"/>
                <w:sz w:val="16"/>
                <w:szCs w:val="16"/>
                <w:color w:val="242424"/>
              </w:rPr>
              <w:t>Danaher Corporation</w:t>
            </w:r>
          </w:p>
        </w:tc>
        <w:tc>
          <w:tcPr>
            <w:tcW w:w="2760" w:type="dxa"/>
            <w:vAlign w:val="bottom"/>
          </w:tcPr>
          <w:p>
            <w:pPr>
              <w:ind w:left="340"/>
              <w:spacing w:after="0"/>
              <w:rPr>
                <w:sz w:val="20"/>
                <w:szCs w:val="20"/>
                <w:color w:val="auto"/>
              </w:rPr>
            </w:pPr>
            <w:r>
              <w:rPr>
                <w:rFonts w:ascii="Arial" w:cs="Arial" w:eastAsia="Arial" w:hAnsi="Arial"/>
                <w:sz w:val="16"/>
                <w:szCs w:val="16"/>
                <w:color w:val="242424"/>
              </w:rPr>
              <w:t>Mastercard, Inc.</w:t>
            </w:r>
          </w:p>
        </w:tc>
        <w:tc>
          <w:tcPr>
            <w:tcW w:w="2880" w:type="dxa"/>
            <w:vAlign w:val="bottom"/>
          </w:tcPr>
          <w:p>
            <w:pPr>
              <w:ind w:left="140"/>
              <w:spacing w:after="0"/>
              <w:rPr>
                <w:sz w:val="20"/>
                <w:szCs w:val="20"/>
                <w:color w:val="auto"/>
              </w:rPr>
            </w:pPr>
            <w:r>
              <w:rPr>
                <w:rFonts w:ascii="Arial" w:cs="Arial" w:eastAsia="Arial" w:hAnsi="Arial"/>
                <w:sz w:val="16"/>
                <w:szCs w:val="16"/>
                <w:color w:val="242424"/>
              </w:rPr>
              <w:t>Qualcomm Inc.</w:t>
            </w:r>
          </w:p>
        </w:tc>
        <w:tc>
          <w:tcPr>
            <w:tcW w:w="0" w:type="dxa"/>
            <w:vAlign w:val="bottom"/>
          </w:tcPr>
          <w:p>
            <w:pPr>
              <w:spacing w:after="0"/>
              <w:rPr>
                <w:sz w:val="1"/>
                <w:szCs w:val="1"/>
                <w:color w:val="auto"/>
              </w:rPr>
            </w:pPr>
          </w:p>
        </w:tc>
      </w:tr>
      <w:tr>
        <w:trPr>
          <w:trHeight w:val="79"/>
        </w:trPr>
        <w:tc>
          <w:tcPr>
            <w:tcW w:w="28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820" w:type="dxa"/>
            <w:vAlign w:val="bottom"/>
          </w:tcPr>
          <w:p>
            <w:pPr>
              <w:ind w:left="160"/>
              <w:spacing w:after="0"/>
              <w:rPr>
                <w:sz w:val="20"/>
                <w:szCs w:val="20"/>
                <w:color w:val="auto"/>
              </w:rPr>
            </w:pPr>
            <w:r>
              <w:rPr>
                <w:rFonts w:ascii="Arial" w:cs="Arial" w:eastAsia="Arial" w:hAnsi="Arial"/>
                <w:sz w:val="16"/>
                <w:szCs w:val="16"/>
                <w:color w:val="242424"/>
              </w:rPr>
              <w:t>Applied Materials, Inc.</w:t>
            </w:r>
          </w:p>
        </w:tc>
        <w:tc>
          <w:tcPr>
            <w:tcW w:w="2780" w:type="dxa"/>
            <w:vAlign w:val="bottom"/>
            <w:gridSpan w:val="2"/>
          </w:tcPr>
          <w:p>
            <w:pPr>
              <w:ind w:left="420"/>
              <w:spacing w:after="0"/>
              <w:rPr>
                <w:sz w:val="20"/>
                <w:szCs w:val="20"/>
                <w:color w:val="auto"/>
              </w:rPr>
            </w:pPr>
            <w:r>
              <w:rPr>
                <w:rFonts w:ascii="Arial" w:cs="Arial" w:eastAsia="Arial" w:hAnsi="Arial"/>
                <w:sz w:val="16"/>
                <w:szCs w:val="16"/>
                <w:color w:val="242424"/>
              </w:rPr>
              <w:t>Dell Technologies, Inc.</w:t>
            </w:r>
          </w:p>
        </w:tc>
        <w:tc>
          <w:tcPr>
            <w:tcW w:w="2760" w:type="dxa"/>
            <w:vAlign w:val="bottom"/>
          </w:tcPr>
          <w:p>
            <w:pPr>
              <w:ind w:left="340"/>
              <w:spacing w:after="0"/>
              <w:rPr>
                <w:sz w:val="20"/>
                <w:szCs w:val="20"/>
                <w:color w:val="auto"/>
              </w:rPr>
            </w:pPr>
            <w:r>
              <w:rPr>
                <w:rFonts w:ascii="Arial" w:cs="Arial" w:eastAsia="Arial" w:hAnsi="Arial"/>
                <w:sz w:val="16"/>
                <w:szCs w:val="16"/>
                <w:color w:val="242424"/>
              </w:rPr>
              <w:t>Micron Technology, Inc.</w:t>
            </w:r>
          </w:p>
        </w:tc>
        <w:tc>
          <w:tcPr>
            <w:tcW w:w="2880" w:type="dxa"/>
            <w:vAlign w:val="bottom"/>
          </w:tcPr>
          <w:p>
            <w:pPr>
              <w:ind w:left="140"/>
              <w:spacing w:after="0"/>
              <w:rPr>
                <w:sz w:val="20"/>
                <w:szCs w:val="20"/>
                <w:color w:val="auto"/>
              </w:rPr>
            </w:pPr>
            <w:r>
              <w:rPr>
                <w:rFonts w:ascii="Arial" w:cs="Arial" w:eastAsia="Arial" w:hAnsi="Arial"/>
                <w:sz w:val="16"/>
                <w:szCs w:val="16"/>
                <w:color w:val="242424"/>
              </w:rPr>
              <w:t>Salesforce.com, Inc.</w:t>
            </w:r>
          </w:p>
        </w:tc>
        <w:tc>
          <w:tcPr>
            <w:tcW w:w="0" w:type="dxa"/>
            <w:vAlign w:val="bottom"/>
          </w:tcPr>
          <w:p>
            <w:pPr>
              <w:spacing w:after="0"/>
              <w:rPr>
                <w:sz w:val="1"/>
                <w:szCs w:val="1"/>
                <w:color w:val="auto"/>
              </w:rPr>
            </w:pPr>
          </w:p>
        </w:tc>
      </w:tr>
      <w:tr>
        <w:trPr>
          <w:trHeight w:val="252"/>
        </w:trPr>
        <w:tc>
          <w:tcPr>
            <w:tcW w:w="2820" w:type="dxa"/>
            <w:vAlign w:val="bottom"/>
          </w:tcPr>
          <w:p>
            <w:pPr>
              <w:ind w:left="140"/>
              <w:spacing w:after="0"/>
              <w:rPr>
                <w:sz w:val="20"/>
                <w:szCs w:val="20"/>
                <w:color w:val="auto"/>
              </w:rPr>
            </w:pPr>
            <w:r>
              <w:rPr>
                <w:rFonts w:ascii="Arial" w:cs="Arial" w:eastAsia="Arial" w:hAnsi="Arial"/>
                <w:sz w:val="16"/>
                <w:szCs w:val="16"/>
                <w:color w:val="242424"/>
              </w:rPr>
              <w:t>Automatic Data Processing, Inc.</w:t>
            </w:r>
          </w:p>
        </w:tc>
        <w:tc>
          <w:tcPr>
            <w:tcW w:w="2780" w:type="dxa"/>
            <w:vAlign w:val="bottom"/>
            <w:gridSpan w:val="2"/>
          </w:tcPr>
          <w:p>
            <w:pPr>
              <w:ind w:left="420"/>
              <w:spacing w:after="0"/>
              <w:rPr>
                <w:sz w:val="20"/>
                <w:szCs w:val="20"/>
                <w:color w:val="auto"/>
              </w:rPr>
            </w:pPr>
            <w:r>
              <w:rPr>
                <w:rFonts w:ascii="Arial" w:cs="Arial" w:eastAsia="Arial" w:hAnsi="Arial"/>
                <w:sz w:val="16"/>
                <w:szCs w:val="16"/>
                <w:color w:val="242424"/>
              </w:rPr>
              <w:t>Honeywell International, Inc.</w:t>
            </w:r>
          </w:p>
        </w:tc>
        <w:tc>
          <w:tcPr>
            <w:tcW w:w="2760" w:type="dxa"/>
            <w:vAlign w:val="bottom"/>
          </w:tcPr>
          <w:p>
            <w:pPr>
              <w:ind w:left="340"/>
              <w:spacing w:after="0"/>
              <w:rPr>
                <w:sz w:val="20"/>
                <w:szCs w:val="20"/>
                <w:color w:val="auto"/>
              </w:rPr>
            </w:pPr>
            <w:r>
              <w:rPr>
                <w:rFonts w:ascii="Arial" w:cs="Arial" w:eastAsia="Arial" w:hAnsi="Arial"/>
                <w:sz w:val="16"/>
                <w:szCs w:val="16"/>
                <w:color w:val="242424"/>
              </w:rPr>
              <w:t>NVIDIA Corporation</w:t>
            </w:r>
          </w:p>
        </w:tc>
        <w:tc>
          <w:tcPr>
            <w:tcW w:w="2880" w:type="dxa"/>
            <w:vAlign w:val="bottom"/>
          </w:tcPr>
          <w:p>
            <w:pPr>
              <w:ind w:left="140"/>
              <w:spacing w:after="0"/>
              <w:rPr>
                <w:sz w:val="20"/>
                <w:szCs w:val="20"/>
                <w:color w:val="auto"/>
              </w:rPr>
            </w:pPr>
            <w:r>
              <w:rPr>
                <w:rFonts w:ascii="Arial" w:cs="Arial" w:eastAsia="Arial" w:hAnsi="Arial"/>
                <w:sz w:val="16"/>
                <w:szCs w:val="16"/>
                <w:color w:val="242424"/>
              </w:rPr>
              <w:t>Texas Instruments, Inc.</w:t>
            </w:r>
          </w:p>
        </w:tc>
        <w:tc>
          <w:tcPr>
            <w:tcW w:w="0" w:type="dxa"/>
            <w:vAlign w:val="bottom"/>
          </w:tcPr>
          <w:p>
            <w:pPr>
              <w:spacing w:after="0"/>
              <w:rPr>
                <w:sz w:val="1"/>
                <w:szCs w:val="1"/>
                <w:color w:val="auto"/>
              </w:rPr>
            </w:pPr>
          </w:p>
        </w:tc>
      </w:tr>
      <w:tr>
        <w:trPr>
          <w:trHeight w:val="238"/>
        </w:trPr>
        <w:tc>
          <w:tcPr>
            <w:tcW w:w="2820" w:type="dxa"/>
            <w:vAlign w:val="bottom"/>
          </w:tcPr>
          <w:p>
            <w:pPr>
              <w:ind w:left="160"/>
              <w:spacing w:after="0"/>
              <w:rPr>
                <w:sz w:val="20"/>
                <w:szCs w:val="20"/>
                <w:color w:val="auto"/>
              </w:rPr>
            </w:pPr>
            <w:r>
              <w:rPr>
                <w:rFonts w:ascii="Arial" w:cs="Arial" w:eastAsia="Arial" w:hAnsi="Arial"/>
                <w:sz w:val="16"/>
                <w:szCs w:val="16"/>
                <w:color w:val="242424"/>
              </w:rPr>
              <w:t>Booking Holdings</w:t>
            </w:r>
          </w:p>
        </w:tc>
        <w:tc>
          <w:tcPr>
            <w:tcW w:w="2780" w:type="dxa"/>
            <w:vAlign w:val="bottom"/>
            <w:gridSpan w:val="2"/>
          </w:tcPr>
          <w:p>
            <w:pPr>
              <w:ind w:left="420"/>
              <w:spacing w:after="0"/>
              <w:rPr>
                <w:sz w:val="20"/>
                <w:szCs w:val="20"/>
                <w:color w:val="auto"/>
              </w:rPr>
            </w:pPr>
            <w:r>
              <w:rPr>
                <w:rFonts w:ascii="Arial" w:cs="Arial" w:eastAsia="Arial" w:hAnsi="Arial"/>
                <w:sz w:val="16"/>
                <w:szCs w:val="16"/>
                <w:color w:val="242424"/>
              </w:rPr>
              <w:t>Intel Corporation</w:t>
            </w:r>
          </w:p>
        </w:tc>
        <w:tc>
          <w:tcPr>
            <w:tcW w:w="2760" w:type="dxa"/>
            <w:vAlign w:val="bottom"/>
          </w:tcPr>
          <w:p>
            <w:pPr>
              <w:ind w:left="340"/>
              <w:spacing w:after="0"/>
              <w:rPr>
                <w:sz w:val="20"/>
                <w:szCs w:val="20"/>
                <w:color w:val="auto"/>
              </w:rPr>
            </w:pPr>
            <w:r>
              <w:rPr>
                <w:rFonts w:ascii="Arial" w:cs="Arial" w:eastAsia="Arial" w:hAnsi="Arial"/>
                <w:sz w:val="16"/>
                <w:szCs w:val="16"/>
                <w:color w:val="242424"/>
              </w:rPr>
              <w:t>Oracle Corporation</w:t>
            </w:r>
          </w:p>
        </w:tc>
        <w:tc>
          <w:tcPr>
            <w:tcW w:w="2880" w:type="dxa"/>
            <w:vAlign w:val="bottom"/>
          </w:tcPr>
          <w:p>
            <w:pPr>
              <w:ind w:left="140"/>
              <w:spacing w:after="0"/>
              <w:rPr>
                <w:sz w:val="20"/>
                <w:szCs w:val="20"/>
                <w:color w:val="auto"/>
              </w:rPr>
            </w:pPr>
            <w:r>
              <w:rPr>
                <w:rFonts w:ascii="Arial" w:cs="Arial" w:eastAsia="Arial" w:hAnsi="Arial"/>
                <w:sz w:val="16"/>
                <w:szCs w:val="16"/>
                <w:color w:val="242424"/>
              </w:rPr>
              <w:t>Thermo Fisher Scientific, Inc.</w:t>
            </w:r>
          </w:p>
        </w:tc>
        <w:tc>
          <w:tcPr>
            <w:tcW w:w="0" w:type="dxa"/>
            <w:vAlign w:val="bottom"/>
          </w:tcPr>
          <w:p>
            <w:pPr>
              <w:spacing w:after="0"/>
              <w:rPr>
                <w:sz w:val="1"/>
                <w:szCs w:val="1"/>
                <w:color w:val="auto"/>
              </w:rPr>
            </w:pPr>
          </w:p>
        </w:tc>
      </w:tr>
      <w:tr>
        <w:trPr>
          <w:trHeight w:val="151"/>
        </w:trPr>
        <w:tc>
          <w:tcPr>
            <w:tcW w:w="2820" w:type="dxa"/>
            <w:vAlign w:val="bottom"/>
            <w:tcBorders>
              <w:bottom w:val="single" w:sz="8" w:color="CC092F"/>
            </w:tcBorders>
          </w:tcPr>
          <w:p>
            <w:pPr>
              <w:spacing w:after="0"/>
              <w:rPr>
                <w:sz w:val="13"/>
                <w:szCs w:val="13"/>
                <w:color w:val="auto"/>
              </w:rPr>
            </w:pPr>
          </w:p>
        </w:tc>
        <w:tc>
          <w:tcPr>
            <w:tcW w:w="440" w:type="dxa"/>
            <w:vAlign w:val="bottom"/>
            <w:tcBorders>
              <w:bottom w:val="single" w:sz="8" w:color="CC092F"/>
            </w:tcBorders>
          </w:tcPr>
          <w:p>
            <w:pPr>
              <w:spacing w:after="0"/>
              <w:rPr>
                <w:sz w:val="13"/>
                <w:szCs w:val="13"/>
                <w:color w:val="auto"/>
              </w:rPr>
            </w:pPr>
          </w:p>
        </w:tc>
        <w:tc>
          <w:tcPr>
            <w:tcW w:w="2340" w:type="dxa"/>
            <w:vAlign w:val="bottom"/>
            <w:tcBorders>
              <w:bottom w:val="single" w:sz="8" w:color="CC092F"/>
            </w:tcBorders>
          </w:tcPr>
          <w:p>
            <w:pPr>
              <w:spacing w:after="0"/>
              <w:rPr>
                <w:sz w:val="13"/>
                <w:szCs w:val="13"/>
                <w:color w:val="auto"/>
              </w:rPr>
            </w:pPr>
          </w:p>
        </w:tc>
        <w:tc>
          <w:tcPr>
            <w:tcW w:w="2760" w:type="dxa"/>
            <w:vAlign w:val="bottom"/>
            <w:tcBorders>
              <w:bottom w:val="single" w:sz="8" w:color="CC092F"/>
            </w:tcBorders>
          </w:tcPr>
          <w:p>
            <w:pPr>
              <w:spacing w:after="0"/>
              <w:rPr>
                <w:sz w:val="13"/>
                <w:szCs w:val="13"/>
                <w:color w:val="auto"/>
              </w:rPr>
            </w:pPr>
          </w:p>
        </w:tc>
        <w:tc>
          <w:tcPr>
            <w:tcW w:w="2880" w:type="dxa"/>
            <w:vAlign w:val="bottom"/>
            <w:tcBorders>
              <w:bottom w:val="single" w:sz="8" w:color="CC092F"/>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B8B8B8"/>
          </w:tcPr>
          <w:p>
            <w:pPr>
              <w:spacing w:after="0"/>
              <w:rPr>
                <w:sz w:val="19"/>
                <w:szCs w:val="19"/>
                <w:color w:val="auto"/>
              </w:rPr>
            </w:pPr>
          </w:p>
        </w:tc>
        <w:tc>
          <w:tcPr>
            <w:tcW w:w="440" w:type="dxa"/>
            <w:vAlign w:val="bottom"/>
            <w:shd w:val="clear" w:color="auto" w:fill="B8B8B8"/>
          </w:tcPr>
          <w:p>
            <w:pPr>
              <w:spacing w:after="0"/>
              <w:rPr>
                <w:sz w:val="19"/>
                <w:szCs w:val="19"/>
                <w:color w:val="auto"/>
              </w:rPr>
            </w:pPr>
          </w:p>
        </w:tc>
        <w:tc>
          <w:tcPr>
            <w:tcW w:w="2340" w:type="dxa"/>
            <w:vAlign w:val="bottom"/>
            <w:vMerge w:val="restart"/>
            <w:shd w:val="clear" w:color="auto" w:fill="B8B8B8"/>
          </w:tcPr>
          <w:p>
            <w:pPr>
              <w:jc w:val="center"/>
              <w:spacing w:after="0"/>
              <w:rPr>
                <w:sz w:val="20"/>
                <w:szCs w:val="20"/>
                <w:color w:val="auto"/>
              </w:rPr>
            </w:pPr>
            <w:r>
              <w:rPr>
                <w:rFonts w:ascii="Arial" w:cs="Arial" w:eastAsia="Arial" w:hAnsi="Arial"/>
                <w:sz w:val="16"/>
                <w:szCs w:val="16"/>
                <w:b w:val="1"/>
                <w:bCs w:val="1"/>
                <w:color w:val="FFFFFF"/>
                <w:w w:val="99"/>
              </w:rPr>
              <w:t>Percentile</w:t>
            </w:r>
          </w:p>
        </w:tc>
        <w:tc>
          <w:tcPr>
            <w:tcW w:w="2760" w:type="dxa"/>
            <w:vAlign w:val="bottom"/>
            <w:shd w:val="clear" w:color="auto" w:fill="B8B8B8"/>
          </w:tcPr>
          <w:p>
            <w:pPr>
              <w:jc w:val="center"/>
              <w:ind w:right="181"/>
              <w:spacing w:after="0"/>
              <w:rPr>
                <w:sz w:val="20"/>
                <w:szCs w:val="20"/>
                <w:color w:val="auto"/>
              </w:rPr>
            </w:pPr>
            <w:r>
              <w:rPr>
                <w:rFonts w:ascii="Arial" w:cs="Arial" w:eastAsia="Arial" w:hAnsi="Arial"/>
                <w:sz w:val="16"/>
                <w:szCs w:val="16"/>
                <w:b w:val="1"/>
                <w:bCs w:val="1"/>
                <w:color w:val="FFFFFF"/>
                <w:w w:val="98"/>
              </w:rPr>
              <w:t>Revenue</w:t>
            </w:r>
          </w:p>
        </w:tc>
        <w:tc>
          <w:tcPr>
            <w:tcW w:w="2880" w:type="dxa"/>
            <w:vAlign w:val="bottom"/>
            <w:shd w:val="clear" w:color="auto" w:fill="B8B8B8"/>
          </w:tcPr>
          <w:p>
            <w:pPr>
              <w:jc w:val="center"/>
              <w:ind w:right="221"/>
              <w:spacing w:after="0"/>
              <w:rPr>
                <w:sz w:val="20"/>
                <w:szCs w:val="20"/>
                <w:color w:val="auto"/>
              </w:rPr>
            </w:pPr>
            <w:r>
              <w:rPr>
                <w:rFonts w:ascii="Arial" w:cs="Arial" w:eastAsia="Arial" w:hAnsi="Arial"/>
                <w:sz w:val="16"/>
                <w:szCs w:val="16"/>
                <w:b w:val="1"/>
                <w:bCs w:val="1"/>
                <w:color w:val="FFFFFF"/>
                <w:w w:val="98"/>
              </w:rPr>
              <w:t>Market Capitalization</w:t>
            </w:r>
          </w:p>
        </w:tc>
        <w:tc>
          <w:tcPr>
            <w:tcW w:w="0" w:type="dxa"/>
            <w:vAlign w:val="bottom"/>
          </w:tcPr>
          <w:p>
            <w:pPr>
              <w:spacing w:after="0"/>
              <w:rPr>
                <w:sz w:val="1"/>
                <w:szCs w:val="1"/>
                <w:color w:val="auto"/>
              </w:rPr>
            </w:pPr>
          </w:p>
        </w:tc>
      </w:tr>
      <w:tr>
        <w:trPr>
          <w:trHeight w:val="101"/>
        </w:trPr>
        <w:tc>
          <w:tcPr>
            <w:tcW w:w="2820" w:type="dxa"/>
            <w:vAlign w:val="bottom"/>
            <w:shd w:val="clear" w:color="auto" w:fill="B8B8B8"/>
          </w:tcPr>
          <w:p>
            <w:pPr>
              <w:spacing w:after="0"/>
              <w:rPr>
                <w:sz w:val="8"/>
                <w:szCs w:val="8"/>
                <w:color w:val="auto"/>
              </w:rPr>
            </w:pPr>
          </w:p>
        </w:tc>
        <w:tc>
          <w:tcPr>
            <w:tcW w:w="440" w:type="dxa"/>
            <w:vAlign w:val="bottom"/>
            <w:shd w:val="clear" w:color="auto" w:fill="B8B8B8"/>
          </w:tcPr>
          <w:p>
            <w:pPr>
              <w:spacing w:after="0"/>
              <w:rPr>
                <w:sz w:val="8"/>
                <w:szCs w:val="8"/>
                <w:color w:val="auto"/>
              </w:rPr>
            </w:pPr>
          </w:p>
        </w:tc>
        <w:tc>
          <w:tcPr>
            <w:tcW w:w="2340" w:type="dxa"/>
            <w:vAlign w:val="bottom"/>
            <w:vMerge w:val="continue"/>
            <w:shd w:val="clear" w:color="auto" w:fill="B8B8B8"/>
          </w:tcPr>
          <w:p>
            <w:pPr>
              <w:spacing w:after="0"/>
              <w:rPr>
                <w:sz w:val="8"/>
                <w:szCs w:val="8"/>
                <w:color w:val="auto"/>
              </w:rPr>
            </w:pPr>
          </w:p>
        </w:tc>
        <w:tc>
          <w:tcPr>
            <w:tcW w:w="2760" w:type="dxa"/>
            <w:vAlign w:val="bottom"/>
            <w:vMerge w:val="restart"/>
            <w:shd w:val="clear" w:color="auto" w:fill="B8B8B8"/>
          </w:tcPr>
          <w:p>
            <w:pPr>
              <w:jc w:val="center"/>
              <w:ind w:right="181"/>
              <w:spacing w:after="0"/>
              <w:rPr>
                <w:sz w:val="20"/>
                <w:szCs w:val="20"/>
                <w:color w:val="auto"/>
              </w:rPr>
            </w:pPr>
            <w:r>
              <w:rPr>
                <w:rFonts w:ascii="Arial" w:cs="Arial" w:eastAsia="Arial" w:hAnsi="Arial"/>
                <w:sz w:val="16"/>
                <w:szCs w:val="16"/>
                <w:b w:val="1"/>
                <w:bCs w:val="1"/>
                <w:color w:val="FFFFFF"/>
                <w:w w:val="96"/>
              </w:rPr>
              <w:t>($mm)</w:t>
            </w:r>
            <w:r>
              <w:rPr>
                <w:rFonts w:ascii="Arial" w:cs="Arial" w:eastAsia="Arial" w:hAnsi="Arial"/>
                <w:sz w:val="20"/>
                <w:szCs w:val="20"/>
                <w:b w:val="1"/>
                <w:bCs w:val="1"/>
                <w:color w:val="FFFFFF"/>
                <w:w w:val="96"/>
                <w:vertAlign w:val="superscript"/>
              </w:rPr>
              <w:t>(1)</w:t>
            </w:r>
          </w:p>
        </w:tc>
        <w:tc>
          <w:tcPr>
            <w:tcW w:w="2880" w:type="dxa"/>
            <w:vAlign w:val="bottom"/>
            <w:vMerge w:val="restart"/>
            <w:shd w:val="clear" w:color="auto" w:fill="B8B8B8"/>
          </w:tcPr>
          <w:p>
            <w:pPr>
              <w:jc w:val="center"/>
              <w:ind w:right="201"/>
              <w:spacing w:after="0"/>
              <w:rPr>
                <w:sz w:val="20"/>
                <w:szCs w:val="20"/>
                <w:color w:val="auto"/>
              </w:rPr>
            </w:pPr>
            <w:r>
              <w:rPr>
                <w:rFonts w:ascii="Arial" w:cs="Arial" w:eastAsia="Arial" w:hAnsi="Arial"/>
                <w:sz w:val="16"/>
                <w:szCs w:val="16"/>
                <w:b w:val="1"/>
                <w:bCs w:val="1"/>
                <w:color w:val="FFFFFF"/>
                <w:w w:val="93"/>
              </w:rPr>
              <w:t>($mm)</w:t>
            </w:r>
            <w:r>
              <w:rPr>
                <w:rFonts w:ascii="Arial" w:cs="Arial" w:eastAsia="Arial" w:hAnsi="Arial"/>
                <w:sz w:val="20"/>
                <w:szCs w:val="20"/>
                <w:b w:val="1"/>
                <w:bCs w:val="1"/>
                <w:color w:val="FFFFFF"/>
                <w:w w:val="93"/>
                <w:vertAlign w:val="superscript"/>
              </w:rPr>
              <w:t>(1)</w:t>
            </w:r>
          </w:p>
        </w:tc>
        <w:tc>
          <w:tcPr>
            <w:tcW w:w="0" w:type="dxa"/>
            <w:vAlign w:val="bottom"/>
          </w:tcPr>
          <w:p>
            <w:pPr>
              <w:spacing w:after="0"/>
              <w:rPr>
                <w:sz w:val="1"/>
                <w:szCs w:val="1"/>
                <w:color w:val="auto"/>
              </w:rPr>
            </w:pPr>
          </w:p>
        </w:tc>
      </w:tr>
      <w:tr>
        <w:trPr>
          <w:trHeight w:val="138"/>
        </w:trPr>
        <w:tc>
          <w:tcPr>
            <w:tcW w:w="2820" w:type="dxa"/>
            <w:vAlign w:val="bottom"/>
            <w:tcBorders>
              <w:bottom w:val="single" w:sz="8" w:color="CC092F"/>
            </w:tcBorders>
            <w:shd w:val="clear" w:color="auto" w:fill="B8B8B8"/>
          </w:tcPr>
          <w:p>
            <w:pPr>
              <w:spacing w:after="0"/>
              <w:rPr>
                <w:sz w:val="11"/>
                <w:szCs w:val="11"/>
                <w:color w:val="auto"/>
              </w:rPr>
            </w:pPr>
          </w:p>
        </w:tc>
        <w:tc>
          <w:tcPr>
            <w:tcW w:w="440" w:type="dxa"/>
            <w:vAlign w:val="bottom"/>
            <w:tcBorders>
              <w:bottom w:val="single" w:sz="8" w:color="CC092F"/>
            </w:tcBorders>
            <w:shd w:val="clear" w:color="auto" w:fill="B8B8B8"/>
          </w:tcPr>
          <w:p>
            <w:pPr>
              <w:spacing w:after="0"/>
              <w:rPr>
                <w:sz w:val="11"/>
                <w:szCs w:val="11"/>
                <w:color w:val="auto"/>
              </w:rPr>
            </w:pPr>
          </w:p>
        </w:tc>
        <w:tc>
          <w:tcPr>
            <w:tcW w:w="2340" w:type="dxa"/>
            <w:vAlign w:val="bottom"/>
            <w:tcBorders>
              <w:bottom w:val="single" w:sz="8" w:color="CC092F"/>
            </w:tcBorders>
            <w:shd w:val="clear" w:color="auto" w:fill="B8B8B8"/>
          </w:tcPr>
          <w:p>
            <w:pPr>
              <w:spacing w:after="0"/>
              <w:rPr>
                <w:sz w:val="11"/>
                <w:szCs w:val="11"/>
                <w:color w:val="auto"/>
              </w:rPr>
            </w:pPr>
          </w:p>
        </w:tc>
        <w:tc>
          <w:tcPr>
            <w:tcW w:w="2760" w:type="dxa"/>
            <w:vAlign w:val="bottom"/>
            <w:tcBorders>
              <w:bottom w:val="single" w:sz="8" w:color="CC092F"/>
            </w:tcBorders>
            <w:vMerge w:val="continue"/>
            <w:shd w:val="clear" w:color="auto" w:fill="B8B8B8"/>
          </w:tcPr>
          <w:p>
            <w:pPr>
              <w:spacing w:after="0"/>
              <w:rPr>
                <w:sz w:val="11"/>
                <w:szCs w:val="11"/>
                <w:color w:val="auto"/>
              </w:rPr>
            </w:pPr>
          </w:p>
        </w:tc>
        <w:tc>
          <w:tcPr>
            <w:tcW w:w="2880" w:type="dxa"/>
            <w:vAlign w:val="bottom"/>
            <w:tcBorders>
              <w:bottom w:val="single" w:sz="8" w:color="CC092F"/>
            </w:tcBorders>
            <w:vMerge w:val="continue"/>
            <w:shd w:val="clear" w:color="auto" w:fill="B8B8B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40" w:type="dxa"/>
            <w:vAlign w:val="bottom"/>
          </w:tcPr>
          <w:p>
            <w:pPr>
              <w:jc w:val="center"/>
              <w:spacing w:after="0" w:line="168" w:lineRule="exact"/>
              <w:rPr>
                <w:sz w:val="20"/>
                <w:szCs w:val="20"/>
                <w:color w:val="auto"/>
              </w:rPr>
            </w:pPr>
            <w:r>
              <w:rPr>
                <w:rFonts w:ascii="Arial" w:cs="Arial" w:eastAsia="Arial" w:hAnsi="Arial"/>
                <w:sz w:val="16"/>
                <w:szCs w:val="16"/>
                <w:color w:val="242424"/>
                <w:w w:val="96"/>
              </w:rPr>
              <w:t>25th</w:t>
            </w:r>
          </w:p>
        </w:tc>
        <w:tc>
          <w:tcPr>
            <w:tcW w:w="2760" w:type="dxa"/>
            <w:vAlign w:val="bottom"/>
          </w:tcPr>
          <w:p>
            <w:pPr>
              <w:ind w:left="620"/>
              <w:spacing w:after="0" w:line="168" w:lineRule="exact"/>
              <w:rPr>
                <w:sz w:val="20"/>
                <w:szCs w:val="20"/>
                <w:color w:val="auto"/>
              </w:rPr>
            </w:pPr>
            <w:r>
              <w:rPr>
                <w:rFonts w:ascii="Arial" w:cs="Arial" w:eastAsia="Arial" w:hAnsi="Arial"/>
                <w:sz w:val="16"/>
                <w:szCs w:val="16"/>
                <w:color w:val="242424"/>
              </w:rPr>
              <w:t>$ 15,266</w:t>
            </w:r>
          </w:p>
        </w:tc>
        <w:tc>
          <w:tcPr>
            <w:tcW w:w="2880" w:type="dxa"/>
            <w:vAlign w:val="bottom"/>
          </w:tcPr>
          <w:p>
            <w:pPr>
              <w:ind w:left="600"/>
              <w:spacing w:after="0" w:line="168" w:lineRule="exact"/>
              <w:rPr>
                <w:sz w:val="20"/>
                <w:szCs w:val="20"/>
                <w:color w:val="auto"/>
              </w:rPr>
            </w:pPr>
            <w:r>
              <w:rPr>
                <w:rFonts w:ascii="Arial" w:cs="Arial" w:eastAsia="Arial" w:hAnsi="Arial"/>
                <w:sz w:val="16"/>
                <w:szCs w:val="16"/>
                <w:color w:val="242424"/>
              </w:rPr>
              <w:t>$ 85,186</w:t>
            </w:r>
          </w:p>
        </w:tc>
        <w:tc>
          <w:tcPr>
            <w:tcW w:w="0" w:type="dxa"/>
            <w:vAlign w:val="bottom"/>
          </w:tcPr>
          <w:p>
            <w:pPr>
              <w:spacing w:after="0"/>
              <w:rPr>
                <w:sz w:val="1"/>
                <w:szCs w:val="1"/>
                <w:color w:val="auto"/>
              </w:rPr>
            </w:pPr>
          </w:p>
        </w:tc>
      </w:tr>
      <w:tr>
        <w:trPr>
          <w:trHeight w:val="159"/>
        </w:trPr>
        <w:tc>
          <w:tcPr>
            <w:tcW w:w="2820" w:type="dxa"/>
            <w:vAlign w:val="bottom"/>
          </w:tcPr>
          <w:p>
            <w:pPr>
              <w:ind w:left="160"/>
              <w:spacing w:after="0" w:line="159" w:lineRule="exact"/>
              <w:rPr>
                <w:sz w:val="20"/>
                <w:szCs w:val="20"/>
                <w:color w:val="auto"/>
              </w:rPr>
            </w:pPr>
            <w:r>
              <w:rPr>
                <w:rFonts w:ascii="Arial" w:cs="Arial" w:eastAsia="Arial" w:hAnsi="Arial"/>
                <w:sz w:val="16"/>
                <w:szCs w:val="16"/>
                <w:color w:val="242424"/>
              </w:rPr>
              <w:t>Fiscal Year 2021 Peer Group</w:t>
            </w:r>
          </w:p>
        </w:tc>
        <w:tc>
          <w:tcPr>
            <w:tcW w:w="440" w:type="dxa"/>
            <w:vAlign w:val="bottom"/>
          </w:tcPr>
          <w:p>
            <w:pPr>
              <w:spacing w:after="0"/>
              <w:rPr>
                <w:sz w:val="13"/>
                <w:szCs w:val="13"/>
                <w:color w:val="auto"/>
              </w:rPr>
            </w:pPr>
          </w:p>
        </w:tc>
        <w:tc>
          <w:tcPr>
            <w:tcW w:w="2340" w:type="dxa"/>
            <w:vAlign w:val="bottom"/>
          </w:tcPr>
          <w:p>
            <w:pPr>
              <w:jc w:val="center"/>
              <w:spacing w:after="0" w:line="159" w:lineRule="exact"/>
              <w:rPr>
                <w:sz w:val="20"/>
                <w:szCs w:val="20"/>
                <w:color w:val="auto"/>
              </w:rPr>
            </w:pPr>
            <w:r>
              <w:rPr>
                <w:rFonts w:ascii="Arial" w:cs="Arial" w:eastAsia="Arial" w:hAnsi="Arial"/>
                <w:sz w:val="16"/>
                <w:szCs w:val="16"/>
                <w:color w:val="242424"/>
              </w:rPr>
              <w:t>Median</w:t>
            </w:r>
          </w:p>
        </w:tc>
        <w:tc>
          <w:tcPr>
            <w:tcW w:w="2760" w:type="dxa"/>
            <w:vAlign w:val="bottom"/>
          </w:tcPr>
          <w:p>
            <w:pPr>
              <w:ind w:left="620"/>
              <w:spacing w:after="0" w:line="159" w:lineRule="exact"/>
              <w:rPr>
                <w:sz w:val="20"/>
                <w:szCs w:val="20"/>
                <w:color w:val="auto"/>
              </w:rPr>
            </w:pPr>
            <w:r>
              <w:rPr>
                <w:rFonts w:ascii="Arial" w:cs="Arial" w:eastAsia="Arial" w:hAnsi="Arial"/>
                <w:sz w:val="16"/>
                <w:szCs w:val="16"/>
                <w:color w:val="242424"/>
              </w:rPr>
              <w:t>$ 19,256</w:t>
            </w:r>
          </w:p>
        </w:tc>
        <w:tc>
          <w:tcPr>
            <w:tcW w:w="2880" w:type="dxa"/>
            <w:vAlign w:val="bottom"/>
          </w:tcPr>
          <w:p>
            <w:pPr>
              <w:ind w:left="600"/>
              <w:spacing w:after="0" w:line="159" w:lineRule="exact"/>
              <w:rPr>
                <w:sz w:val="20"/>
                <w:szCs w:val="20"/>
                <w:color w:val="auto"/>
              </w:rPr>
            </w:pPr>
            <w:r>
              <w:rPr>
                <w:rFonts w:ascii="Arial" w:cs="Arial" w:eastAsia="Arial" w:hAnsi="Arial"/>
                <w:sz w:val="16"/>
                <w:szCs w:val="16"/>
                <w:color w:val="242424"/>
              </w:rPr>
              <w:t>$120,727</w:t>
            </w: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6"/>
                <w:szCs w:val="16"/>
                <w:color w:val="242424"/>
                <w:w w:val="96"/>
              </w:rPr>
              <w:t>75th</w:t>
            </w:r>
          </w:p>
        </w:tc>
        <w:tc>
          <w:tcPr>
            <w:tcW w:w="2760" w:type="dxa"/>
            <w:vAlign w:val="bottom"/>
          </w:tcPr>
          <w:p>
            <w:pPr>
              <w:ind w:left="620"/>
              <w:spacing w:after="0"/>
              <w:rPr>
                <w:sz w:val="20"/>
                <w:szCs w:val="20"/>
                <w:color w:val="auto"/>
              </w:rPr>
            </w:pPr>
            <w:r>
              <w:rPr>
                <w:rFonts w:ascii="Arial" w:cs="Arial" w:eastAsia="Arial" w:hAnsi="Arial"/>
                <w:sz w:val="16"/>
                <w:szCs w:val="16"/>
                <w:color w:val="242424"/>
              </w:rPr>
              <w:t>$ 36,983</w:t>
            </w:r>
          </w:p>
        </w:tc>
        <w:tc>
          <w:tcPr>
            <w:tcW w:w="2880" w:type="dxa"/>
            <w:vAlign w:val="bottom"/>
          </w:tcPr>
          <w:p>
            <w:pPr>
              <w:ind w:left="600"/>
              <w:spacing w:after="0"/>
              <w:rPr>
                <w:sz w:val="20"/>
                <w:szCs w:val="20"/>
                <w:color w:val="auto"/>
              </w:rPr>
            </w:pPr>
            <w:r>
              <w:rPr>
                <w:rFonts w:ascii="Arial" w:cs="Arial" w:eastAsia="Arial" w:hAnsi="Arial"/>
                <w:sz w:val="16"/>
                <w:szCs w:val="16"/>
                <w:color w:val="242424"/>
              </w:rPr>
              <w:t>$195,320</w:t>
            </w:r>
          </w:p>
        </w:tc>
        <w:tc>
          <w:tcPr>
            <w:tcW w:w="0" w:type="dxa"/>
            <w:vAlign w:val="bottom"/>
          </w:tcPr>
          <w:p>
            <w:pPr>
              <w:spacing w:after="0"/>
              <w:rPr>
                <w:sz w:val="1"/>
                <w:szCs w:val="1"/>
                <w:color w:val="auto"/>
              </w:rPr>
            </w:pPr>
          </w:p>
        </w:tc>
      </w:tr>
      <w:tr>
        <w:trPr>
          <w:trHeight w:val="228"/>
        </w:trPr>
        <w:tc>
          <w:tcPr>
            <w:tcW w:w="2820" w:type="dxa"/>
            <w:vAlign w:val="bottom"/>
            <w:shd w:val="clear" w:color="auto" w:fill="EAEAEA"/>
          </w:tcPr>
          <w:p>
            <w:pPr>
              <w:ind w:left="320"/>
              <w:spacing w:after="0"/>
              <w:rPr>
                <w:sz w:val="20"/>
                <w:szCs w:val="20"/>
                <w:color w:val="auto"/>
              </w:rPr>
            </w:pPr>
            <w:r>
              <w:rPr>
                <w:rFonts w:ascii="Arial" w:cs="Arial" w:eastAsia="Arial" w:hAnsi="Arial"/>
                <w:sz w:val="16"/>
                <w:szCs w:val="16"/>
                <w:b w:val="1"/>
                <w:bCs w:val="1"/>
                <w:color w:val="242424"/>
              </w:rPr>
              <w:t>Broadcom</w:t>
            </w:r>
          </w:p>
        </w:tc>
        <w:tc>
          <w:tcPr>
            <w:tcW w:w="440" w:type="dxa"/>
            <w:vAlign w:val="bottom"/>
            <w:shd w:val="clear" w:color="auto" w:fill="EAEAEA"/>
          </w:tcPr>
          <w:p>
            <w:pPr>
              <w:spacing w:after="0"/>
              <w:rPr>
                <w:sz w:val="19"/>
                <w:szCs w:val="19"/>
                <w:color w:val="auto"/>
              </w:rPr>
            </w:pPr>
          </w:p>
        </w:tc>
        <w:tc>
          <w:tcPr>
            <w:tcW w:w="2340" w:type="dxa"/>
            <w:vAlign w:val="bottom"/>
            <w:shd w:val="clear" w:color="auto" w:fill="EAEAEA"/>
          </w:tcPr>
          <w:p>
            <w:pPr>
              <w:spacing w:after="0"/>
              <w:rPr>
                <w:sz w:val="19"/>
                <w:szCs w:val="19"/>
                <w:color w:val="auto"/>
              </w:rPr>
            </w:pPr>
          </w:p>
        </w:tc>
        <w:tc>
          <w:tcPr>
            <w:tcW w:w="2760" w:type="dxa"/>
            <w:vAlign w:val="bottom"/>
            <w:shd w:val="clear" w:color="auto" w:fill="EAEAEA"/>
          </w:tcPr>
          <w:p>
            <w:pPr>
              <w:ind w:left="620"/>
              <w:spacing w:after="0" w:line="228" w:lineRule="exact"/>
              <w:rPr>
                <w:sz w:val="20"/>
                <w:szCs w:val="20"/>
                <w:color w:val="auto"/>
              </w:rPr>
            </w:pPr>
            <w:r>
              <w:rPr>
                <w:rFonts w:ascii="Arial" w:cs="Arial" w:eastAsia="Arial" w:hAnsi="Arial"/>
                <w:sz w:val="16"/>
                <w:szCs w:val="16"/>
                <w:color w:val="242424"/>
              </w:rPr>
              <w:t>$ 22,891</w:t>
            </w:r>
            <w:r>
              <w:rPr>
                <w:rFonts w:ascii="Arial" w:cs="Arial" w:eastAsia="Arial" w:hAnsi="Arial"/>
                <w:sz w:val="20"/>
                <w:szCs w:val="20"/>
                <w:color w:val="242424"/>
                <w:vertAlign w:val="superscript"/>
              </w:rPr>
              <w:t>(2)</w:t>
            </w:r>
          </w:p>
        </w:tc>
        <w:tc>
          <w:tcPr>
            <w:tcW w:w="2880" w:type="dxa"/>
            <w:vAlign w:val="bottom"/>
            <w:shd w:val="clear" w:color="auto" w:fill="EAEAEA"/>
          </w:tcPr>
          <w:p>
            <w:pPr>
              <w:ind w:left="600"/>
              <w:spacing w:after="0"/>
              <w:rPr>
                <w:sz w:val="20"/>
                <w:szCs w:val="20"/>
                <w:color w:val="auto"/>
              </w:rPr>
            </w:pPr>
            <w:r>
              <w:rPr>
                <w:rFonts w:ascii="Arial" w:cs="Arial" w:eastAsia="Arial" w:hAnsi="Arial"/>
                <w:sz w:val="16"/>
                <w:szCs w:val="16"/>
                <w:color w:val="242424"/>
              </w:rPr>
              <w:t>$125,500</w:t>
            </w:r>
          </w:p>
        </w:tc>
        <w:tc>
          <w:tcPr>
            <w:tcW w:w="0" w:type="dxa"/>
            <w:vAlign w:val="bottom"/>
          </w:tcPr>
          <w:p>
            <w:pPr>
              <w:spacing w:after="0"/>
              <w:rPr>
                <w:sz w:val="1"/>
                <w:szCs w:val="1"/>
                <w:color w:val="auto"/>
              </w:rPr>
            </w:pPr>
          </w:p>
        </w:tc>
      </w:tr>
      <w:tr>
        <w:trPr>
          <w:trHeight w:val="212"/>
        </w:trPr>
        <w:tc>
          <w:tcPr>
            <w:tcW w:w="2820" w:type="dxa"/>
            <w:vAlign w:val="bottom"/>
            <w:shd w:val="clear" w:color="auto" w:fill="EAEAEA"/>
          </w:tcPr>
          <w:p>
            <w:pPr>
              <w:spacing w:after="0"/>
              <w:rPr>
                <w:sz w:val="18"/>
                <w:szCs w:val="18"/>
                <w:color w:val="auto"/>
              </w:rPr>
            </w:pPr>
          </w:p>
        </w:tc>
        <w:tc>
          <w:tcPr>
            <w:tcW w:w="440" w:type="dxa"/>
            <w:vAlign w:val="bottom"/>
            <w:shd w:val="clear" w:color="auto" w:fill="EAEAEA"/>
          </w:tcPr>
          <w:p>
            <w:pPr>
              <w:spacing w:after="0"/>
              <w:rPr>
                <w:sz w:val="18"/>
                <w:szCs w:val="18"/>
                <w:color w:val="auto"/>
              </w:rPr>
            </w:pPr>
          </w:p>
        </w:tc>
        <w:tc>
          <w:tcPr>
            <w:tcW w:w="2340" w:type="dxa"/>
            <w:vAlign w:val="bottom"/>
            <w:shd w:val="clear" w:color="auto" w:fill="EAEAEA"/>
          </w:tcPr>
          <w:p>
            <w:pPr>
              <w:jc w:val="center"/>
              <w:spacing w:after="0"/>
              <w:rPr>
                <w:sz w:val="20"/>
                <w:szCs w:val="20"/>
                <w:color w:val="auto"/>
              </w:rPr>
            </w:pPr>
            <w:r>
              <w:rPr>
                <w:rFonts w:ascii="Arial" w:cs="Arial" w:eastAsia="Arial" w:hAnsi="Arial"/>
                <w:sz w:val="16"/>
                <w:szCs w:val="16"/>
                <w:b w:val="1"/>
                <w:bCs w:val="1"/>
                <w:i w:val="1"/>
                <w:iCs w:val="1"/>
                <w:color w:val="242424"/>
                <w:w w:val="97"/>
              </w:rPr>
              <w:t>Rank</w:t>
            </w:r>
          </w:p>
        </w:tc>
        <w:tc>
          <w:tcPr>
            <w:tcW w:w="2760" w:type="dxa"/>
            <w:vAlign w:val="bottom"/>
            <w:shd w:val="clear" w:color="auto" w:fill="EAEAEA"/>
          </w:tcPr>
          <w:p>
            <w:pPr>
              <w:jc w:val="center"/>
              <w:ind w:right="181"/>
              <w:spacing w:after="0"/>
              <w:rPr>
                <w:sz w:val="20"/>
                <w:szCs w:val="20"/>
                <w:color w:val="auto"/>
              </w:rPr>
            </w:pPr>
            <w:r>
              <w:rPr>
                <w:rFonts w:ascii="Arial" w:cs="Arial" w:eastAsia="Arial" w:hAnsi="Arial"/>
                <w:sz w:val="16"/>
                <w:szCs w:val="16"/>
                <w:b w:val="1"/>
                <w:bCs w:val="1"/>
                <w:color w:val="242424"/>
                <w:w w:val="93"/>
              </w:rPr>
              <w:t>56%</w:t>
            </w:r>
          </w:p>
        </w:tc>
        <w:tc>
          <w:tcPr>
            <w:tcW w:w="2880" w:type="dxa"/>
            <w:vAlign w:val="bottom"/>
            <w:shd w:val="clear" w:color="auto" w:fill="EAEAEA"/>
          </w:tcPr>
          <w:p>
            <w:pPr>
              <w:jc w:val="center"/>
              <w:ind w:right="201"/>
              <w:spacing w:after="0"/>
              <w:rPr>
                <w:sz w:val="20"/>
                <w:szCs w:val="20"/>
                <w:color w:val="auto"/>
              </w:rPr>
            </w:pPr>
            <w:r>
              <w:rPr>
                <w:rFonts w:ascii="Arial" w:cs="Arial" w:eastAsia="Arial" w:hAnsi="Arial"/>
                <w:sz w:val="16"/>
                <w:szCs w:val="16"/>
                <w:b w:val="1"/>
                <w:bCs w:val="1"/>
                <w:color w:val="242424"/>
                <w:w w:val="99"/>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151765</wp:posOffset>
            </wp:positionV>
            <wp:extent cx="1993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89" w:lineRule="exact"/>
        <w:rPr>
          <w:sz w:val="20"/>
          <w:szCs w:val="20"/>
          <w:color w:val="auto"/>
        </w:rPr>
      </w:pPr>
    </w:p>
    <w:p>
      <w:pPr>
        <w:ind w:left="480" w:hanging="315"/>
        <w:spacing w:after="0"/>
        <w:tabs>
          <w:tab w:leader="none" w:pos="480" w:val="left"/>
        </w:tabs>
        <w:numPr>
          <w:ilvl w:val="0"/>
          <w:numId w:val="56"/>
        </w:numPr>
        <w:rPr>
          <w:rFonts w:ascii="Arial" w:cs="Arial" w:eastAsia="Arial" w:hAnsi="Arial"/>
          <w:sz w:val="14"/>
          <w:szCs w:val="14"/>
          <w:color w:val="242424"/>
        </w:rPr>
      </w:pPr>
      <w:r>
        <w:rPr>
          <w:rFonts w:ascii="Arial" w:cs="Arial" w:eastAsia="Arial" w:hAnsi="Arial"/>
          <w:sz w:val="14"/>
          <w:szCs w:val="14"/>
          <w:color w:val="242424"/>
        </w:rPr>
        <w:t>As of July 15, 2020, using publicly reported data available at such date, except as noted in footnote 2.</w:t>
      </w:r>
    </w:p>
    <w:p>
      <w:pPr>
        <w:spacing w:after="0" w:line="51" w:lineRule="exact"/>
        <w:rPr>
          <w:rFonts w:ascii="Arial" w:cs="Arial" w:eastAsia="Arial" w:hAnsi="Arial"/>
          <w:sz w:val="14"/>
          <w:szCs w:val="14"/>
          <w:color w:val="242424"/>
        </w:rPr>
      </w:pPr>
    </w:p>
    <w:p>
      <w:pPr>
        <w:ind w:left="500" w:hanging="335"/>
        <w:spacing w:after="0"/>
        <w:tabs>
          <w:tab w:leader="none" w:pos="500" w:val="left"/>
        </w:tabs>
        <w:numPr>
          <w:ilvl w:val="0"/>
          <w:numId w:val="56"/>
        </w:numPr>
        <w:rPr>
          <w:rFonts w:ascii="Arial" w:cs="Arial" w:eastAsia="Arial" w:hAnsi="Arial"/>
          <w:sz w:val="14"/>
          <w:szCs w:val="14"/>
          <w:color w:val="242424"/>
        </w:rPr>
      </w:pPr>
      <w:r>
        <w:rPr>
          <w:rFonts w:ascii="Arial" w:cs="Arial" w:eastAsia="Arial" w:hAnsi="Arial"/>
          <w:sz w:val="14"/>
          <w:szCs w:val="14"/>
          <w:color w:val="242424"/>
        </w:rPr>
        <w:t>Represents publicly reported revenue for the trailing four quarters ended May 3, 2020.</w:t>
      </w:r>
    </w:p>
    <w:p>
      <w:pPr>
        <w:spacing w:after="0" w:line="151" w:lineRule="exact"/>
        <w:rPr>
          <w:sz w:val="20"/>
          <w:szCs w:val="20"/>
          <w:color w:val="auto"/>
        </w:rPr>
      </w:pPr>
    </w:p>
    <w:p>
      <w:pPr>
        <w:jc w:val="both"/>
        <w:ind w:right="80"/>
        <w:spacing w:after="0" w:line="247" w:lineRule="auto"/>
        <w:rPr>
          <w:sz w:val="20"/>
          <w:szCs w:val="20"/>
          <w:color w:val="auto"/>
        </w:rPr>
      </w:pPr>
      <w:r>
        <w:rPr>
          <w:rFonts w:ascii="Arial" w:cs="Arial" w:eastAsia="Arial" w:hAnsi="Arial"/>
          <w:sz w:val="18"/>
          <w:szCs w:val="18"/>
          <w:color w:val="242424"/>
        </w:rPr>
        <w:t>In October 2021, the compensation peer group was updated for Fiscal Year 2022 to reflect the growth in our revenue and market capitalization. Booking Holdings was removed due to its revenues and market capitalization falling outside of the selection criteria set forth above. Advanced Micro Devices was added to the compensation peer group, which is viewed as an appropriate peer because its revenues, market capitalization and industry better aligned with the applicable relevant selection criteria set forth above.</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Elements of Executive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242424"/>
        </w:rPr>
        <w:t>The principal elements of our executive compensation program are:</w:t>
      </w:r>
    </w:p>
    <w:p>
      <w:pPr>
        <w:spacing w:after="0" w:line="108" w:lineRule="exact"/>
        <w:rPr>
          <w:sz w:val="20"/>
          <w:szCs w:val="20"/>
          <w:color w:val="auto"/>
        </w:rPr>
      </w:pPr>
    </w:p>
    <w:p>
      <w:pPr>
        <w:ind w:left="520" w:hanging="276"/>
        <w:spacing w:after="0"/>
        <w:tabs>
          <w:tab w:leader="none" w:pos="520" w:val="left"/>
        </w:tabs>
        <w:numPr>
          <w:ilvl w:val="0"/>
          <w:numId w:val="57"/>
        </w:numPr>
        <w:rPr>
          <w:rFonts w:ascii="Arial" w:cs="Arial" w:eastAsia="Arial" w:hAnsi="Arial"/>
          <w:sz w:val="21"/>
          <w:szCs w:val="21"/>
          <w:color w:val="242424"/>
        </w:rPr>
      </w:pPr>
      <w:r>
        <w:rPr>
          <w:rFonts w:ascii="Arial" w:cs="Arial" w:eastAsia="Arial" w:hAnsi="Arial"/>
          <w:sz w:val="18"/>
          <w:szCs w:val="18"/>
          <w:color w:val="242424"/>
        </w:rPr>
        <w:t>base salary;</w:t>
      </w:r>
    </w:p>
    <w:p>
      <w:pPr>
        <w:spacing w:after="0" w:line="89" w:lineRule="exact"/>
        <w:rPr>
          <w:rFonts w:ascii="Arial" w:cs="Arial" w:eastAsia="Arial" w:hAnsi="Arial"/>
          <w:sz w:val="21"/>
          <w:szCs w:val="21"/>
          <w:color w:val="242424"/>
        </w:rPr>
      </w:pPr>
    </w:p>
    <w:p>
      <w:pPr>
        <w:ind w:left="520" w:hanging="276"/>
        <w:spacing w:after="0"/>
        <w:tabs>
          <w:tab w:leader="none" w:pos="520" w:val="left"/>
        </w:tabs>
        <w:numPr>
          <w:ilvl w:val="0"/>
          <w:numId w:val="57"/>
        </w:numPr>
        <w:rPr>
          <w:rFonts w:ascii="Arial" w:cs="Arial" w:eastAsia="Arial" w:hAnsi="Arial"/>
          <w:sz w:val="21"/>
          <w:szCs w:val="21"/>
          <w:color w:val="242424"/>
        </w:rPr>
      </w:pPr>
      <w:r>
        <w:rPr>
          <w:rFonts w:ascii="Arial" w:cs="Arial" w:eastAsia="Arial" w:hAnsi="Arial"/>
          <w:sz w:val="18"/>
          <w:szCs w:val="18"/>
          <w:color w:val="242424"/>
        </w:rPr>
        <w:t>an annual cash incentive bonus plan;</w:t>
      </w:r>
    </w:p>
    <w:p>
      <w:pPr>
        <w:spacing w:after="0" w:line="103" w:lineRule="exact"/>
        <w:rPr>
          <w:rFonts w:ascii="Arial" w:cs="Arial" w:eastAsia="Arial" w:hAnsi="Arial"/>
          <w:sz w:val="21"/>
          <w:szCs w:val="21"/>
          <w:color w:val="242424"/>
        </w:rPr>
      </w:pPr>
    </w:p>
    <w:p>
      <w:pPr>
        <w:ind w:left="520" w:hanging="276"/>
        <w:spacing w:after="0"/>
        <w:tabs>
          <w:tab w:leader="none" w:pos="520" w:val="left"/>
        </w:tabs>
        <w:numPr>
          <w:ilvl w:val="0"/>
          <w:numId w:val="57"/>
        </w:numPr>
        <w:rPr>
          <w:rFonts w:ascii="Arial" w:cs="Arial" w:eastAsia="Arial" w:hAnsi="Arial"/>
          <w:sz w:val="21"/>
          <w:szCs w:val="21"/>
          <w:color w:val="242424"/>
        </w:rPr>
      </w:pPr>
      <w:r>
        <w:rPr>
          <w:rFonts w:ascii="Arial" w:cs="Arial" w:eastAsia="Arial" w:hAnsi="Arial"/>
          <w:sz w:val="18"/>
          <w:szCs w:val="18"/>
          <w:color w:val="242424"/>
        </w:rPr>
        <w:t>LTI compensation in the form of equity awards, including a substantial weighting toward PSU awards;</w:t>
      </w:r>
    </w:p>
    <w:p>
      <w:pPr>
        <w:spacing w:after="0" w:line="103" w:lineRule="exact"/>
        <w:rPr>
          <w:rFonts w:ascii="Arial" w:cs="Arial" w:eastAsia="Arial" w:hAnsi="Arial"/>
          <w:sz w:val="21"/>
          <w:szCs w:val="21"/>
          <w:color w:val="242424"/>
        </w:rPr>
      </w:pPr>
    </w:p>
    <w:p>
      <w:pPr>
        <w:ind w:left="520" w:hanging="276"/>
        <w:spacing w:after="0"/>
        <w:tabs>
          <w:tab w:leader="none" w:pos="520" w:val="left"/>
        </w:tabs>
        <w:numPr>
          <w:ilvl w:val="0"/>
          <w:numId w:val="57"/>
        </w:numPr>
        <w:rPr>
          <w:rFonts w:ascii="Arial" w:cs="Arial" w:eastAsia="Arial" w:hAnsi="Arial"/>
          <w:sz w:val="21"/>
          <w:szCs w:val="21"/>
          <w:color w:val="242424"/>
        </w:rPr>
      </w:pPr>
      <w:r>
        <w:rPr>
          <w:rFonts w:ascii="Arial" w:cs="Arial" w:eastAsia="Arial" w:hAnsi="Arial"/>
          <w:sz w:val="18"/>
          <w:szCs w:val="18"/>
          <w:color w:val="242424"/>
        </w:rPr>
        <w:t>severance and change in control payments and benefits; and</w:t>
      </w:r>
    </w:p>
    <w:p>
      <w:pPr>
        <w:spacing w:after="0" w:line="89" w:lineRule="exact"/>
        <w:rPr>
          <w:rFonts w:ascii="Arial" w:cs="Arial" w:eastAsia="Arial" w:hAnsi="Arial"/>
          <w:sz w:val="21"/>
          <w:szCs w:val="21"/>
          <w:color w:val="242424"/>
        </w:rPr>
      </w:pPr>
    </w:p>
    <w:p>
      <w:pPr>
        <w:ind w:left="520" w:hanging="276"/>
        <w:spacing w:after="0"/>
        <w:tabs>
          <w:tab w:leader="none" w:pos="520" w:val="left"/>
        </w:tabs>
        <w:numPr>
          <w:ilvl w:val="0"/>
          <w:numId w:val="57"/>
        </w:numPr>
        <w:rPr>
          <w:rFonts w:ascii="Arial" w:cs="Arial" w:eastAsia="Arial" w:hAnsi="Arial"/>
          <w:sz w:val="21"/>
          <w:szCs w:val="21"/>
          <w:color w:val="242424"/>
        </w:rPr>
      </w:pPr>
      <w:r>
        <w:rPr>
          <w:rFonts w:ascii="Arial" w:cs="Arial" w:eastAsia="Arial" w:hAnsi="Arial"/>
          <w:sz w:val="18"/>
          <w:szCs w:val="18"/>
          <w:color w:val="242424"/>
        </w:rPr>
        <w:t>modest perquisites and other personal benefits.</w:t>
      </w:r>
    </w:p>
    <w:p>
      <w:pPr>
        <w:spacing w:after="0" w:line="200" w:lineRule="exact"/>
        <w:rPr>
          <w:sz w:val="20"/>
          <w:szCs w:val="20"/>
          <w:color w:val="auto"/>
        </w:rPr>
      </w:pPr>
    </w:p>
    <w:p>
      <w:pPr>
        <w:spacing w:after="0" w:line="253" w:lineRule="exact"/>
        <w:rPr>
          <w:sz w:val="20"/>
          <w:szCs w:val="20"/>
          <w:color w:val="auto"/>
        </w:rPr>
      </w:pPr>
    </w:p>
    <w:p>
      <w:pPr>
        <w:ind w:left="360" w:hanging="354"/>
        <w:spacing w:after="0"/>
        <w:tabs>
          <w:tab w:leader="none" w:pos="360" w:val="left"/>
        </w:tabs>
        <w:numPr>
          <w:ilvl w:val="0"/>
          <w:numId w:val="58"/>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40"/>
          </w:cols>
          <w:pgMar w:left="320" w:top="181" w:right="339" w:bottom="1440" w:gutter="0" w:footer="0" w:header="0"/>
        </w:sectPr>
      </w:pPr>
    </w:p>
    <w:bookmarkStart w:id="35" w:name="page36"/>
    <w:bookmarkEnd w:id="35"/>
    <w:p>
      <w:pPr>
        <w:jc w:val="right"/>
        <w:ind w:right="20"/>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Base Salary</w:t>
      </w:r>
    </w:p>
    <w:p>
      <w:pPr>
        <w:spacing w:after="0" w:line="19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242424"/>
        </w:rPr>
        <w:t>We believe that a competitive base salary is an important element of our executive compensation program designed to attract, engage and retain our executive officers. Base salaries provide fixed, baseline compensation and are set at levels intended to reflect an executive’s sustained individual performance and level and scope of responsibility, to be within a competitive range for similar positions at the companies in our compensation peer group and/or market survey data, and to take into account internal pay parity among our executive officers. The Compensation Committee also reviews our economic and business conditions and outlook. The base salaries of our key executives are reviewed annually by the Compensation Committee.</w:t>
      </w:r>
    </w:p>
    <w:p>
      <w:pPr>
        <w:spacing w:after="0" w:line="158"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242424"/>
        </w:rPr>
        <w:t>Our CEO makes recommendations to the Compensation Committee with respect to base salary adjustments for our executive officers (other than himself).</w:t>
      </w:r>
    </w:p>
    <w:p>
      <w:pPr>
        <w:spacing w:after="0" w:line="150"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242424"/>
        </w:rPr>
        <w:t>The Compensation Committee also reviews and considers many factors in determining individual performance for the purposes of adjusting base salaries. These factors include division performance against budget, achievement of divisional goals, new product introductions and corporate strategy implementation.</w:t>
      </w:r>
    </w:p>
    <w:p>
      <w:pPr>
        <w:spacing w:after="0" w:line="15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242424"/>
        </w:rPr>
        <w:t>In December 2020, the Compensation Committee, in consultation with Compensia and our CEO, increased the base salaries of Ms. Spears, Dr. Kawwas and Mr. Krause in connection with their promotions to positions with increased responsibilities and to bring their base salaries more in line with the competitive market levels for their new positions. These increases took effect on December 10, 2020 and are shown in the following table. Dr. Kawwas’ and Mr. Krause’s annual base salary will remain effective through December 15, 2023. No other changes were made to the base salaries of our NEOs in Fiscal Year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80" w:type="dxa"/>
            <w:vAlign w:val="bottom"/>
            <w:tcBorders>
              <w:top w:val="single" w:sz="8" w:color="CC092F"/>
            </w:tcBorders>
            <w:shd w:val="clear" w:color="auto" w:fill="B8B8B8"/>
          </w:tcPr>
          <w:p>
            <w:pPr>
              <w:spacing w:after="0"/>
              <w:rPr>
                <w:sz w:val="14"/>
                <w:szCs w:val="14"/>
                <w:color w:val="auto"/>
              </w:rPr>
            </w:pPr>
          </w:p>
        </w:tc>
        <w:tc>
          <w:tcPr>
            <w:tcW w:w="4600" w:type="dxa"/>
            <w:vAlign w:val="bottom"/>
            <w:tcBorders>
              <w:top w:val="single" w:sz="8" w:color="CC092F"/>
            </w:tcBorders>
            <w:shd w:val="clear" w:color="auto" w:fill="B8B8B8"/>
          </w:tcPr>
          <w:p>
            <w:pPr>
              <w:spacing w:after="0"/>
              <w:rPr>
                <w:sz w:val="14"/>
                <w:szCs w:val="14"/>
                <w:color w:val="auto"/>
              </w:rPr>
            </w:pPr>
          </w:p>
        </w:tc>
        <w:tc>
          <w:tcPr>
            <w:tcW w:w="1780" w:type="dxa"/>
            <w:vAlign w:val="bottom"/>
            <w:tcBorders>
              <w:top w:val="single" w:sz="8" w:color="CC092F"/>
            </w:tcBorders>
            <w:shd w:val="clear" w:color="auto" w:fill="B8B8B8"/>
          </w:tcPr>
          <w:p>
            <w:pPr>
              <w:jc w:val="center"/>
              <w:ind w:left="281"/>
              <w:spacing w:after="0" w:line="172" w:lineRule="exact"/>
              <w:rPr>
                <w:sz w:val="20"/>
                <w:szCs w:val="20"/>
                <w:color w:val="auto"/>
              </w:rPr>
            </w:pPr>
            <w:r>
              <w:rPr>
                <w:rFonts w:ascii="Arial" w:cs="Arial" w:eastAsia="Arial" w:hAnsi="Arial"/>
                <w:sz w:val="16"/>
                <w:szCs w:val="16"/>
                <w:b w:val="1"/>
                <w:bCs w:val="1"/>
                <w:color w:val="FFFFFF"/>
                <w:w w:val="99"/>
              </w:rPr>
              <w:t>Base Salary</w:t>
            </w:r>
          </w:p>
        </w:tc>
        <w:tc>
          <w:tcPr>
            <w:tcW w:w="1440" w:type="dxa"/>
            <w:vAlign w:val="bottom"/>
            <w:tcBorders>
              <w:top w:val="single" w:sz="8" w:color="CC092F"/>
            </w:tcBorders>
            <w:shd w:val="clear" w:color="auto" w:fill="B8B8B8"/>
          </w:tcPr>
          <w:p>
            <w:pPr>
              <w:jc w:val="center"/>
              <w:ind w:right="101"/>
              <w:spacing w:after="0" w:line="172" w:lineRule="exact"/>
              <w:rPr>
                <w:sz w:val="20"/>
                <w:szCs w:val="20"/>
                <w:color w:val="auto"/>
              </w:rPr>
            </w:pPr>
            <w:r>
              <w:rPr>
                <w:rFonts w:ascii="Arial" w:cs="Arial" w:eastAsia="Arial" w:hAnsi="Arial"/>
                <w:sz w:val="16"/>
                <w:szCs w:val="16"/>
                <w:b w:val="1"/>
                <w:bCs w:val="1"/>
                <w:color w:val="FFFFFF"/>
                <w:w w:val="99"/>
              </w:rPr>
              <w:t>Base Salary</w:t>
            </w:r>
          </w:p>
        </w:tc>
        <w:tc>
          <w:tcPr>
            <w:tcW w:w="1040" w:type="dxa"/>
            <w:vAlign w:val="bottom"/>
            <w:tcBorders>
              <w:top w:val="single" w:sz="8" w:color="CC092F"/>
            </w:tcBorders>
            <w:shd w:val="clear" w:color="auto" w:fill="B8B8B8"/>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80" w:type="dxa"/>
            <w:vAlign w:val="bottom"/>
            <w:vMerge w:val="restart"/>
            <w:shd w:val="clear" w:color="auto" w:fill="B8B8B8"/>
          </w:tcPr>
          <w:p>
            <w:pPr>
              <w:ind w:left="180"/>
              <w:spacing w:after="0"/>
              <w:rPr>
                <w:sz w:val="20"/>
                <w:szCs w:val="20"/>
                <w:color w:val="auto"/>
              </w:rPr>
            </w:pPr>
            <w:r>
              <w:rPr>
                <w:rFonts w:ascii="Arial" w:cs="Arial" w:eastAsia="Arial" w:hAnsi="Arial"/>
                <w:sz w:val="16"/>
                <w:szCs w:val="16"/>
                <w:b w:val="1"/>
                <w:bCs w:val="1"/>
                <w:color w:val="FFFFFF"/>
              </w:rPr>
              <w:t>NEO</w:t>
            </w:r>
          </w:p>
        </w:tc>
        <w:tc>
          <w:tcPr>
            <w:tcW w:w="4600" w:type="dxa"/>
            <w:vAlign w:val="bottom"/>
            <w:vMerge w:val="restart"/>
            <w:shd w:val="clear" w:color="auto" w:fill="B8B8B8"/>
          </w:tcPr>
          <w:p>
            <w:pPr>
              <w:ind w:left="340"/>
              <w:spacing w:after="0"/>
              <w:rPr>
                <w:sz w:val="20"/>
                <w:szCs w:val="20"/>
                <w:color w:val="auto"/>
              </w:rPr>
            </w:pPr>
            <w:r>
              <w:rPr>
                <w:rFonts w:ascii="Arial" w:cs="Arial" w:eastAsia="Arial" w:hAnsi="Arial"/>
                <w:sz w:val="16"/>
                <w:szCs w:val="16"/>
                <w:b w:val="1"/>
                <w:bCs w:val="1"/>
                <w:color w:val="FFFFFF"/>
              </w:rPr>
              <w:t>Title</w:t>
            </w:r>
          </w:p>
        </w:tc>
        <w:tc>
          <w:tcPr>
            <w:tcW w:w="1780" w:type="dxa"/>
            <w:vAlign w:val="bottom"/>
            <w:shd w:val="clear" w:color="auto" w:fill="B8B8B8"/>
          </w:tcPr>
          <w:p>
            <w:pPr>
              <w:jc w:val="center"/>
              <w:ind w:left="321"/>
              <w:spacing w:after="0" w:line="159" w:lineRule="exact"/>
              <w:rPr>
                <w:sz w:val="20"/>
                <w:szCs w:val="20"/>
                <w:color w:val="auto"/>
              </w:rPr>
            </w:pPr>
            <w:r>
              <w:rPr>
                <w:rFonts w:ascii="Arial" w:cs="Arial" w:eastAsia="Arial" w:hAnsi="Arial"/>
                <w:sz w:val="16"/>
                <w:szCs w:val="16"/>
                <w:b w:val="1"/>
                <w:bCs w:val="1"/>
                <w:color w:val="FFFFFF"/>
              </w:rPr>
              <w:t>end of Fiscal</w:t>
            </w:r>
          </w:p>
        </w:tc>
        <w:tc>
          <w:tcPr>
            <w:tcW w:w="1440" w:type="dxa"/>
            <w:vAlign w:val="bottom"/>
            <w:shd w:val="clear" w:color="auto" w:fill="B8B8B8"/>
          </w:tcPr>
          <w:p>
            <w:pPr>
              <w:jc w:val="center"/>
              <w:ind w:right="41"/>
              <w:spacing w:after="0" w:line="159" w:lineRule="exact"/>
              <w:rPr>
                <w:sz w:val="20"/>
                <w:szCs w:val="20"/>
                <w:color w:val="auto"/>
              </w:rPr>
            </w:pPr>
            <w:r>
              <w:rPr>
                <w:rFonts w:ascii="Arial" w:cs="Arial" w:eastAsia="Arial" w:hAnsi="Arial"/>
                <w:sz w:val="16"/>
                <w:szCs w:val="16"/>
                <w:b w:val="1"/>
                <w:bCs w:val="1"/>
                <w:color w:val="FFFFFF"/>
                <w:w w:val="99"/>
              </w:rPr>
              <w:t>end of</w:t>
            </w:r>
          </w:p>
        </w:tc>
        <w:tc>
          <w:tcPr>
            <w:tcW w:w="1040" w:type="dxa"/>
            <w:vAlign w:val="bottom"/>
            <w:vMerge w:val="restart"/>
            <w:shd w:val="clear" w:color="auto" w:fill="B8B8B8"/>
          </w:tcPr>
          <w:p>
            <w:pPr>
              <w:ind w:left="100"/>
              <w:spacing w:after="0"/>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212"/>
        </w:trPr>
        <w:tc>
          <w:tcPr>
            <w:tcW w:w="2380" w:type="dxa"/>
            <w:vAlign w:val="bottom"/>
            <w:tcBorders>
              <w:bottom w:val="single" w:sz="8" w:color="CC092F"/>
            </w:tcBorders>
            <w:vMerge w:val="continue"/>
            <w:shd w:val="clear" w:color="auto" w:fill="B8B8B8"/>
          </w:tcPr>
          <w:p>
            <w:pPr>
              <w:spacing w:after="0"/>
              <w:rPr>
                <w:sz w:val="18"/>
                <w:szCs w:val="18"/>
                <w:color w:val="auto"/>
              </w:rPr>
            </w:pPr>
          </w:p>
        </w:tc>
        <w:tc>
          <w:tcPr>
            <w:tcW w:w="4600" w:type="dxa"/>
            <w:vAlign w:val="bottom"/>
            <w:tcBorders>
              <w:bottom w:val="single" w:sz="8" w:color="CC092F"/>
            </w:tcBorders>
            <w:vMerge w:val="continue"/>
            <w:shd w:val="clear" w:color="auto" w:fill="B8B8B8"/>
          </w:tcPr>
          <w:p>
            <w:pPr>
              <w:spacing w:after="0"/>
              <w:rPr>
                <w:sz w:val="18"/>
                <w:szCs w:val="18"/>
                <w:color w:val="auto"/>
              </w:rPr>
            </w:pPr>
          </w:p>
        </w:tc>
        <w:tc>
          <w:tcPr>
            <w:tcW w:w="1780" w:type="dxa"/>
            <w:vAlign w:val="bottom"/>
            <w:tcBorders>
              <w:bottom w:val="single" w:sz="8" w:color="CC092F"/>
            </w:tcBorders>
            <w:shd w:val="clear" w:color="auto" w:fill="B8B8B8"/>
          </w:tcPr>
          <w:p>
            <w:pPr>
              <w:jc w:val="center"/>
              <w:ind w:left="321"/>
              <w:spacing w:after="0"/>
              <w:rPr>
                <w:sz w:val="20"/>
                <w:szCs w:val="20"/>
                <w:color w:val="auto"/>
              </w:rPr>
            </w:pPr>
            <w:r>
              <w:rPr>
                <w:rFonts w:ascii="Arial" w:cs="Arial" w:eastAsia="Arial" w:hAnsi="Arial"/>
                <w:sz w:val="16"/>
                <w:szCs w:val="16"/>
                <w:b w:val="1"/>
                <w:bCs w:val="1"/>
                <w:color w:val="FFFFFF"/>
                <w:w w:val="98"/>
              </w:rPr>
              <w:t>Year 2020</w:t>
            </w:r>
          </w:p>
        </w:tc>
        <w:tc>
          <w:tcPr>
            <w:tcW w:w="1440" w:type="dxa"/>
            <w:vAlign w:val="bottom"/>
            <w:tcBorders>
              <w:bottom w:val="single" w:sz="8" w:color="CC092F"/>
            </w:tcBorders>
            <w:shd w:val="clear" w:color="auto" w:fill="B8B8B8"/>
          </w:tcPr>
          <w:p>
            <w:pPr>
              <w:jc w:val="center"/>
              <w:ind w:right="41"/>
              <w:spacing w:after="0"/>
              <w:rPr>
                <w:sz w:val="20"/>
                <w:szCs w:val="20"/>
                <w:color w:val="auto"/>
              </w:rPr>
            </w:pPr>
            <w:r>
              <w:rPr>
                <w:rFonts w:ascii="Arial" w:cs="Arial" w:eastAsia="Arial" w:hAnsi="Arial"/>
                <w:sz w:val="16"/>
                <w:szCs w:val="16"/>
                <w:b w:val="1"/>
                <w:bCs w:val="1"/>
                <w:color w:val="FFFFFF"/>
                <w:w w:val="99"/>
              </w:rPr>
              <w:t>Fiscal Year 2021</w:t>
            </w:r>
          </w:p>
        </w:tc>
        <w:tc>
          <w:tcPr>
            <w:tcW w:w="1040" w:type="dxa"/>
            <w:vAlign w:val="bottom"/>
            <w:tcBorders>
              <w:bottom w:val="single" w:sz="8" w:color="CC092F"/>
            </w:tcBorders>
            <w:vMerge w:val="continue"/>
            <w:shd w:val="clear" w:color="auto" w:fill="B8B8B8"/>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80" w:type="dxa"/>
            <w:vAlign w:val="bottom"/>
          </w:tcPr>
          <w:p>
            <w:pPr>
              <w:ind w:left="220"/>
              <w:spacing w:after="0"/>
              <w:rPr>
                <w:sz w:val="20"/>
                <w:szCs w:val="20"/>
                <w:color w:val="auto"/>
              </w:rPr>
            </w:pPr>
            <w:r>
              <w:rPr>
                <w:rFonts w:ascii="Arial" w:cs="Arial" w:eastAsia="Arial" w:hAnsi="Arial"/>
                <w:sz w:val="16"/>
                <w:szCs w:val="16"/>
                <w:color w:val="242424"/>
              </w:rPr>
              <w:t>Hock E. Tan</w:t>
            </w:r>
          </w:p>
        </w:tc>
        <w:tc>
          <w:tcPr>
            <w:tcW w:w="4600" w:type="dxa"/>
            <w:vAlign w:val="bottom"/>
          </w:tcPr>
          <w:p>
            <w:pPr>
              <w:ind w:left="380"/>
              <w:spacing w:after="0"/>
              <w:rPr>
                <w:sz w:val="20"/>
                <w:szCs w:val="20"/>
                <w:color w:val="auto"/>
              </w:rPr>
            </w:pPr>
            <w:r>
              <w:rPr>
                <w:rFonts w:ascii="Arial" w:cs="Arial" w:eastAsia="Arial" w:hAnsi="Arial"/>
                <w:sz w:val="16"/>
                <w:szCs w:val="16"/>
                <w:color w:val="242424"/>
              </w:rPr>
              <w:t>President and Chief Executive Officer</w:t>
            </w:r>
          </w:p>
        </w:tc>
        <w:tc>
          <w:tcPr>
            <w:tcW w:w="1780" w:type="dxa"/>
            <w:vAlign w:val="bottom"/>
          </w:tcPr>
          <w:p>
            <w:pPr>
              <w:jc w:val="right"/>
              <w:spacing w:after="0"/>
              <w:rPr>
                <w:sz w:val="20"/>
                <w:szCs w:val="20"/>
                <w:color w:val="auto"/>
              </w:rPr>
            </w:pPr>
            <w:r>
              <w:rPr>
                <w:rFonts w:ascii="Arial" w:cs="Arial" w:eastAsia="Arial" w:hAnsi="Arial"/>
                <w:sz w:val="16"/>
                <w:szCs w:val="16"/>
                <w:color w:val="242424"/>
              </w:rPr>
              <w:t>$ 1,200,000</w:t>
            </w:r>
          </w:p>
        </w:tc>
        <w:tc>
          <w:tcPr>
            <w:tcW w:w="1440" w:type="dxa"/>
            <w:vAlign w:val="bottom"/>
          </w:tcPr>
          <w:p>
            <w:pPr>
              <w:jc w:val="right"/>
              <w:ind w:right="21"/>
              <w:spacing w:after="0"/>
              <w:rPr>
                <w:sz w:val="20"/>
                <w:szCs w:val="20"/>
                <w:color w:val="auto"/>
              </w:rPr>
            </w:pPr>
            <w:r>
              <w:rPr>
                <w:rFonts w:ascii="Arial" w:cs="Arial" w:eastAsia="Arial" w:hAnsi="Arial"/>
                <w:sz w:val="16"/>
                <w:szCs w:val="16"/>
                <w:color w:val="242424"/>
              </w:rPr>
              <w:t>$ 1,200,000</w:t>
            </w:r>
          </w:p>
        </w:tc>
        <w:tc>
          <w:tcPr>
            <w:tcW w:w="1040" w:type="dxa"/>
            <w:vAlign w:val="bottom"/>
          </w:tcPr>
          <w:p>
            <w:pPr>
              <w:jc w:val="center"/>
              <w:ind w:right="1"/>
              <w:spacing w:after="0"/>
              <w:rPr>
                <w:sz w:val="20"/>
                <w:szCs w:val="20"/>
                <w:color w:val="auto"/>
              </w:rPr>
            </w:pPr>
            <w:r>
              <w:rPr>
                <w:rFonts w:ascii="Arial" w:cs="Arial" w:eastAsia="Arial" w:hAnsi="Arial"/>
                <w:sz w:val="16"/>
                <w:szCs w:val="16"/>
                <w:color w:val="242424"/>
                <w:w w:val="98"/>
              </w:rPr>
              <w:t>0.0%</w:t>
            </w:r>
          </w:p>
        </w:tc>
        <w:tc>
          <w:tcPr>
            <w:tcW w:w="0" w:type="dxa"/>
            <w:vAlign w:val="bottom"/>
          </w:tcPr>
          <w:p>
            <w:pPr>
              <w:spacing w:after="0"/>
              <w:rPr>
                <w:sz w:val="1"/>
                <w:szCs w:val="1"/>
                <w:color w:val="auto"/>
              </w:rPr>
            </w:pPr>
          </w:p>
        </w:tc>
      </w:tr>
      <w:tr>
        <w:trPr>
          <w:trHeight w:val="32"/>
        </w:trPr>
        <w:tc>
          <w:tcPr>
            <w:tcW w:w="23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380" w:type="dxa"/>
            <w:vAlign w:val="bottom"/>
            <w:tcBorders>
              <w:bottom w:val="single" w:sz="8" w:color="EAEAEA"/>
            </w:tcBorders>
            <w:shd w:val="clear" w:color="auto" w:fill="EAEAEA"/>
          </w:tcPr>
          <w:p>
            <w:pPr>
              <w:ind w:left="220"/>
              <w:spacing w:after="0"/>
              <w:rPr>
                <w:sz w:val="20"/>
                <w:szCs w:val="20"/>
                <w:color w:val="auto"/>
              </w:rPr>
            </w:pPr>
            <w:r>
              <w:rPr>
                <w:rFonts w:ascii="Arial" w:cs="Arial" w:eastAsia="Arial" w:hAnsi="Arial"/>
                <w:sz w:val="16"/>
                <w:szCs w:val="16"/>
                <w:color w:val="242424"/>
              </w:rPr>
              <w:t>Kirsten M. Spears</w:t>
            </w:r>
          </w:p>
        </w:tc>
        <w:tc>
          <w:tcPr>
            <w:tcW w:w="4600" w:type="dxa"/>
            <w:vAlign w:val="bottom"/>
            <w:tcBorders>
              <w:bottom w:val="single" w:sz="8" w:color="EAEAEA"/>
            </w:tcBorders>
            <w:shd w:val="clear" w:color="auto" w:fill="EAEAEA"/>
          </w:tcPr>
          <w:p>
            <w:pPr>
              <w:ind w:left="380"/>
              <w:spacing w:after="0"/>
              <w:rPr>
                <w:sz w:val="20"/>
                <w:szCs w:val="20"/>
                <w:color w:val="auto"/>
              </w:rPr>
            </w:pPr>
            <w:r>
              <w:rPr>
                <w:rFonts w:ascii="Arial" w:cs="Arial" w:eastAsia="Arial" w:hAnsi="Arial"/>
                <w:sz w:val="16"/>
                <w:szCs w:val="16"/>
                <w:color w:val="242424"/>
              </w:rPr>
              <w:t>Chief Financial Officer and Chief Accounting Officer</w:t>
            </w:r>
          </w:p>
        </w:tc>
        <w:tc>
          <w:tcPr>
            <w:tcW w:w="1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242424"/>
              </w:rPr>
              <w:t>$ 332,964</w:t>
            </w:r>
          </w:p>
        </w:tc>
        <w:tc>
          <w:tcPr>
            <w:tcW w:w="1440" w:type="dxa"/>
            <w:vAlign w:val="bottom"/>
            <w:tcBorders>
              <w:bottom w:val="single" w:sz="8" w:color="EAEAEA"/>
            </w:tcBorders>
            <w:shd w:val="clear" w:color="auto" w:fill="EAEAEA"/>
          </w:tcPr>
          <w:p>
            <w:pPr>
              <w:jc w:val="right"/>
              <w:ind w:right="21"/>
              <w:spacing w:after="0"/>
              <w:rPr>
                <w:sz w:val="20"/>
                <w:szCs w:val="20"/>
                <w:color w:val="auto"/>
              </w:rPr>
            </w:pPr>
            <w:r>
              <w:rPr>
                <w:rFonts w:ascii="Arial" w:cs="Arial" w:eastAsia="Arial" w:hAnsi="Arial"/>
                <w:sz w:val="16"/>
                <w:szCs w:val="16"/>
                <w:color w:val="242424"/>
              </w:rPr>
              <w:t>$ 400,000</w:t>
            </w:r>
          </w:p>
        </w:tc>
        <w:tc>
          <w:tcPr>
            <w:tcW w:w="1040" w:type="dxa"/>
            <w:vAlign w:val="bottom"/>
            <w:tcBorders>
              <w:bottom w:val="single" w:sz="8" w:color="EAEAEA"/>
            </w:tcBorders>
            <w:shd w:val="clear" w:color="auto" w:fill="EAEAEA"/>
          </w:tcPr>
          <w:p>
            <w:pPr>
              <w:jc w:val="center"/>
              <w:ind w:right="1"/>
              <w:spacing w:after="0"/>
              <w:rPr>
                <w:sz w:val="20"/>
                <w:szCs w:val="20"/>
                <w:color w:val="auto"/>
              </w:rPr>
            </w:pPr>
            <w:r>
              <w:rPr>
                <w:rFonts w:ascii="Arial" w:cs="Arial" w:eastAsia="Arial" w:hAnsi="Arial"/>
                <w:sz w:val="16"/>
                <w:szCs w:val="16"/>
                <w:color w:val="242424"/>
                <w:w w:val="96"/>
              </w:rPr>
              <w:t>20.1%</w:t>
            </w:r>
          </w:p>
        </w:tc>
        <w:tc>
          <w:tcPr>
            <w:tcW w:w="0" w:type="dxa"/>
            <w:vAlign w:val="bottom"/>
          </w:tcPr>
          <w:p>
            <w:pPr>
              <w:spacing w:after="0"/>
              <w:rPr>
                <w:sz w:val="1"/>
                <w:szCs w:val="1"/>
                <w:color w:val="auto"/>
              </w:rPr>
            </w:pPr>
          </w:p>
        </w:tc>
      </w:tr>
      <w:tr>
        <w:trPr>
          <w:trHeight w:val="247"/>
        </w:trPr>
        <w:tc>
          <w:tcPr>
            <w:tcW w:w="2380" w:type="dxa"/>
            <w:vAlign w:val="bottom"/>
          </w:tcPr>
          <w:p>
            <w:pPr>
              <w:ind w:left="220"/>
              <w:spacing w:after="0"/>
              <w:rPr>
                <w:sz w:val="20"/>
                <w:szCs w:val="20"/>
                <w:color w:val="auto"/>
              </w:rPr>
            </w:pPr>
            <w:r>
              <w:rPr>
                <w:rFonts w:ascii="Arial" w:cs="Arial" w:eastAsia="Arial" w:hAnsi="Arial"/>
                <w:sz w:val="16"/>
                <w:szCs w:val="16"/>
                <w:color w:val="242424"/>
              </w:rPr>
              <w:t>Mark D. Brazeal</w:t>
            </w:r>
          </w:p>
        </w:tc>
        <w:tc>
          <w:tcPr>
            <w:tcW w:w="4600" w:type="dxa"/>
            <w:vAlign w:val="bottom"/>
          </w:tcPr>
          <w:p>
            <w:pPr>
              <w:ind w:left="380"/>
              <w:spacing w:after="0"/>
              <w:rPr>
                <w:sz w:val="20"/>
                <w:szCs w:val="20"/>
                <w:color w:val="auto"/>
              </w:rPr>
            </w:pPr>
            <w:r>
              <w:rPr>
                <w:rFonts w:ascii="Arial" w:cs="Arial" w:eastAsia="Arial" w:hAnsi="Arial"/>
                <w:sz w:val="16"/>
                <w:szCs w:val="16"/>
                <w:color w:val="242424"/>
              </w:rPr>
              <w:t>Chief Legal and Corporate Affairs Officer</w:t>
            </w:r>
          </w:p>
        </w:tc>
        <w:tc>
          <w:tcPr>
            <w:tcW w:w="1780" w:type="dxa"/>
            <w:vAlign w:val="bottom"/>
          </w:tcPr>
          <w:p>
            <w:pPr>
              <w:jc w:val="right"/>
              <w:spacing w:after="0"/>
              <w:rPr>
                <w:sz w:val="20"/>
                <w:szCs w:val="20"/>
                <w:color w:val="auto"/>
              </w:rPr>
            </w:pPr>
            <w:r>
              <w:rPr>
                <w:rFonts w:ascii="Arial" w:cs="Arial" w:eastAsia="Arial" w:hAnsi="Arial"/>
                <w:sz w:val="16"/>
                <w:szCs w:val="16"/>
                <w:color w:val="242424"/>
              </w:rPr>
              <w:t>$ 500,000</w:t>
            </w:r>
          </w:p>
        </w:tc>
        <w:tc>
          <w:tcPr>
            <w:tcW w:w="1440" w:type="dxa"/>
            <w:vAlign w:val="bottom"/>
          </w:tcPr>
          <w:p>
            <w:pPr>
              <w:jc w:val="right"/>
              <w:ind w:right="21"/>
              <w:spacing w:after="0"/>
              <w:rPr>
                <w:sz w:val="20"/>
                <w:szCs w:val="20"/>
                <w:color w:val="auto"/>
              </w:rPr>
            </w:pPr>
            <w:r>
              <w:rPr>
                <w:rFonts w:ascii="Arial" w:cs="Arial" w:eastAsia="Arial" w:hAnsi="Arial"/>
                <w:sz w:val="16"/>
                <w:szCs w:val="16"/>
                <w:color w:val="242424"/>
              </w:rPr>
              <w:t>$ 500,000</w:t>
            </w:r>
          </w:p>
        </w:tc>
        <w:tc>
          <w:tcPr>
            <w:tcW w:w="1040" w:type="dxa"/>
            <w:vAlign w:val="bottom"/>
          </w:tcPr>
          <w:p>
            <w:pPr>
              <w:jc w:val="center"/>
              <w:ind w:right="1"/>
              <w:spacing w:after="0"/>
              <w:rPr>
                <w:sz w:val="20"/>
                <w:szCs w:val="20"/>
                <w:color w:val="auto"/>
              </w:rPr>
            </w:pPr>
            <w:r>
              <w:rPr>
                <w:rFonts w:ascii="Arial" w:cs="Arial" w:eastAsia="Arial" w:hAnsi="Arial"/>
                <w:sz w:val="16"/>
                <w:szCs w:val="16"/>
                <w:color w:val="242424"/>
                <w:w w:val="98"/>
              </w:rPr>
              <w:t>0.0%</w:t>
            </w:r>
          </w:p>
        </w:tc>
        <w:tc>
          <w:tcPr>
            <w:tcW w:w="0" w:type="dxa"/>
            <w:vAlign w:val="bottom"/>
          </w:tcPr>
          <w:p>
            <w:pPr>
              <w:spacing w:after="0"/>
              <w:rPr>
                <w:sz w:val="1"/>
                <w:szCs w:val="1"/>
                <w:color w:val="auto"/>
              </w:rPr>
            </w:pPr>
          </w:p>
        </w:tc>
      </w:tr>
      <w:tr>
        <w:trPr>
          <w:trHeight w:val="32"/>
        </w:trPr>
        <w:tc>
          <w:tcPr>
            <w:tcW w:w="23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380" w:type="dxa"/>
            <w:vAlign w:val="bottom"/>
            <w:tcBorders>
              <w:bottom w:val="single" w:sz="8" w:color="EAEAEA"/>
            </w:tcBorders>
            <w:shd w:val="clear" w:color="auto" w:fill="EAEAEA"/>
          </w:tcPr>
          <w:p>
            <w:pPr>
              <w:ind w:left="220"/>
              <w:spacing w:after="0"/>
              <w:rPr>
                <w:sz w:val="20"/>
                <w:szCs w:val="20"/>
                <w:color w:val="auto"/>
              </w:rPr>
            </w:pPr>
            <w:r>
              <w:rPr>
                <w:rFonts w:ascii="Arial" w:cs="Arial" w:eastAsia="Arial" w:hAnsi="Arial"/>
                <w:sz w:val="16"/>
                <w:szCs w:val="16"/>
                <w:color w:val="242424"/>
              </w:rPr>
              <w:t>Charlie B. Kawwas, Ph.D.</w:t>
            </w:r>
          </w:p>
        </w:tc>
        <w:tc>
          <w:tcPr>
            <w:tcW w:w="4600" w:type="dxa"/>
            <w:vAlign w:val="bottom"/>
            <w:tcBorders>
              <w:bottom w:val="single" w:sz="8" w:color="EAEAEA"/>
            </w:tcBorders>
            <w:shd w:val="clear" w:color="auto" w:fill="EAEAEA"/>
          </w:tcPr>
          <w:p>
            <w:pPr>
              <w:ind w:left="380"/>
              <w:spacing w:after="0"/>
              <w:rPr>
                <w:sz w:val="20"/>
                <w:szCs w:val="20"/>
                <w:color w:val="auto"/>
              </w:rPr>
            </w:pPr>
            <w:r>
              <w:rPr>
                <w:rFonts w:ascii="Arial" w:cs="Arial" w:eastAsia="Arial" w:hAnsi="Arial"/>
                <w:sz w:val="16"/>
                <w:szCs w:val="16"/>
                <w:color w:val="242424"/>
              </w:rPr>
              <w:t>Chief Operating Officer</w:t>
            </w:r>
          </w:p>
        </w:tc>
        <w:tc>
          <w:tcPr>
            <w:tcW w:w="1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242424"/>
              </w:rPr>
              <w:t>$ 500,000</w:t>
            </w:r>
          </w:p>
        </w:tc>
        <w:tc>
          <w:tcPr>
            <w:tcW w:w="1440" w:type="dxa"/>
            <w:vAlign w:val="bottom"/>
            <w:tcBorders>
              <w:bottom w:val="single" w:sz="8" w:color="EAEAEA"/>
            </w:tcBorders>
            <w:shd w:val="clear" w:color="auto" w:fill="EAEAEA"/>
          </w:tcPr>
          <w:p>
            <w:pPr>
              <w:jc w:val="right"/>
              <w:ind w:right="21"/>
              <w:spacing w:after="0"/>
              <w:rPr>
                <w:sz w:val="20"/>
                <w:szCs w:val="20"/>
                <w:color w:val="auto"/>
              </w:rPr>
            </w:pPr>
            <w:r>
              <w:rPr>
                <w:rFonts w:ascii="Arial" w:cs="Arial" w:eastAsia="Arial" w:hAnsi="Arial"/>
                <w:sz w:val="16"/>
                <w:szCs w:val="16"/>
                <w:color w:val="242424"/>
              </w:rPr>
              <w:t>$ 700,000</w:t>
            </w:r>
          </w:p>
        </w:tc>
        <w:tc>
          <w:tcPr>
            <w:tcW w:w="1040" w:type="dxa"/>
            <w:vAlign w:val="bottom"/>
            <w:tcBorders>
              <w:bottom w:val="single" w:sz="8" w:color="EAEAEA"/>
            </w:tcBorders>
            <w:shd w:val="clear" w:color="auto" w:fill="EAEAEA"/>
          </w:tcPr>
          <w:p>
            <w:pPr>
              <w:jc w:val="center"/>
              <w:ind w:right="1"/>
              <w:spacing w:after="0"/>
              <w:rPr>
                <w:sz w:val="20"/>
                <w:szCs w:val="20"/>
                <w:color w:val="auto"/>
              </w:rPr>
            </w:pPr>
            <w:r>
              <w:rPr>
                <w:rFonts w:ascii="Arial" w:cs="Arial" w:eastAsia="Arial" w:hAnsi="Arial"/>
                <w:sz w:val="16"/>
                <w:szCs w:val="16"/>
                <w:color w:val="242424"/>
                <w:w w:val="96"/>
              </w:rPr>
              <w:t>40.0%</w:t>
            </w:r>
          </w:p>
        </w:tc>
        <w:tc>
          <w:tcPr>
            <w:tcW w:w="0" w:type="dxa"/>
            <w:vAlign w:val="bottom"/>
          </w:tcPr>
          <w:p>
            <w:pPr>
              <w:spacing w:after="0"/>
              <w:rPr>
                <w:sz w:val="1"/>
                <w:szCs w:val="1"/>
                <w:color w:val="auto"/>
              </w:rPr>
            </w:pPr>
          </w:p>
        </w:tc>
      </w:tr>
      <w:tr>
        <w:trPr>
          <w:trHeight w:val="247"/>
        </w:trPr>
        <w:tc>
          <w:tcPr>
            <w:tcW w:w="2380" w:type="dxa"/>
            <w:vAlign w:val="bottom"/>
          </w:tcPr>
          <w:p>
            <w:pPr>
              <w:ind w:left="220"/>
              <w:spacing w:after="0"/>
              <w:rPr>
                <w:sz w:val="20"/>
                <w:szCs w:val="20"/>
                <w:color w:val="auto"/>
              </w:rPr>
            </w:pPr>
            <w:r>
              <w:rPr>
                <w:rFonts w:ascii="Arial" w:cs="Arial" w:eastAsia="Arial" w:hAnsi="Arial"/>
                <w:sz w:val="16"/>
                <w:szCs w:val="16"/>
                <w:color w:val="242424"/>
              </w:rPr>
              <w:t>Thomas H. Krause, Jr.</w:t>
            </w:r>
          </w:p>
        </w:tc>
        <w:tc>
          <w:tcPr>
            <w:tcW w:w="4600" w:type="dxa"/>
            <w:vAlign w:val="bottom"/>
          </w:tcPr>
          <w:p>
            <w:pPr>
              <w:ind w:left="380"/>
              <w:spacing w:after="0"/>
              <w:rPr>
                <w:sz w:val="20"/>
                <w:szCs w:val="20"/>
                <w:color w:val="auto"/>
              </w:rPr>
            </w:pPr>
            <w:r>
              <w:rPr>
                <w:rFonts w:ascii="Arial" w:cs="Arial" w:eastAsia="Arial" w:hAnsi="Arial"/>
                <w:sz w:val="16"/>
                <w:szCs w:val="16"/>
                <w:color w:val="242424"/>
              </w:rPr>
              <w:t>President, Broadcom Software Group</w:t>
            </w:r>
          </w:p>
        </w:tc>
        <w:tc>
          <w:tcPr>
            <w:tcW w:w="1780" w:type="dxa"/>
            <w:vAlign w:val="bottom"/>
          </w:tcPr>
          <w:p>
            <w:pPr>
              <w:jc w:val="right"/>
              <w:spacing w:after="0"/>
              <w:rPr>
                <w:sz w:val="20"/>
                <w:szCs w:val="20"/>
                <w:color w:val="auto"/>
              </w:rPr>
            </w:pPr>
            <w:r>
              <w:rPr>
                <w:rFonts w:ascii="Arial" w:cs="Arial" w:eastAsia="Arial" w:hAnsi="Arial"/>
                <w:sz w:val="16"/>
                <w:szCs w:val="16"/>
                <w:color w:val="242424"/>
              </w:rPr>
              <w:t>$ 500,000</w:t>
            </w:r>
          </w:p>
        </w:tc>
        <w:tc>
          <w:tcPr>
            <w:tcW w:w="1440" w:type="dxa"/>
            <w:vAlign w:val="bottom"/>
          </w:tcPr>
          <w:p>
            <w:pPr>
              <w:jc w:val="right"/>
              <w:ind w:right="21"/>
              <w:spacing w:after="0"/>
              <w:rPr>
                <w:sz w:val="20"/>
                <w:szCs w:val="20"/>
                <w:color w:val="auto"/>
              </w:rPr>
            </w:pPr>
            <w:r>
              <w:rPr>
                <w:rFonts w:ascii="Arial" w:cs="Arial" w:eastAsia="Arial" w:hAnsi="Arial"/>
                <w:sz w:val="16"/>
                <w:szCs w:val="16"/>
                <w:color w:val="242424"/>
              </w:rPr>
              <w:t>$ 700,000</w:t>
            </w:r>
          </w:p>
        </w:tc>
        <w:tc>
          <w:tcPr>
            <w:tcW w:w="1040" w:type="dxa"/>
            <w:vAlign w:val="bottom"/>
          </w:tcPr>
          <w:p>
            <w:pPr>
              <w:jc w:val="center"/>
              <w:ind w:right="1"/>
              <w:spacing w:after="0"/>
              <w:rPr>
                <w:sz w:val="20"/>
                <w:szCs w:val="20"/>
                <w:color w:val="auto"/>
              </w:rPr>
            </w:pPr>
            <w:r>
              <w:rPr>
                <w:rFonts w:ascii="Arial" w:cs="Arial" w:eastAsia="Arial" w:hAnsi="Arial"/>
                <w:sz w:val="16"/>
                <w:szCs w:val="16"/>
                <w:color w:val="242424"/>
                <w:w w:val="96"/>
              </w:rPr>
              <w:t>40.0%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Annual Cash Incentive Bonus Plan</w:t>
      </w:r>
    </w:p>
    <w:p>
      <w:pPr>
        <w:spacing w:after="0" w:line="19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242424"/>
        </w:rPr>
        <w:t>We believe that a significant portion of our executive officers’ target total direct compensation should be dependent upon performance. Accordingly, we use the APB Plan to provide a performance-based annual cash incentive bonus opportunity for our executive officers. The APB Plan is designed to encourage and motivate our executive officers to achieve our overall corporate goals for the fiscal year, as well as divisional goals where appropriate, and to drive positive contributions to Broadcom’s growth and performance.</w:t>
      </w:r>
    </w:p>
    <w:p>
      <w:pPr>
        <w:spacing w:after="0" w:line="15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242424"/>
        </w:rPr>
        <w:t>Each executive officer is annually assigned a specified target annual cash incentive bonus opportunity under the APB Plan, expressed as a percentage of the executive officer’s eligible earnings. The Compensation Committee considers compensation peer group and market data in determining the executive officer’s target annual cash incentive opportunity. In the case of our CEO, the Compensation Committee includes the data in its recommendation to the independent directors. The Compensation Committee and the independent directors also consider other factors that influence corporate and operational results, such as the executive’s experience, performance, leadership and responsibility.</w:t>
      </w:r>
    </w:p>
    <w:p>
      <w:pPr>
        <w:spacing w:after="0" w:line="200" w:lineRule="exact"/>
        <w:rPr>
          <w:sz w:val="20"/>
          <w:szCs w:val="20"/>
          <w:color w:val="auto"/>
        </w:rPr>
      </w:pPr>
    </w:p>
    <w:p>
      <w:pPr>
        <w:spacing w:after="0" w:line="234"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33</w:t>
      </w:r>
    </w:p>
    <w:p>
      <w:pPr>
        <w:sectPr>
          <w:pgSz w:w="11900" w:h="16838" w:orient="portrait"/>
          <w:cols w:equalWidth="0" w:num="1">
            <w:col w:w="11240"/>
          </w:cols>
          <w:pgMar w:left="320" w:top="181"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Fiscal Year 2021 APB Plan</w:t>
      </w:r>
    </w:p>
    <w:p>
      <w:pPr>
        <w:spacing w:after="0" w:line="18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242424"/>
        </w:rPr>
        <w:t>In consultation with Compensia, the Compensation Committee increased the target annual cash incentive opportunity for Ms. Spears to 100% of her eligible earnings from 50%, effective December 10, 2020, in connection with her promotion to CFO and to bring it in line with the competitive market levels for her position and the other NEOs. The other NEOs’ target annual cash incentive bonus opportunity as a percentage of their eligible earnings did not change in Fiscal Year 2021.</w:t>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3660" w:type="dxa"/>
            <w:vAlign w:val="bottom"/>
            <w:tcBorders>
              <w:top w:val="single" w:sz="8" w:color="CC092F"/>
            </w:tcBorders>
            <w:shd w:val="clear" w:color="auto" w:fill="B8B8B8"/>
          </w:tcPr>
          <w:p>
            <w:pPr>
              <w:spacing w:after="0"/>
              <w:rPr>
                <w:sz w:val="14"/>
                <w:szCs w:val="14"/>
                <w:color w:val="auto"/>
              </w:rPr>
            </w:pPr>
          </w:p>
        </w:tc>
        <w:tc>
          <w:tcPr>
            <w:tcW w:w="4160" w:type="dxa"/>
            <w:vAlign w:val="bottom"/>
            <w:tcBorders>
              <w:top w:val="single" w:sz="8" w:color="CC092F"/>
            </w:tcBorders>
            <w:shd w:val="clear" w:color="auto" w:fill="B8B8B8"/>
          </w:tcPr>
          <w:p>
            <w:pPr>
              <w:jc w:val="center"/>
              <w:ind w:left="1361"/>
              <w:spacing w:after="0" w:line="172" w:lineRule="exact"/>
              <w:rPr>
                <w:sz w:val="20"/>
                <w:szCs w:val="20"/>
                <w:color w:val="auto"/>
              </w:rPr>
            </w:pPr>
            <w:r>
              <w:rPr>
                <w:rFonts w:ascii="Arial" w:cs="Arial" w:eastAsia="Arial" w:hAnsi="Arial"/>
                <w:sz w:val="16"/>
                <w:szCs w:val="16"/>
                <w:b w:val="1"/>
                <w:bCs w:val="1"/>
                <w:color w:val="FFFFFF"/>
                <w:w w:val="99"/>
              </w:rPr>
              <w:t>Fiscal Year 2020</w:t>
            </w:r>
          </w:p>
        </w:tc>
        <w:tc>
          <w:tcPr>
            <w:tcW w:w="2760" w:type="dxa"/>
            <w:vAlign w:val="bottom"/>
            <w:tcBorders>
              <w:top w:val="single" w:sz="8" w:color="CC092F"/>
            </w:tcBorders>
            <w:shd w:val="clear" w:color="auto" w:fill="B8B8B8"/>
          </w:tcPr>
          <w:p>
            <w:pPr>
              <w:jc w:val="center"/>
              <w:spacing w:after="0" w:line="172" w:lineRule="exact"/>
              <w:rPr>
                <w:sz w:val="20"/>
                <w:szCs w:val="20"/>
                <w:color w:val="auto"/>
              </w:rPr>
            </w:pPr>
            <w:r>
              <w:rPr>
                <w:rFonts w:ascii="Arial" w:cs="Arial" w:eastAsia="Arial" w:hAnsi="Arial"/>
                <w:sz w:val="16"/>
                <w:szCs w:val="16"/>
                <w:b w:val="1"/>
                <w:bCs w:val="1"/>
                <w:color w:val="FFFFFF"/>
                <w:w w:val="99"/>
              </w:rPr>
              <w:t>Fiscal Year 2021</w:t>
            </w:r>
          </w:p>
        </w:tc>
        <w:tc>
          <w:tcPr>
            <w:tcW w:w="0" w:type="dxa"/>
            <w:vAlign w:val="bottom"/>
          </w:tcPr>
          <w:p>
            <w:pPr>
              <w:spacing w:after="0"/>
              <w:rPr>
                <w:sz w:val="1"/>
                <w:szCs w:val="1"/>
                <w:color w:val="auto"/>
              </w:rPr>
            </w:pPr>
          </w:p>
        </w:tc>
      </w:tr>
      <w:tr>
        <w:trPr>
          <w:trHeight w:val="159"/>
        </w:trPr>
        <w:tc>
          <w:tcPr>
            <w:tcW w:w="3660" w:type="dxa"/>
            <w:vAlign w:val="bottom"/>
            <w:vMerge w:val="restart"/>
            <w:shd w:val="clear" w:color="auto" w:fill="B8B8B8"/>
          </w:tcPr>
          <w:p>
            <w:pPr>
              <w:ind w:left="100"/>
              <w:spacing w:after="0"/>
              <w:rPr>
                <w:sz w:val="20"/>
                <w:szCs w:val="20"/>
                <w:color w:val="auto"/>
              </w:rPr>
            </w:pPr>
            <w:r>
              <w:rPr>
                <w:rFonts w:ascii="Arial" w:cs="Arial" w:eastAsia="Arial" w:hAnsi="Arial"/>
                <w:sz w:val="16"/>
                <w:szCs w:val="16"/>
                <w:b w:val="1"/>
                <w:bCs w:val="1"/>
                <w:color w:val="FFFFFF"/>
              </w:rPr>
              <w:t>NEO</w:t>
            </w:r>
          </w:p>
        </w:tc>
        <w:tc>
          <w:tcPr>
            <w:tcW w:w="4160" w:type="dxa"/>
            <w:vAlign w:val="bottom"/>
            <w:shd w:val="clear" w:color="auto" w:fill="B8B8B8"/>
          </w:tcPr>
          <w:p>
            <w:pPr>
              <w:jc w:val="center"/>
              <w:ind w:left="1301"/>
              <w:spacing w:after="0" w:line="159" w:lineRule="exact"/>
              <w:rPr>
                <w:sz w:val="20"/>
                <w:szCs w:val="20"/>
                <w:color w:val="auto"/>
              </w:rPr>
            </w:pPr>
            <w:r>
              <w:rPr>
                <w:rFonts w:ascii="Arial" w:cs="Arial" w:eastAsia="Arial" w:hAnsi="Arial"/>
                <w:sz w:val="16"/>
                <w:szCs w:val="16"/>
                <w:b w:val="1"/>
                <w:bCs w:val="1"/>
                <w:color w:val="FFFFFF"/>
                <w:w w:val="99"/>
              </w:rPr>
              <w:t>APB Plan Target Bonus</w:t>
            </w:r>
          </w:p>
        </w:tc>
        <w:tc>
          <w:tcPr>
            <w:tcW w:w="2760" w:type="dxa"/>
            <w:vAlign w:val="bottom"/>
            <w:shd w:val="clear" w:color="auto" w:fill="B8B8B8"/>
          </w:tcPr>
          <w:p>
            <w:pPr>
              <w:jc w:val="center"/>
              <w:ind w:right="1"/>
              <w:spacing w:after="0" w:line="159" w:lineRule="exact"/>
              <w:rPr>
                <w:sz w:val="20"/>
                <w:szCs w:val="20"/>
                <w:color w:val="auto"/>
              </w:rPr>
            </w:pPr>
            <w:r>
              <w:rPr>
                <w:rFonts w:ascii="Arial" w:cs="Arial" w:eastAsia="Arial" w:hAnsi="Arial"/>
                <w:sz w:val="16"/>
                <w:szCs w:val="16"/>
                <w:b w:val="1"/>
                <w:bCs w:val="1"/>
                <w:color w:val="FFFFFF"/>
                <w:w w:val="97"/>
              </w:rPr>
              <w:t>APB Plan Target Bonus</w:t>
            </w:r>
          </w:p>
        </w:tc>
        <w:tc>
          <w:tcPr>
            <w:tcW w:w="0" w:type="dxa"/>
            <w:vAlign w:val="bottom"/>
          </w:tcPr>
          <w:p>
            <w:pPr>
              <w:spacing w:after="0"/>
              <w:rPr>
                <w:sz w:val="1"/>
                <w:szCs w:val="1"/>
                <w:color w:val="auto"/>
              </w:rPr>
            </w:pPr>
          </w:p>
        </w:tc>
      </w:tr>
      <w:tr>
        <w:trPr>
          <w:trHeight w:val="212"/>
        </w:trPr>
        <w:tc>
          <w:tcPr>
            <w:tcW w:w="3660" w:type="dxa"/>
            <w:vAlign w:val="bottom"/>
            <w:tcBorders>
              <w:bottom w:val="single" w:sz="8" w:color="CC092F"/>
            </w:tcBorders>
            <w:vMerge w:val="continue"/>
            <w:shd w:val="clear" w:color="auto" w:fill="B8B8B8"/>
          </w:tcPr>
          <w:p>
            <w:pPr>
              <w:spacing w:after="0"/>
              <w:rPr>
                <w:sz w:val="18"/>
                <w:szCs w:val="18"/>
                <w:color w:val="auto"/>
              </w:rPr>
            </w:pPr>
          </w:p>
        </w:tc>
        <w:tc>
          <w:tcPr>
            <w:tcW w:w="4160" w:type="dxa"/>
            <w:vAlign w:val="bottom"/>
            <w:tcBorders>
              <w:bottom w:val="single" w:sz="8" w:color="CC092F"/>
            </w:tcBorders>
            <w:shd w:val="clear" w:color="auto" w:fill="B8B8B8"/>
          </w:tcPr>
          <w:p>
            <w:pPr>
              <w:jc w:val="center"/>
              <w:ind w:left="1341"/>
              <w:spacing w:after="0"/>
              <w:rPr>
                <w:sz w:val="20"/>
                <w:szCs w:val="20"/>
                <w:color w:val="auto"/>
              </w:rPr>
            </w:pPr>
            <w:r>
              <w:rPr>
                <w:rFonts w:ascii="Arial" w:cs="Arial" w:eastAsia="Arial" w:hAnsi="Arial"/>
                <w:sz w:val="16"/>
                <w:szCs w:val="16"/>
                <w:b w:val="1"/>
                <w:bCs w:val="1"/>
                <w:color w:val="FFFFFF"/>
                <w:w w:val="99"/>
              </w:rPr>
              <w:t>(as a % of eligible earnings)</w:t>
            </w:r>
          </w:p>
        </w:tc>
        <w:tc>
          <w:tcPr>
            <w:tcW w:w="276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6"/>
                <w:szCs w:val="16"/>
                <w:b w:val="1"/>
                <w:bCs w:val="1"/>
                <w:color w:val="FFFFFF"/>
                <w:w w:val="98"/>
              </w:rPr>
              <w:t>(as a % of eligible earnings)</w:t>
            </w:r>
          </w:p>
        </w:tc>
        <w:tc>
          <w:tcPr>
            <w:tcW w:w="0" w:type="dxa"/>
            <w:vAlign w:val="bottom"/>
          </w:tcPr>
          <w:p>
            <w:pPr>
              <w:spacing w:after="0"/>
              <w:rPr>
                <w:sz w:val="1"/>
                <w:szCs w:val="1"/>
                <w:color w:val="auto"/>
              </w:rPr>
            </w:pPr>
          </w:p>
        </w:tc>
      </w:tr>
      <w:tr>
        <w:trPr>
          <w:trHeight w:val="203"/>
        </w:trPr>
        <w:tc>
          <w:tcPr>
            <w:tcW w:w="3660" w:type="dxa"/>
            <w:vAlign w:val="bottom"/>
          </w:tcPr>
          <w:p>
            <w:pPr>
              <w:ind w:left="100"/>
              <w:spacing w:after="0"/>
              <w:rPr>
                <w:sz w:val="20"/>
                <w:szCs w:val="20"/>
                <w:color w:val="auto"/>
              </w:rPr>
            </w:pPr>
            <w:r>
              <w:rPr>
                <w:rFonts w:ascii="Arial" w:cs="Arial" w:eastAsia="Arial" w:hAnsi="Arial"/>
                <w:sz w:val="16"/>
                <w:szCs w:val="16"/>
                <w:color w:val="242424"/>
              </w:rPr>
              <w:t>Hock E. Tan</w:t>
            </w:r>
          </w:p>
        </w:tc>
        <w:tc>
          <w:tcPr>
            <w:tcW w:w="4160" w:type="dxa"/>
            <w:vAlign w:val="bottom"/>
          </w:tcPr>
          <w:p>
            <w:pPr>
              <w:jc w:val="center"/>
              <w:ind w:left="1361"/>
              <w:spacing w:after="0"/>
              <w:rPr>
                <w:sz w:val="20"/>
                <w:szCs w:val="20"/>
                <w:color w:val="auto"/>
              </w:rPr>
            </w:pPr>
            <w:r>
              <w:rPr>
                <w:rFonts w:ascii="Arial" w:cs="Arial" w:eastAsia="Arial" w:hAnsi="Arial"/>
                <w:sz w:val="16"/>
                <w:szCs w:val="16"/>
                <w:color w:val="242424"/>
                <w:w w:val="97"/>
              </w:rPr>
              <w:t>200%</w:t>
            </w:r>
          </w:p>
        </w:tc>
        <w:tc>
          <w:tcPr>
            <w:tcW w:w="2760" w:type="dxa"/>
            <w:vAlign w:val="bottom"/>
          </w:tcPr>
          <w:p>
            <w:pPr>
              <w:jc w:val="center"/>
              <w:spacing w:after="0"/>
              <w:rPr>
                <w:sz w:val="20"/>
                <w:szCs w:val="20"/>
                <w:color w:val="auto"/>
              </w:rPr>
            </w:pPr>
            <w:r>
              <w:rPr>
                <w:rFonts w:ascii="Arial" w:cs="Arial" w:eastAsia="Arial" w:hAnsi="Arial"/>
                <w:sz w:val="16"/>
                <w:szCs w:val="16"/>
                <w:color w:val="242424"/>
                <w:w w:val="97"/>
              </w:rPr>
              <w:t>200%</w:t>
            </w:r>
          </w:p>
        </w:tc>
        <w:tc>
          <w:tcPr>
            <w:tcW w:w="0" w:type="dxa"/>
            <w:vAlign w:val="bottom"/>
          </w:tcPr>
          <w:p>
            <w:pPr>
              <w:spacing w:after="0"/>
              <w:rPr>
                <w:sz w:val="1"/>
                <w:szCs w:val="1"/>
                <w:color w:val="auto"/>
              </w:rPr>
            </w:pPr>
          </w:p>
        </w:tc>
      </w:tr>
      <w:tr>
        <w:trPr>
          <w:trHeight w:val="214"/>
        </w:trPr>
        <w:tc>
          <w:tcPr>
            <w:tcW w:w="3660" w:type="dxa"/>
            <w:vAlign w:val="bottom"/>
            <w:shd w:val="clear" w:color="auto" w:fill="EAEAEA"/>
          </w:tcPr>
          <w:p>
            <w:pPr>
              <w:ind w:left="100"/>
              <w:spacing w:after="0"/>
              <w:rPr>
                <w:sz w:val="20"/>
                <w:szCs w:val="20"/>
                <w:color w:val="auto"/>
              </w:rPr>
            </w:pPr>
            <w:r>
              <w:rPr>
                <w:rFonts w:ascii="Arial" w:cs="Arial" w:eastAsia="Arial" w:hAnsi="Arial"/>
                <w:sz w:val="16"/>
                <w:szCs w:val="16"/>
                <w:color w:val="242424"/>
              </w:rPr>
              <w:t>Kirsten M. Spears</w:t>
            </w:r>
          </w:p>
        </w:tc>
        <w:tc>
          <w:tcPr>
            <w:tcW w:w="4160" w:type="dxa"/>
            <w:vAlign w:val="bottom"/>
            <w:shd w:val="clear" w:color="auto" w:fill="EAEAEA"/>
          </w:tcPr>
          <w:p>
            <w:pPr>
              <w:jc w:val="center"/>
              <w:ind w:left="1361"/>
              <w:spacing w:after="0"/>
              <w:rPr>
                <w:sz w:val="20"/>
                <w:szCs w:val="20"/>
                <w:color w:val="auto"/>
              </w:rPr>
            </w:pPr>
            <w:r>
              <w:rPr>
                <w:rFonts w:ascii="Arial" w:cs="Arial" w:eastAsia="Arial" w:hAnsi="Arial"/>
                <w:sz w:val="16"/>
                <w:szCs w:val="16"/>
                <w:color w:val="242424"/>
                <w:w w:val="99"/>
              </w:rPr>
              <w:t>50%</w:t>
            </w:r>
          </w:p>
        </w:tc>
        <w:tc>
          <w:tcPr>
            <w:tcW w:w="27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7"/>
              </w:rPr>
              <w:t>100%</w:t>
            </w:r>
          </w:p>
        </w:tc>
        <w:tc>
          <w:tcPr>
            <w:tcW w:w="0" w:type="dxa"/>
            <w:vAlign w:val="bottom"/>
          </w:tcPr>
          <w:p>
            <w:pPr>
              <w:spacing w:after="0"/>
              <w:rPr>
                <w:sz w:val="1"/>
                <w:szCs w:val="1"/>
                <w:color w:val="auto"/>
              </w:rPr>
            </w:pPr>
          </w:p>
        </w:tc>
      </w:tr>
      <w:tr>
        <w:trPr>
          <w:trHeight w:val="209"/>
        </w:trPr>
        <w:tc>
          <w:tcPr>
            <w:tcW w:w="3660" w:type="dxa"/>
            <w:vAlign w:val="bottom"/>
          </w:tcPr>
          <w:p>
            <w:pPr>
              <w:ind w:left="100"/>
              <w:spacing w:after="0"/>
              <w:rPr>
                <w:sz w:val="20"/>
                <w:szCs w:val="20"/>
                <w:color w:val="auto"/>
              </w:rPr>
            </w:pPr>
            <w:r>
              <w:rPr>
                <w:rFonts w:ascii="Arial" w:cs="Arial" w:eastAsia="Arial" w:hAnsi="Arial"/>
                <w:sz w:val="16"/>
                <w:szCs w:val="16"/>
                <w:color w:val="242424"/>
              </w:rPr>
              <w:t>Mark D. Brazeal</w:t>
            </w:r>
          </w:p>
        </w:tc>
        <w:tc>
          <w:tcPr>
            <w:tcW w:w="4160" w:type="dxa"/>
            <w:vAlign w:val="bottom"/>
          </w:tcPr>
          <w:p>
            <w:pPr>
              <w:jc w:val="center"/>
              <w:ind w:left="1361"/>
              <w:spacing w:after="0"/>
              <w:rPr>
                <w:sz w:val="20"/>
                <w:szCs w:val="20"/>
                <w:color w:val="auto"/>
              </w:rPr>
            </w:pPr>
            <w:r>
              <w:rPr>
                <w:rFonts w:ascii="Arial" w:cs="Arial" w:eastAsia="Arial" w:hAnsi="Arial"/>
                <w:sz w:val="16"/>
                <w:szCs w:val="16"/>
                <w:color w:val="242424"/>
                <w:w w:val="97"/>
              </w:rPr>
              <w:t>100%</w:t>
            </w:r>
          </w:p>
        </w:tc>
        <w:tc>
          <w:tcPr>
            <w:tcW w:w="2760" w:type="dxa"/>
            <w:vAlign w:val="bottom"/>
          </w:tcPr>
          <w:p>
            <w:pPr>
              <w:jc w:val="center"/>
              <w:spacing w:after="0"/>
              <w:rPr>
                <w:sz w:val="20"/>
                <w:szCs w:val="20"/>
                <w:color w:val="auto"/>
              </w:rPr>
            </w:pPr>
            <w:r>
              <w:rPr>
                <w:rFonts w:ascii="Arial" w:cs="Arial" w:eastAsia="Arial" w:hAnsi="Arial"/>
                <w:sz w:val="16"/>
                <w:szCs w:val="16"/>
                <w:color w:val="242424"/>
                <w:w w:val="97"/>
              </w:rPr>
              <w:t>100%</w:t>
            </w:r>
          </w:p>
        </w:tc>
        <w:tc>
          <w:tcPr>
            <w:tcW w:w="0" w:type="dxa"/>
            <w:vAlign w:val="bottom"/>
          </w:tcPr>
          <w:p>
            <w:pPr>
              <w:spacing w:after="0"/>
              <w:rPr>
                <w:sz w:val="1"/>
                <w:szCs w:val="1"/>
                <w:color w:val="auto"/>
              </w:rPr>
            </w:pPr>
          </w:p>
        </w:tc>
      </w:tr>
      <w:tr>
        <w:trPr>
          <w:trHeight w:val="215"/>
        </w:trPr>
        <w:tc>
          <w:tcPr>
            <w:tcW w:w="3660" w:type="dxa"/>
            <w:vAlign w:val="bottom"/>
            <w:shd w:val="clear" w:color="auto" w:fill="EAEAEA"/>
          </w:tcPr>
          <w:p>
            <w:pPr>
              <w:ind w:left="100"/>
              <w:spacing w:after="0"/>
              <w:rPr>
                <w:sz w:val="20"/>
                <w:szCs w:val="20"/>
                <w:color w:val="auto"/>
              </w:rPr>
            </w:pPr>
            <w:r>
              <w:rPr>
                <w:rFonts w:ascii="Arial" w:cs="Arial" w:eastAsia="Arial" w:hAnsi="Arial"/>
                <w:sz w:val="16"/>
                <w:szCs w:val="16"/>
                <w:color w:val="242424"/>
              </w:rPr>
              <w:t>Charlie B. Kawwas, Ph.D.</w:t>
            </w:r>
          </w:p>
        </w:tc>
        <w:tc>
          <w:tcPr>
            <w:tcW w:w="4160" w:type="dxa"/>
            <w:vAlign w:val="bottom"/>
            <w:shd w:val="clear" w:color="auto" w:fill="EAEAEA"/>
          </w:tcPr>
          <w:p>
            <w:pPr>
              <w:jc w:val="center"/>
              <w:ind w:left="1361"/>
              <w:spacing w:after="0"/>
              <w:rPr>
                <w:sz w:val="20"/>
                <w:szCs w:val="20"/>
                <w:color w:val="auto"/>
              </w:rPr>
            </w:pPr>
            <w:r>
              <w:rPr>
                <w:rFonts w:ascii="Arial" w:cs="Arial" w:eastAsia="Arial" w:hAnsi="Arial"/>
                <w:sz w:val="16"/>
                <w:szCs w:val="16"/>
                <w:color w:val="242424"/>
                <w:w w:val="97"/>
              </w:rPr>
              <w:t>100%</w:t>
            </w:r>
          </w:p>
        </w:tc>
        <w:tc>
          <w:tcPr>
            <w:tcW w:w="27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7"/>
              </w:rPr>
              <w:t>100%</w:t>
            </w:r>
          </w:p>
        </w:tc>
        <w:tc>
          <w:tcPr>
            <w:tcW w:w="0" w:type="dxa"/>
            <w:vAlign w:val="bottom"/>
          </w:tcPr>
          <w:p>
            <w:pPr>
              <w:spacing w:after="0"/>
              <w:rPr>
                <w:sz w:val="1"/>
                <w:szCs w:val="1"/>
                <w:color w:val="auto"/>
              </w:rPr>
            </w:pPr>
          </w:p>
        </w:tc>
      </w:tr>
      <w:tr>
        <w:trPr>
          <w:trHeight w:val="207"/>
        </w:trPr>
        <w:tc>
          <w:tcPr>
            <w:tcW w:w="3660" w:type="dxa"/>
            <w:vAlign w:val="bottom"/>
          </w:tcPr>
          <w:p>
            <w:pPr>
              <w:ind w:left="100"/>
              <w:spacing w:after="0"/>
              <w:rPr>
                <w:sz w:val="20"/>
                <w:szCs w:val="20"/>
                <w:color w:val="auto"/>
              </w:rPr>
            </w:pPr>
            <w:r>
              <w:rPr>
                <w:rFonts w:ascii="Arial" w:cs="Arial" w:eastAsia="Arial" w:hAnsi="Arial"/>
                <w:sz w:val="16"/>
                <w:szCs w:val="16"/>
                <w:color w:val="242424"/>
              </w:rPr>
              <w:t>Thomas H. Krause, Jr.</w:t>
            </w:r>
          </w:p>
        </w:tc>
        <w:tc>
          <w:tcPr>
            <w:tcW w:w="4160" w:type="dxa"/>
            <w:vAlign w:val="bottom"/>
          </w:tcPr>
          <w:p>
            <w:pPr>
              <w:jc w:val="center"/>
              <w:ind w:left="1361"/>
              <w:spacing w:after="0"/>
              <w:rPr>
                <w:sz w:val="20"/>
                <w:szCs w:val="20"/>
                <w:color w:val="auto"/>
              </w:rPr>
            </w:pPr>
            <w:r>
              <w:rPr>
                <w:rFonts w:ascii="Arial" w:cs="Arial" w:eastAsia="Arial" w:hAnsi="Arial"/>
                <w:sz w:val="16"/>
                <w:szCs w:val="16"/>
                <w:color w:val="242424"/>
                <w:w w:val="97"/>
              </w:rPr>
              <w:t>100%</w:t>
            </w:r>
          </w:p>
        </w:tc>
        <w:tc>
          <w:tcPr>
            <w:tcW w:w="2760" w:type="dxa"/>
            <w:vAlign w:val="bottom"/>
          </w:tcPr>
          <w:p>
            <w:pPr>
              <w:jc w:val="center"/>
              <w:spacing w:after="0"/>
              <w:rPr>
                <w:sz w:val="20"/>
                <w:szCs w:val="20"/>
                <w:color w:val="auto"/>
              </w:rPr>
            </w:pPr>
            <w:r>
              <w:rPr>
                <w:rFonts w:ascii="Arial" w:cs="Arial" w:eastAsia="Arial" w:hAnsi="Arial"/>
                <w:sz w:val="16"/>
                <w:szCs w:val="16"/>
                <w:color w:val="242424"/>
                <w:w w:val="97"/>
              </w:rPr>
              <w:t>100%</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242424"/>
        </w:rPr>
        <w:t>Annual cash incentive bonuses under the APB Plan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3810</wp:posOffset>
            </wp:positionV>
            <wp:extent cx="5578475" cy="7321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78475" cy="73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242424"/>
        </w:rPr>
        <w:t>Bonuses under the APB Plan are payable to our NEOs in cash, with the exception of our CEO in certain circumstances. In the event the independent directors assign our CEO an individual performance multiplier (discussed in more detail below) greater than 100%, they may elect to pay the difference between the dollar amount of our CEO’s actual annual cash incentive bonus payout and the dollar amount of his annual cash incentive bonus payout calculated using a performance factor of 100% in the form of an equity award. The type and terms of any such equity award are determined by the independent directors. The independent directors believe that this feature gives them the flexibility to further incentivize our CEO to focus on our mid-term to long-term performance and value creation for our stockholders and to provide continued retention of our CEO.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242424"/>
        </w:rPr>
        <w:t>Corporate Performance Components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242424"/>
        </w:rPr>
        <w:t>The corporate performance goals for the Fiscal Year 2021 APB Plan were:</w:t>
      </w:r>
    </w:p>
    <w:p>
      <w:pPr>
        <w:spacing w:after="0" w:line="68" w:lineRule="exact"/>
        <w:rPr>
          <w:sz w:val="20"/>
          <w:szCs w:val="20"/>
          <w:color w:val="auto"/>
        </w:rPr>
      </w:pPr>
    </w:p>
    <w:p>
      <w:pPr>
        <w:ind w:left="520" w:hanging="276"/>
        <w:spacing w:after="0"/>
        <w:tabs>
          <w:tab w:leader="none" w:pos="520" w:val="left"/>
        </w:tabs>
        <w:numPr>
          <w:ilvl w:val="0"/>
          <w:numId w:val="59"/>
        </w:numPr>
        <w:rPr>
          <w:rFonts w:ascii="Arial" w:cs="Arial" w:eastAsia="Arial" w:hAnsi="Arial"/>
          <w:sz w:val="21"/>
          <w:szCs w:val="21"/>
          <w:color w:val="242424"/>
        </w:rPr>
      </w:pPr>
      <w:r>
        <w:rPr>
          <w:rFonts w:ascii="Arial" w:cs="Arial" w:eastAsia="Arial" w:hAnsi="Arial"/>
          <w:sz w:val="18"/>
          <w:szCs w:val="18"/>
          <w:color w:val="242424"/>
        </w:rPr>
        <w:t>revenue threshold attainment level set at $23,750 million, target set at $25,000 million and maximum set at $26,250 million; and</w:t>
      </w:r>
    </w:p>
    <w:p>
      <w:pPr>
        <w:spacing w:after="0" w:line="92" w:lineRule="exact"/>
        <w:rPr>
          <w:rFonts w:ascii="Arial" w:cs="Arial" w:eastAsia="Arial" w:hAnsi="Arial"/>
          <w:sz w:val="21"/>
          <w:szCs w:val="21"/>
          <w:color w:val="242424"/>
        </w:rPr>
      </w:pPr>
    </w:p>
    <w:p>
      <w:pPr>
        <w:ind w:left="560" w:right="460" w:hanging="316"/>
        <w:spacing w:after="0" w:line="226" w:lineRule="auto"/>
        <w:tabs>
          <w:tab w:leader="none" w:pos="512" w:val="left"/>
        </w:tabs>
        <w:numPr>
          <w:ilvl w:val="0"/>
          <w:numId w:val="59"/>
        </w:numPr>
        <w:rPr>
          <w:rFonts w:ascii="Arial" w:cs="Arial" w:eastAsia="Arial" w:hAnsi="Arial"/>
          <w:sz w:val="21"/>
          <w:szCs w:val="21"/>
          <w:color w:val="242424"/>
        </w:rPr>
      </w:pPr>
      <w:r>
        <w:rPr>
          <w:rFonts w:ascii="Arial" w:cs="Arial" w:eastAsia="Arial" w:hAnsi="Arial"/>
          <w:sz w:val="18"/>
          <w:szCs w:val="18"/>
          <w:color w:val="242424"/>
        </w:rPr>
        <w:t>adjusted non-GAAP operating income as a percentage of revenue (referred to as “adjusted non-GAAP operating margin”) threshold attainment level set at 57.3%, target set at 58.3% and maximum set at 60.3%.</w:t>
      </w:r>
    </w:p>
    <w:p>
      <w:pPr>
        <w:spacing w:after="0" w:line="16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242424"/>
        </w:rPr>
        <w:t>These performance levels were established by the Compensation Committee, based on the recommendation of our CEO, and approved by the independent directors.</w:t>
      </w:r>
    </w:p>
    <w:p>
      <w:pPr>
        <w:spacing w:after="0" w:line="13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242424"/>
        </w:rPr>
        <w:t>As shown below in “</w:t>
      </w:r>
      <w:r>
        <w:rPr>
          <w:rFonts w:ascii="Arial" w:cs="Arial" w:eastAsia="Arial" w:hAnsi="Arial"/>
          <w:sz w:val="18"/>
          <w:szCs w:val="18"/>
          <w:i w:val="1"/>
          <w:iCs w:val="1"/>
          <w:color w:val="242424"/>
        </w:rPr>
        <w:t>Fiscal Year 2021 APB Plan Attainment,</w:t>
      </w:r>
      <w:r>
        <w:rPr>
          <w:rFonts w:ascii="Arial" w:cs="Arial" w:eastAsia="Arial" w:hAnsi="Arial"/>
          <w:sz w:val="18"/>
          <w:szCs w:val="18"/>
          <w:color w:val="242424"/>
        </w:rPr>
        <w:t>” the target levels were set significantly above our Fiscal Year 2020 actual performance levels and were designed to significantly enhance stockholder value, while requiring substantial effort to achieve. Each goal carried an equal weighting of 50% of the corporate performance component.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242424"/>
        </w:rPr>
        <w:t>Divisional Performance Components</w:t>
      </w:r>
    </w:p>
    <w:p>
      <w:pPr>
        <w:spacing w:after="0" w:line="151" w:lineRule="exact"/>
        <w:rPr>
          <w:sz w:val="20"/>
          <w:szCs w:val="20"/>
          <w:color w:val="auto"/>
        </w:rPr>
      </w:pPr>
    </w:p>
    <w:p>
      <w:pPr>
        <w:spacing w:after="0" w:line="247" w:lineRule="auto"/>
        <w:rPr>
          <w:sz w:val="20"/>
          <w:szCs w:val="20"/>
          <w:color w:val="auto"/>
        </w:rPr>
      </w:pPr>
      <w:r>
        <w:rPr>
          <w:rFonts w:ascii="Arial" w:cs="Arial" w:eastAsia="Arial" w:hAnsi="Arial"/>
          <w:sz w:val="18"/>
          <w:szCs w:val="18"/>
          <w:color w:val="242424"/>
        </w:rPr>
        <w:t>The Compensation Committee, taking into account our CEO’s recommendations, determined an executive officer’s divisional goals and set their weightings based on its assessment of the business requirements of the particular division to which the goals related and the relative importance of the goals to the division. Each divisional goal was set by the Compensation Committee to be difficult to attain and to require substantial effort by the division and the NEO in charge of the division to achieve. The table below under “</w:t>
      </w:r>
      <w:r>
        <w:rPr>
          <w:rFonts w:ascii="Arial" w:cs="Arial" w:eastAsia="Arial" w:hAnsi="Arial"/>
          <w:sz w:val="18"/>
          <w:szCs w:val="18"/>
          <w:i w:val="1"/>
          <w:iCs w:val="1"/>
          <w:color w:val="242424"/>
        </w:rPr>
        <w:t>Fiscal Year 2021 APB Plan</w:t>
      </w:r>
      <w:r>
        <w:rPr>
          <w:rFonts w:ascii="Arial" w:cs="Arial" w:eastAsia="Arial" w:hAnsi="Arial"/>
          <w:sz w:val="18"/>
          <w:szCs w:val="18"/>
          <w:color w:val="242424"/>
        </w:rPr>
        <w:t xml:space="preserve"> </w:t>
      </w:r>
      <w:r>
        <w:rPr>
          <w:rFonts w:ascii="Arial" w:cs="Arial" w:eastAsia="Arial" w:hAnsi="Arial"/>
          <w:sz w:val="18"/>
          <w:szCs w:val="18"/>
          <w:i w:val="1"/>
          <w:iCs w:val="1"/>
          <w:color w:val="242424"/>
        </w:rPr>
        <w:t>Attainment and Payout Amounts</w:t>
      </w:r>
      <w:r>
        <w:rPr>
          <w:rFonts w:ascii="Arial" w:cs="Arial" w:eastAsia="Arial" w:hAnsi="Arial"/>
          <w:sz w:val="18"/>
          <w:szCs w:val="18"/>
          <w:color w:val="242424"/>
        </w:rPr>
        <w:t>” sets forth the divisional goals for Fiscal Year 2021.</w:t>
      </w:r>
    </w:p>
    <w:p>
      <w:pPr>
        <w:spacing w:after="0" w:line="200" w:lineRule="exact"/>
        <w:rPr>
          <w:sz w:val="20"/>
          <w:szCs w:val="20"/>
          <w:color w:val="auto"/>
        </w:rPr>
      </w:pPr>
    </w:p>
    <w:p>
      <w:pPr>
        <w:spacing w:after="0" w:line="248" w:lineRule="exact"/>
        <w:rPr>
          <w:sz w:val="20"/>
          <w:szCs w:val="20"/>
          <w:color w:val="auto"/>
        </w:rPr>
      </w:pPr>
    </w:p>
    <w:p>
      <w:pPr>
        <w:ind w:left="360" w:hanging="354"/>
        <w:spacing w:after="0"/>
        <w:tabs>
          <w:tab w:leader="none" w:pos="360" w:val="left"/>
        </w:tabs>
        <w:numPr>
          <w:ilvl w:val="0"/>
          <w:numId w:val="60"/>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40"/>
          </w:cols>
          <w:pgMar w:left="320" w:top="181" w:right="339" w:bottom="1440" w:gutter="0" w:footer="0" w:header="0"/>
        </w:sectPr>
      </w:pPr>
    </w:p>
    <w:bookmarkStart w:id="37" w:name="page38"/>
    <w:bookmarkEnd w:id="37"/>
    <w:p>
      <w:pPr>
        <w:ind w:left="7720"/>
        <w:spacing w:after="0"/>
        <w:rPr>
          <w:sz w:val="20"/>
          <w:szCs w:val="20"/>
          <w:color w:val="auto"/>
        </w:rPr>
      </w:pPr>
      <w:r>
        <w:rPr>
          <w:rFonts w:ascii="Arial" w:cs="Arial" w:eastAsia="Arial" w:hAnsi="Arial"/>
          <w:sz w:val="15"/>
          <w:szCs w:val="15"/>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242424"/>
        </w:rPr>
        <w:t>Individual Performance Multiplier</w:t>
      </w:r>
    </w:p>
    <w:p>
      <w:pPr>
        <w:spacing w:after="0" w:line="16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242424"/>
        </w:rPr>
        <w:t>The final payouts under the APB Plan included the effect of a non-subjective individual performance multiplier applied judiciously to recognize the extraordinary efforts of our executives despite adverse market conditions or exceptional performance with respect to our corporate goals or an executive’s division results. Each individual NEO’s performance multiplier (other than our CEO’s) is approved by the Compensation Committee based, in part, on the recommendations of our CEO and by the independent directors, in the case of our CEO, with input from the Compensation Committee.</w:t>
      </w:r>
    </w:p>
    <w:p>
      <w:pPr>
        <w:spacing w:after="0" w:line="15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242424"/>
        </w:rPr>
        <w:t>In evaluating individual performance to determine the applicable multiplier, the Compensation Committee considers (i) the requirements of the NEO’s position, including the achievement of the corporate or divisional goals, (ii) fiscal responsibility as determined by the Compensation Committee with input from our CEO, (iii) the NEO’s senior leadership ability and contribution to Broadcom’s culture, and (iv) how each of these factors impact the overall performance of Broadcom or the NEO’s division, as applicable. Based on each NEO’s contribution to Broadcom’s performance and their respective division’s levels of performance, the Compensation Committee or, in the case of our CEO, the independent directors, assigns each NEO an individual performance multiplier of between 50% and 150%. NEOs who consistently meet or exceed the requirements of their position, as determined by the Compensation Committee, receive an individual performance multiplier between 100% and 150%. NEOs who meet some, but not all, of the requirements of their position or for whom the Compensation Committee believes that improvement is needed receive an individual performance multiplier between 50% and 100%.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Fiscal Year 2021 APB Plan Attainment</w:t>
      </w:r>
    </w:p>
    <w:p>
      <w:pPr>
        <w:spacing w:after="0" w:line="18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242424"/>
        </w:rPr>
        <w:t>In December 2021, the Compensation Committee and the independent directors reviewed Broadcom’s actual performance for Fiscal Year 2021 to determine the level of achievement for the corporate performance goals and the divisional goals, and to assign an individual performance multiplier for each of our executives.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242424"/>
        </w:rPr>
        <w:t>Corporate Performance Component</w:t>
      </w:r>
    </w:p>
    <w:p>
      <w:pPr>
        <w:spacing w:after="0" w:line="16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242424"/>
        </w:rPr>
        <w:t>For Fiscal Year 2021, we achieved revenue of $27,450 million and adjusted non-GAAP operating margin was 60.7%, both of which were above the pre-established maximum attainment levels of performance. See Appendix A for a reconciliation of non-GAAP financial measures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72390</wp:posOffset>
            </wp:positionV>
            <wp:extent cx="6419850" cy="521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9850" cy="521335"/>
                    </a:xfrm>
                    <a:prstGeom prst="rect">
                      <a:avLst/>
                    </a:prstGeom>
                    <a:noFill/>
                  </pic:spPr>
                </pic:pic>
              </a:graphicData>
            </a:graphic>
          </wp:anchor>
        </w:drawing>
      </w:r>
    </w:p>
    <w:p>
      <w:pPr>
        <w:spacing w:after="0" w:line="108"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FFFFFF"/>
        </w:rPr>
        <w:t>Revenue Performance Goal Attainment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gridSpan w:val="2"/>
            <w:vMerge w:val="restart"/>
          </w:tcPr>
          <w:p>
            <w:pPr>
              <w:jc w:val="center"/>
              <w:ind w:right="148"/>
              <w:spacing w:after="0"/>
              <w:rPr>
                <w:sz w:val="20"/>
                <w:szCs w:val="20"/>
                <w:color w:val="auto"/>
              </w:rPr>
            </w:pPr>
            <w:r>
              <w:rPr>
                <w:rFonts w:ascii="Arial" w:cs="Arial" w:eastAsia="Arial" w:hAnsi="Arial"/>
                <w:sz w:val="14"/>
                <w:szCs w:val="14"/>
                <w:b w:val="1"/>
                <w:bCs w:val="1"/>
                <w:color w:val="FFFFFF"/>
                <w:w w:val="99"/>
              </w:rPr>
              <w:t>Fiscal Year 2020</w:t>
            </w:r>
          </w:p>
        </w:tc>
        <w:tc>
          <w:tcPr>
            <w:tcW w:w="1500" w:type="dxa"/>
            <w:vAlign w:val="bottom"/>
          </w:tcPr>
          <w:p>
            <w:pPr>
              <w:jc w:val="center"/>
              <w:ind w:left="47"/>
              <w:spacing w:after="0"/>
              <w:rPr>
                <w:sz w:val="20"/>
                <w:szCs w:val="20"/>
                <w:color w:val="auto"/>
              </w:rPr>
            </w:pPr>
            <w:r>
              <w:rPr>
                <w:rFonts w:ascii="Arial" w:cs="Arial" w:eastAsia="Arial" w:hAnsi="Arial"/>
                <w:sz w:val="14"/>
                <w:szCs w:val="14"/>
                <w:b w:val="1"/>
                <w:bCs w:val="1"/>
                <w:color w:val="FFFFFF"/>
              </w:rPr>
              <w:t>Fiscal Year 2021</w:t>
            </w: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FFFFFF"/>
              </w:rPr>
              <w:t>Fiscal Year 2021</w:t>
            </w:r>
          </w:p>
        </w:tc>
        <w:tc>
          <w:tcPr>
            <w:tcW w:w="1620" w:type="dxa"/>
            <w:vAlign w:val="bottom"/>
            <w:gridSpan w:val="2"/>
          </w:tcPr>
          <w:p>
            <w:pPr>
              <w:jc w:val="center"/>
              <w:ind w:right="226"/>
              <w:spacing w:after="0"/>
              <w:rPr>
                <w:sz w:val="20"/>
                <w:szCs w:val="20"/>
                <w:color w:val="auto"/>
              </w:rPr>
            </w:pPr>
            <w:r>
              <w:rPr>
                <w:rFonts w:ascii="Arial" w:cs="Arial" w:eastAsia="Arial" w:hAnsi="Arial"/>
                <w:sz w:val="14"/>
                <w:szCs w:val="14"/>
                <w:b w:val="1"/>
                <w:bCs w:val="1"/>
                <w:color w:val="FFFFFF"/>
                <w:w w:val="99"/>
              </w:rPr>
              <w:t>Fiscal Year 2021</w:t>
            </w:r>
          </w:p>
        </w:tc>
        <w:tc>
          <w:tcPr>
            <w:tcW w:w="1480" w:type="dxa"/>
            <w:vAlign w:val="bottom"/>
            <w:vMerge w:val="restart"/>
          </w:tcPr>
          <w:p>
            <w:pPr>
              <w:jc w:val="center"/>
              <w:ind w:left="86"/>
              <w:spacing w:after="0"/>
              <w:rPr>
                <w:sz w:val="20"/>
                <w:szCs w:val="20"/>
                <w:color w:val="auto"/>
              </w:rPr>
            </w:pPr>
            <w:r>
              <w:rPr>
                <w:rFonts w:ascii="Arial" w:cs="Arial" w:eastAsia="Arial" w:hAnsi="Arial"/>
                <w:sz w:val="14"/>
                <w:szCs w:val="14"/>
                <w:b w:val="1"/>
                <w:bCs w:val="1"/>
                <w:color w:val="FFFFFF"/>
                <w:w w:val="99"/>
              </w:rPr>
              <w:t>Fiscal Year 2021</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00" w:type="dxa"/>
            <w:vAlign w:val="bottom"/>
            <w:gridSpan w:val="2"/>
            <w:vMerge w:val="continue"/>
          </w:tcPr>
          <w:p>
            <w:pPr>
              <w:spacing w:after="0"/>
              <w:rPr>
                <w:sz w:val="11"/>
                <w:szCs w:val="11"/>
                <w:color w:val="auto"/>
              </w:rPr>
            </w:pPr>
          </w:p>
        </w:tc>
        <w:tc>
          <w:tcPr>
            <w:tcW w:w="1500" w:type="dxa"/>
            <w:vAlign w:val="bottom"/>
          </w:tcPr>
          <w:p>
            <w:pPr>
              <w:jc w:val="center"/>
              <w:ind w:left="47"/>
              <w:spacing w:after="0" w:line="133" w:lineRule="exact"/>
              <w:rPr>
                <w:sz w:val="20"/>
                <w:szCs w:val="20"/>
                <w:color w:val="auto"/>
              </w:rPr>
            </w:pPr>
            <w:r>
              <w:rPr>
                <w:rFonts w:ascii="Arial" w:cs="Arial" w:eastAsia="Arial" w:hAnsi="Arial"/>
                <w:sz w:val="14"/>
                <w:szCs w:val="14"/>
                <w:b w:val="1"/>
                <w:bCs w:val="1"/>
                <w:color w:val="FFFFFF"/>
              </w:rPr>
              <w:t>Revenue Threshold</w:t>
            </w:r>
          </w:p>
        </w:tc>
        <w:tc>
          <w:tcPr>
            <w:tcW w:w="24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FFFFFF"/>
              </w:rPr>
              <w:t>Revenue Target</w:t>
            </w:r>
          </w:p>
        </w:tc>
        <w:tc>
          <w:tcPr>
            <w:tcW w:w="1620" w:type="dxa"/>
            <w:vAlign w:val="bottom"/>
            <w:gridSpan w:val="2"/>
          </w:tcPr>
          <w:p>
            <w:pPr>
              <w:jc w:val="center"/>
              <w:ind w:right="266"/>
              <w:spacing w:after="0" w:line="133" w:lineRule="exact"/>
              <w:rPr>
                <w:sz w:val="20"/>
                <w:szCs w:val="20"/>
                <w:color w:val="auto"/>
              </w:rPr>
            </w:pPr>
            <w:r>
              <w:rPr>
                <w:rFonts w:ascii="Arial" w:cs="Arial" w:eastAsia="Arial" w:hAnsi="Arial"/>
                <w:sz w:val="14"/>
                <w:szCs w:val="14"/>
                <w:b w:val="1"/>
                <w:bCs w:val="1"/>
                <w:color w:val="FFFFFF"/>
              </w:rPr>
              <w:t>Revenue Maximum</w:t>
            </w:r>
          </w:p>
        </w:tc>
        <w:tc>
          <w:tcPr>
            <w:tcW w:w="14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00" w:type="dxa"/>
            <w:vAlign w:val="bottom"/>
            <w:gridSpan w:val="2"/>
          </w:tcPr>
          <w:p>
            <w:pPr>
              <w:jc w:val="center"/>
              <w:ind w:right="128"/>
              <w:spacing w:after="0" w:line="133" w:lineRule="exact"/>
              <w:rPr>
                <w:sz w:val="20"/>
                <w:szCs w:val="20"/>
                <w:color w:val="auto"/>
              </w:rPr>
            </w:pPr>
            <w:r>
              <w:rPr>
                <w:rFonts w:ascii="Arial" w:cs="Arial" w:eastAsia="Arial" w:hAnsi="Arial"/>
                <w:sz w:val="14"/>
                <w:szCs w:val="14"/>
                <w:b w:val="1"/>
                <w:bCs w:val="1"/>
                <w:color w:val="FFFFFF"/>
              </w:rPr>
              <w:t>Revenue Achieved</w:t>
            </w:r>
          </w:p>
        </w:tc>
        <w:tc>
          <w:tcPr>
            <w:tcW w:w="1500" w:type="dxa"/>
            <w:vAlign w:val="bottom"/>
          </w:tcPr>
          <w:p>
            <w:pPr>
              <w:jc w:val="center"/>
              <w:ind w:left="47"/>
              <w:spacing w:after="0" w:line="133" w:lineRule="exact"/>
              <w:rPr>
                <w:sz w:val="20"/>
                <w:szCs w:val="20"/>
                <w:color w:val="auto"/>
              </w:rPr>
            </w:pPr>
            <w:r>
              <w:rPr>
                <w:rFonts w:ascii="Arial" w:cs="Arial" w:eastAsia="Arial" w:hAnsi="Arial"/>
                <w:sz w:val="14"/>
                <w:szCs w:val="14"/>
                <w:b w:val="1"/>
                <w:bCs w:val="1"/>
                <w:color w:val="FFFFFF"/>
              </w:rPr>
              <w:t>Attainment Level</w:t>
            </w:r>
          </w:p>
        </w:tc>
        <w:tc>
          <w:tcPr>
            <w:tcW w:w="24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FFFFFF"/>
              </w:rPr>
              <w:t>Attainment Level</w:t>
            </w:r>
          </w:p>
        </w:tc>
        <w:tc>
          <w:tcPr>
            <w:tcW w:w="1620" w:type="dxa"/>
            <w:vAlign w:val="bottom"/>
            <w:gridSpan w:val="2"/>
          </w:tcPr>
          <w:p>
            <w:pPr>
              <w:jc w:val="center"/>
              <w:ind w:right="226"/>
              <w:spacing w:after="0" w:line="133" w:lineRule="exact"/>
              <w:rPr>
                <w:sz w:val="20"/>
                <w:szCs w:val="20"/>
                <w:color w:val="auto"/>
              </w:rPr>
            </w:pPr>
            <w:r>
              <w:rPr>
                <w:rFonts w:ascii="Arial" w:cs="Arial" w:eastAsia="Arial" w:hAnsi="Arial"/>
                <w:sz w:val="14"/>
                <w:szCs w:val="14"/>
                <w:b w:val="1"/>
                <w:bCs w:val="1"/>
                <w:color w:val="FFFFFF"/>
                <w:w w:val="99"/>
              </w:rPr>
              <w:t>Attainment Level</w:t>
            </w:r>
          </w:p>
        </w:tc>
        <w:tc>
          <w:tcPr>
            <w:tcW w:w="1480" w:type="dxa"/>
            <w:vAlign w:val="bottom"/>
          </w:tcPr>
          <w:p>
            <w:pPr>
              <w:jc w:val="center"/>
              <w:ind w:left="66"/>
              <w:spacing w:after="0" w:line="133" w:lineRule="exact"/>
              <w:rPr>
                <w:sz w:val="20"/>
                <w:szCs w:val="20"/>
                <w:color w:val="auto"/>
              </w:rPr>
            </w:pPr>
            <w:r>
              <w:rPr>
                <w:rFonts w:ascii="Arial" w:cs="Arial" w:eastAsia="Arial" w:hAnsi="Arial"/>
                <w:sz w:val="14"/>
                <w:szCs w:val="14"/>
                <w:b w:val="1"/>
                <w:bCs w:val="1"/>
                <w:color w:val="FFFFFF"/>
              </w:rPr>
              <w:t>Revenue Achieved</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900" w:type="dxa"/>
            <w:vAlign w:val="bottom"/>
            <w:tcBorders>
              <w:bottom w:val="single" w:sz="8" w:color="CC092F"/>
            </w:tcBorders>
            <w:gridSpan w:val="2"/>
          </w:tcPr>
          <w:p>
            <w:pPr>
              <w:jc w:val="center"/>
              <w:ind w:right="108"/>
              <w:spacing w:after="0"/>
              <w:rPr>
                <w:sz w:val="20"/>
                <w:szCs w:val="20"/>
                <w:color w:val="auto"/>
              </w:rPr>
            </w:pPr>
            <w:r>
              <w:rPr>
                <w:rFonts w:ascii="Arial" w:cs="Arial" w:eastAsia="Arial" w:hAnsi="Arial"/>
                <w:sz w:val="14"/>
                <w:szCs w:val="14"/>
                <w:b w:val="1"/>
                <w:bCs w:val="1"/>
                <w:color w:val="FFFFFF"/>
              </w:rPr>
              <w:t>(in millions)</w:t>
            </w:r>
          </w:p>
        </w:tc>
        <w:tc>
          <w:tcPr>
            <w:tcW w:w="1500" w:type="dxa"/>
            <w:vAlign w:val="bottom"/>
            <w:tcBorders>
              <w:bottom w:val="single" w:sz="8" w:color="CC092F"/>
            </w:tcBorders>
          </w:tcPr>
          <w:p>
            <w:pPr>
              <w:jc w:val="center"/>
              <w:ind w:left="47"/>
              <w:spacing w:after="0"/>
              <w:rPr>
                <w:sz w:val="20"/>
                <w:szCs w:val="20"/>
                <w:color w:val="auto"/>
              </w:rPr>
            </w:pPr>
            <w:r>
              <w:rPr>
                <w:rFonts w:ascii="Arial" w:cs="Arial" w:eastAsia="Arial" w:hAnsi="Arial"/>
                <w:sz w:val="14"/>
                <w:szCs w:val="14"/>
                <w:b w:val="1"/>
                <w:bCs w:val="1"/>
                <w:color w:val="FFFFFF"/>
                <w:w w:val="99"/>
              </w:rPr>
              <w:t>(in millions)</w:t>
            </w:r>
          </w:p>
        </w:tc>
        <w:tc>
          <w:tcPr>
            <w:tcW w:w="2440" w:type="dxa"/>
            <w:vAlign w:val="bottom"/>
            <w:tcBorders>
              <w:bottom w:val="single" w:sz="8" w:color="CC092F"/>
            </w:tcBorders>
            <w:gridSpan w:val="2"/>
          </w:tcPr>
          <w:p>
            <w:pPr>
              <w:jc w:val="center"/>
              <w:spacing w:after="0"/>
              <w:rPr>
                <w:sz w:val="20"/>
                <w:szCs w:val="20"/>
                <w:color w:val="auto"/>
              </w:rPr>
            </w:pPr>
            <w:r>
              <w:rPr>
                <w:rFonts w:ascii="Arial" w:cs="Arial" w:eastAsia="Arial" w:hAnsi="Arial"/>
                <w:sz w:val="14"/>
                <w:szCs w:val="14"/>
                <w:b w:val="1"/>
                <w:bCs w:val="1"/>
                <w:color w:val="FFFFFF"/>
                <w:w w:val="99"/>
              </w:rPr>
              <w:t>(in millions)</w:t>
            </w:r>
          </w:p>
        </w:tc>
        <w:tc>
          <w:tcPr>
            <w:tcW w:w="240" w:type="dxa"/>
            <w:vAlign w:val="bottom"/>
            <w:tcBorders>
              <w:bottom w:val="single" w:sz="8" w:color="CC092F"/>
            </w:tcBorders>
          </w:tcPr>
          <w:p>
            <w:pPr>
              <w:spacing w:after="0"/>
              <w:rPr>
                <w:sz w:val="14"/>
                <w:szCs w:val="14"/>
                <w:color w:val="auto"/>
              </w:rPr>
            </w:pPr>
          </w:p>
        </w:tc>
        <w:tc>
          <w:tcPr>
            <w:tcW w:w="1380" w:type="dxa"/>
            <w:vAlign w:val="bottom"/>
            <w:tcBorders>
              <w:bottom w:val="single" w:sz="8" w:color="CC092F"/>
            </w:tcBorders>
          </w:tcPr>
          <w:p>
            <w:pPr>
              <w:jc w:val="center"/>
              <w:ind w:right="466"/>
              <w:spacing w:after="0"/>
              <w:rPr>
                <w:sz w:val="20"/>
                <w:szCs w:val="20"/>
                <w:color w:val="auto"/>
              </w:rPr>
            </w:pPr>
            <w:r>
              <w:rPr>
                <w:rFonts w:ascii="Arial" w:cs="Arial" w:eastAsia="Arial" w:hAnsi="Arial"/>
                <w:sz w:val="14"/>
                <w:szCs w:val="14"/>
                <w:b w:val="1"/>
                <w:bCs w:val="1"/>
                <w:color w:val="FFFFFF"/>
              </w:rPr>
              <w:t>(in millions)</w:t>
            </w:r>
          </w:p>
        </w:tc>
        <w:tc>
          <w:tcPr>
            <w:tcW w:w="1480" w:type="dxa"/>
            <w:vAlign w:val="bottom"/>
            <w:tcBorders>
              <w:bottom w:val="single" w:sz="8" w:color="CC092F"/>
            </w:tcBorders>
          </w:tcPr>
          <w:p>
            <w:pPr>
              <w:jc w:val="center"/>
              <w:ind w:left="86"/>
              <w:spacing w:after="0"/>
              <w:rPr>
                <w:sz w:val="20"/>
                <w:szCs w:val="20"/>
                <w:color w:val="auto"/>
              </w:rPr>
            </w:pPr>
            <w:r>
              <w:rPr>
                <w:rFonts w:ascii="Arial" w:cs="Arial" w:eastAsia="Arial" w:hAnsi="Arial"/>
                <w:sz w:val="14"/>
                <w:szCs w:val="14"/>
                <w:b w:val="1"/>
                <w:bCs w:val="1"/>
                <w:color w:val="FFFFFF"/>
              </w:rPr>
              <w:t>(in millions)</w:t>
            </w:r>
          </w:p>
        </w:tc>
        <w:tc>
          <w:tcPr>
            <w:tcW w:w="220" w:type="dxa"/>
            <w:vAlign w:val="bottom"/>
            <w:tcBorders>
              <w:bottom w:val="single" w:sz="8" w:color="CC092F"/>
            </w:tcBorders>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900" w:type="dxa"/>
            <w:vAlign w:val="bottom"/>
            <w:gridSpan w:val="2"/>
          </w:tcPr>
          <w:p>
            <w:pPr>
              <w:jc w:val="center"/>
              <w:ind w:right="108"/>
              <w:spacing w:after="0"/>
              <w:rPr>
                <w:sz w:val="20"/>
                <w:szCs w:val="20"/>
                <w:color w:val="auto"/>
              </w:rPr>
            </w:pPr>
            <w:r>
              <w:rPr>
                <w:rFonts w:ascii="Arial" w:cs="Arial" w:eastAsia="Arial" w:hAnsi="Arial"/>
                <w:sz w:val="16"/>
                <w:szCs w:val="16"/>
                <w:color w:val="242424"/>
                <w:w w:val="96"/>
              </w:rPr>
              <w:t>$23,888</w:t>
            </w:r>
          </w:p>
        </w:tc>
        <w:tc>
          <w:tcPr>
            <w:tcW w:w="1500" w:type="dxa"/>
            <w:vAlign w:val="bottom"/>
          </w:tcPr>
          <w:p>
            <w:pPr>
              <w:jc w:val="center"/>
              <w:ind w:left="47"/>
              <w:spacing w:after="0"/>
              <w:rPr>
                <w:sz w:val="20"/>
                <w:szCs w:val="20"/>
                <w:color w:val="auto"/>
              </w:rPr>
            </w:pPr>
            <w:r>
              <w:rPr>
                <w:rFonts w:ascii="Arial" w:cs="Arial" w:eastAsia="Arial" w:hAnsi="Arial"/>
                <w:sz w:val="16"/>
                <w:szCs w:val="16"/>
                <w:color w:val="242424"/>
              </w:rPr>
              <w:t>$23,750</w:t>
            </w:r>
          </w:p>
        </w:tc>
        <w:tc>
          <w:tcPr>
            <w:tcW w:w="2440" w:type="dxa"/>
            <w:vAlign w:val="bottom"/>
            <w:gridSpan w:val="2"/>
          </w:tcPr>
          <w:p>
            <w:pPr>
              <w:jc w:val="center"/>
              <w:spacing w:after="0"/>
              <w:rPr>
                <w:sz w:val="20"/>
                <w:szCs w:val="20"/>
                <w:color w:val="auto"/>
              </w:rPr>
            </w:pPr>
            <w:r>
              <w:rPr>
                <w:rFonts w:ascii="Arial" w:cs="Arial" w:eastAsia="Arial" w:hAnsi="Arial"/>
                <w:sz w:val="16"/>
                <w:szCs w:val="16"/>
                <w:color w:val="242424"/>
              </w:rPr>
              <w:t>$25,000</w:t>
            </w:r>
          </w:p>
        </w:tc>
        <w:tc>
          <w:tcPr>
            <w:tcW w:w="240" w:type="dxa"/>
            <w:vAlign w:val="bottom"/>
          </w:tcPr>
          <w:p>
            <w:pPr>
              <w:spacing w:after="0"/>
              <w:rPr>
                <w:sz w:val="17"/>
                <w:szCs w:val="17"/>
                <w:color w:val="auto"/>
              </w:rPr>
            </w:pPr>
          </w:p>
        </w:tc>
        <w:tc>
          <w:tcPr>
            <w:tcW w:w="1380" w:type="dxa"/>
            <w:vAlign w:val="bottom"/>
            <w:tcBorders>
              <w:right w:val="single" w:sz="8" w:color="242424"/>
            </w:tcBorders>
          </w:tcPr>
          <w:p>
            <w:pPr>
              <w:jc w:val="center"/>
              <w:ind w:right="466"/>
              <w:spacing w:after="0"/>
              <w:rPr>
                <w:sz w:val="20"/>
                <w:szCs w:val="20"/>
                <w:color w:val="auto"/>
              </w:rPr>
            </w:pPr>
            <w:r>
              <w:rPr>
                <w:rFonts w:ascii="Arial" w:cs="Arial" w:eastAsia="Arial" w:hAnsi="Arial"/>
                <w:sz w:val="16"/>
                <w:szCs w:val="16"/>
                <w:color w:val="242424"/>
                <w:w w:val="96"/>
              </w:rPr>
              <w:t>$26,250</w:t>
            </w:r>
          </w:p>
        </w:tc>
        <w:tc>
          <w:tcPr>
            <w:tcW w:w="1480" w:type="dxa"/>
            <w:vAlign w:val="bottom"/>
          </w:tcPr>
          <w:p>
            <w:pPr>
              <w:jc w:val="center"/>
              <w:ind w:left="86"/>
              <w:spacing w:after="0"/>
              <w:rPr>
                <w:sz w:val="20"/>
                <w:szCs w:val="20"/>
                <w:color w:val="auto"/>
              </w:rPr>
            </w:pPr>
            <w:r>
              <w:rPr>
                <w:rFonts w:ascii="Arial" w:cs="Arial" w:eastAsia="Arial" w:hAnsi="Arial"/>
                <w:sz w:val="16"/>
                <w:szCs w:val="16"/>
                <w:color w:val="242424"/>
                <w:w w:val="96"/>
              </w:rPr>
              <w:t>$27,450</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400" w:type="dxa"/>
            <w:vAlign w:val="bottom"/>
            <w:tcBorders>
              <w:bottom w:val="single" w:sz="8" w:color="CC092F"/>
            </w:tcBorders>
          </w:tcPr>
          <w:p>
            <w:pPr>
              <w:spacing w:after="0"/>
              <w:rPr>
                <w:sz w:val="23"/>
                <w:szCs w:val="23"/>
                <w:color w:val="auto"/>
              </w:rPr>
            </w:pPr>
          </w:p>
        </w:tc>
        <w:tc>
          <w:tcPr>
            <w:tcW w:w="1500" w:type="dxa"/>
            <w:vAlign w:val="bottom"/>
            <w:tcBorders>
              <w:bottom w:val="single" w:sz="8" w:color="CC092F"/>
            </w:tcBorders>
          </w:tcPr>
          <w:p>
            <w:pPr>
              <w:spacing w:after="0"/>
              <w:rPr>
                <w:sz w:val="23"/>
                <w:szCs w:val="23"/>
                <w:color w:val="auto"/>
              </w:rPr>
            </w:pPr>
          </w:p>
        </w:tc>
        <w:tc>
          <w:tcPr>
            <w:tcW w:w="2880" w:type="dxa"/>
            <w:vAlign w:val="bottom"/>
            <w:tcBorders>
              <w:bottom w:val="single" w:sz="8" w:color="CC092F"/>
            </w:tcBorders>
            <w:gridSpan w:val="2"/>
          </w:tcPr>
          <w:p>
            <w:pPr>
              <w:spacing w:after="0"/>
              <w:rPr>
                <w:sz w:val="23"/>
                <w:szCs w:val="23"/>
                <w:color w:val="auto"/>
              </w:rPr>
            </w:pPr>
          </w:p>
        </w:tc>
        <w:tc>
          <w:tcPr>
            <w:tcW w:w="2680" w:type="dxa"/>
            <w:vAlign w:val="bottom"/>
            <w:tcBorders>
              <w:bottom w:val="single" w:sz="8" w:color="CC092F"/>
            </w:tcBorders>
            <w:gridSpan w:val="3"/>
          </w:tcPr>
          <w:p>
            <w:pPr>
              <w:spacing w:after="0"/>
              <w:rPr>
                <w:sz w:val="23"/>
                <w:szCs w:val="23"/>
                <w:color w:val="auto"/>
              </w:rPr>
            </w:pPr>
          </w:p>
        </w:tc>
        <w:tc>
          <w:tcPr>
            <w:tcW w:w="1480" w:type="dxa"/>
            <w:vAlign w:val="bottom"/>
            <w:tcBorders>
              <w:bottom w:val="single" w:sz="8" w:color="CC092F"/>
            </w:tcBorders>
          </w:tcPr>
          <w:p>
            <w:pPr>
              <w:spacing w:after="0"/>
              <w:rPr>
                <w:sz w:val="23"/>
                <w:szCs w:val="23"/>
                <w:color w:val="auto"/>
              </w:rPr>
            </w:pPr>
          </w:p>
        </w:tc>
        <w:tc>
          <w:tcPr>
            <w:tcW w:w="220" w:type="dxa"/>
            <w:vAlign w:val="bottom"/>
            <w:tcBorders>
              <w:bottom w:val="single" w:sz="8" w:color="CC092F"/>
            </w:tcBorders>
          </w:tcPr>
          <w:p>
            <w:pPr>
              <w:spacing w:after="0"/>
              <w:rPr>
                <w:sz w:val="23"/>
                <w:szCs w:val="23"/>
                <w:color w:val="auto"/>
              </w:rPr>
            </w:pPr>
          </w:p>
        </w:tc>
        <w:tc>
          <w:tcPr>
            <w:tcW w:w="1080" w:type="dxa"/>
            <w:vAlign w:val="bottom"/>
            <w:tcBorders>
              <w:bottom w:val="single" w:sz="8" w:color="CC092F"/>
            </w:tcBorders>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B8B8B8"/>
          </w:tcPr>
          <w:p>
            <w:pPr>
              <w:spacing w:after="0"/>
              <w:rPr>
                <w:sz w:val="15"/>
                <w:szCs w:val="15"/>
                <w:color w:val="auto"/>
              </w:rPr>
            </w:pPr>
          </w:p>
        </w:tc>
        <w:tc>
          <w:tcPr>
            <w:tcW w:w="1500" w:type="dxa"/>
            <w:vAlign w:val="bottom"/>
            <w:shd w:val="clear" w:color="auto" w:fill="B8B8B8"/>
          </w:tcPr>
          <w:p>
            <w:pPr>
              <w:spacing w:after="0"/>
              <w:rPr>
                <w:sz w:val="15"/>
                <w:szCs w:val="15"/>
                <w:color w:val="auto"/>
              </w:rPr>
            </w:pPr>
          </w:p>
        </w:tc>
        <w:tc>
          <w:tcPr>
            <w:tcW w:w="5560" w:type="dxa"/>
            <w:vAlign w:val="bottom"/>
            <w:tcBorders>
              <w:right w:val="single" w:sz="8" w:color="B8B8B8"/>
            </w:tcBorders>
            <w:gridSpan w:val="5"/>
            <w:shd w:val="clear" w:color="auto" w:fill="B8B8B8"/>
          </w:tcPr>
          <w:p>
            <w:pPr>
              <w:jc w:val="center"/>
              <w:ind w:right="46"/>
              <w:spacing w:after="0"/>
              <w:rPr>
                <w:sz w:val="20"/>
                <w:szCs w:val="20"/>
                <w:color w:val="auto"/>
              </w:rPr>
            </w:pPr>
            <w:r>
              <w:rPr>
                <w:rFonts w:ascii="Arial" w:cs="Arial" w:eastAsia="Arial" w:hAnsi="Arial"/>
                <w:sz w:val="14"/>
                <w:szCs w:val="14"/>
                <w:b w:val="1"/>
                <w:bCs w:val="1"/>
                <w:color w:val="FFFFFF"/>
              </w:rPr>
              <w:t>Non-GAAP Operating Margin Performance Goal Attainment</w:t>
            </w:r>
          </w:p>
        </w:tc>
        <w:tc>
          <w:tcPr>
            <w:tcW w:w="1480" w:type="dxa"/>
            <w:vAlign w:val="bottom"/>
            <w:shd w:val="clear" w:color="auto" w:fill="B8B8B8"/>
          </w:tcPr>
          <w:p>
            <w:pPr>
              <w:spacing w:after="0"/>
              <w:rPr>
                <w:sz w:val="15"/>
                <w:szCs w:val="15"/>
                <w:color w:val="auto"/>
              </w:rPr>
            </w:pPr>
          </w:p>
        </w:tc>
        <w:tc>
          <w:tcPr>
            <w:tcW w:w="220" w:type="dxa"/>
            <w:vAlign w:val="bottom"/>
            <w:tcBorders>
              <w:right w:val="single" w:sz="8" w:color="B8B8B8"/>
            </w:tcBorders>
            <w:shd w:val="clear" w:color="auto" w:fill="B8B8B8"/>
          </w:tcPr>
          <w:p>
            <w:pPr>
              <w:spacing w:after="0"/>
              <w:rPr>
                <w:sz w:val="15"/>
                <w:szCs w:val="15"/>
                <w:color w:val="auto"/>
              </w:rPr>
            </w:pPr>
          </w:p>
        </w:tc>
        <w:tc>
          <w:tcPr>
            <w:tcW w:w="1080" w:type="dxa"/>
            <w:vAlign w:val="bottom"/>
            <w:shd w:val="clear" w:color="auto" w:fill="B8B8B8"/>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400" w:type="dxa"/>
            <w:vAlign w:val="bottom"/>
            <w:vMerge w:val="restart"/>
            <w:shd w:val="clear" w:color="auto" w:fill="B8B8B8"/>
          </w:tcPr>
          <w:p>
            <w:pPr>
              <w:ind w:left="120"/>
              <w:spacing w:after="0"/>
              <w:rPr>
                <w:sz w:val="20"/>
                <w:szCs w:val="20"/>
                <w:color w:val="auto"/>
              </w:rPr>
            </w:pPr>
            <w:r>
              <w:rPr>
                <w:rFonts w:ascii="Arial" w:cs="Arial" w:eastAsia="Arial" w:hAnsi="Arial"/>
                <w:sz w:val="14"/>
                <w:szCs w:val="14"/>
                <w:b w:val="1"/>
                <w:bCs w:val="1"/>
                <w:color w:val="FFFFFF"/>
              </w:rPr>
              <w:t>Fiscal Year 2020</w:t>
            </w:r>
          </w:p>
        </w:tc>
        <w:tc>
          <w:tcPr>
            <w:tcW w:w="1500" w:type="dxa"/>
            <w:vAlign w:val="bottom"/>
            <w:shd w:val="clear" w:color="auto" w:fill="B8B8B8"/>
          </w:tcPr>
          <w:p>
            <w:pPr>
              <w:jc w:val="center"/>
              <w:ind w:right="48"/>
              <w:spacing w:after="0" w:line="157" w:lineRule="exact"/>
              <w:rPr>
                <w:sz w:val="20"/>
                <w:szCs w:val="20"/>
                <w:color w:val="auto"/>
              </w:rPr>
            </w:pPr>
            <w:r>
              <w:rPr>
                <w:rFonts w:ascii="Arial" w:cs="Arial" w:eastAsia="Arial" w:hAnsi="Arial"/>
                <w:sz w:val="14"/>
                <w:szCs w:val="14"/>
                <w:b w:val="1"/>
                <w:bCs w:val="1"/>
                <w:color w:val="FFFFFF"/>
              </w:rPr>
              <w:t>Fiscal Year 2021</w:t>
            </w:r>
          </w:p>
        </w:tc>
        <w:tc>
          <w:tcPr>
            <w:tcW w:w="1500" w:type="dxa"/>
            <w:vAlign w:val="bottom"/>
            <w:vMerge w:val="restart"/>
            <w:shd w:val="clear" w:color="auto" w:fill="B8B8B8"/>
          </w:tcPr>
          <w:p>
            <w:pPr>
              <w:jc w:val="center"/>
              <w:ind w:right="167"/>
              <w:spacing w:after="0"/>
              <w:rPr>
                <w:sz w:val="20"/>
                <w:szCs w:val="20"/>
                <w:color w:val="auto"/>
              </w:rPr>
            </w:pPr>
            <w:r>
              <w:rPr>
                <w:rFonts w:ascii="Arial" w:cs="Arial" w:eastAsia="Arial" w:hAnsi="Arial"/>
                <w:sz w:val="14"/>
                <w:szCs w:val="14"/>
                <w:b w:val="1"/>
                <w:bCs w:val="1"/>
                <w:color w:val="FFFFFF"/>
              </w:rPr>
              <w:t>Fiscal Year 2021</w:t>
            </w:r>
          </w:p>
        </w:tc>
        <w:tc>
          <w:tcPr>
            <w:tcW w:w="1380" w:type="dxa"/>
            <w:vAlign w:val="bottom"/>
            <w:tcBorders>
              <w:right w:val="single" w:sz="8" w:color="B8B8B8"/>
            </w:tcBorders>
            <w:shd w:val="clear" w:color="auto" w:fill="B8B8B8"/>
          </w:tcPr>
          <w:p>
            <w:pPr>
              <w:jc w:val="center"/>
              <w:ind w:right="48"/>
              <w:spacing w:after="0" w:line="157" w:lineRule="exact"/>
              <w:rPr>
                <w:sz w:val="20"/>
                <w:szCs w:val="20"/>
                <w:color w:val="auto"/>
              </w:rPr>
            </w:pPr>
            <w:r>
              <w:rPr>
                <w:rFonts w:ascii="Arial" w:cs="Arial" w:eastAsia="Arial" w:hAnsi="Arial"/>
                <w:sz w:val="14"/>
                <w:szCs w:val="14"/>
                <w:b w:val="1"/>
                <w:bCs w:val="1"/>
                <w:color w:val="FFFFFF"/>
              </w:rPr>
              <w:t>Fiscal Year 2021</w:t>
            </w:r>
          </w:p>
        </w:tc>
        <w:tc>
          <w:tcPr>
            <w:tcW w:w="1300" w:type="dxa"/>
            <w:vAlign w:val="bottom"/>
            <w:gridSpan w:val="2"/>
            <w:vMerge w:val="restart"/>
            <w:shd w:val="clear" w:color="auto" w:fill="B8B8B8"/>
          </w:tcPr>
          <w:p>
            <w:pPr>
              <w:jc w:val="center"/>
              <w:spacing w:after="0"/>
              <w:rPr>
                <w:sz w:val="20"/>
                <w:szCs w:val="20"/>
                <w:color w:val="auto"/>
              </w:rPr>
            </w:pPr>
            <w:r>
              <w:rPr>
                <w:rFonts w:ascii="Arial" w:cs="Arial" w:eastAsia="Arial" w:hAnsi="Arial"/>
                <w:sz w:val="14"/>
                <w:szCs w:val="14"/>
                <w:b w:val="1"/>
                <w:bCs w:val="1"/>
                <w:color w:val="FFFFFF"/>
                <w:w w:val="99"/>
              </w:rPr>
              <w:t>Fiscal Year 2021</w:t>
            </w:r>
          </w:p>
        </w:tc>
        <w:tc>
          <w:tcPr>
            <w:tcW w:w="1380" w:type="dxa"/>
            <w:vAlign w:val="bottom"/>
            <w:tcBorders>
              <w:right w:val="single" w:sz="8" w:color="B8B8B8"/>
            </w:tcBorders>
            <w:shd w:val="clear" w:color="auto" w:fill="B8B8B8"/>
          </w:tcPr>
          <w:p>
            <w:pPr>
              <w:jc w:val="center"/>
              <w:spacing w:after="0" w:line="157" w:lineRule="exact"/>
              <w:rPr>
                <w:sz w:val="20"/>
                <w:szCs w:val="20"/>
                <w:color w:val="auto"/>
              </w:rPr>
            </w:pPr>
            <w:r>
              <w:rPr>
                <w:rFonts w:ascii="Arial" w:cs="Arial" w:eastAsia="Arial" w:hAnsi="Arial"/>
                <w:sz w:val="14"/>
                <w:szCs w:val="14"/>
                <w:b w:val="1"/>
                <w:bCs w:val="1"/>
                <w:color w:val="FFFFFF"/>
              </w:rPr>
              <w:t>Provisions or</w:t>
            </w:r>
          </w:p>
        </w:tc>
        <w:tc>
          <w:tcPr>
            <w:tcW w:w="1480" w:type="dxa"/>
            <w:vAlign w:val="bottom"/>
            <w:shd w:val="clear" w:color="auto" w:fill="B8B8B8"/>
          </w:tcPr>
          <w:p>
            <w:pPr>
              <w:jc w:val="center"/>
              <w:spacing w:after="0" w:line="157" w:lineRule="exact"/>
              <w:rPr>
                <w:sz w:val="20"/>
                <w:szCs w:val="20"/>
                <w:color w:val="auto"/>
              </w:rPr>
            </w:pPr>
            <w:r>
              <w:rPr>
                <w:rFonts w:ascii="Arial" w:cs="Arial" w:eastAsia="Arial" w:hAnsi="Arial"/>
                <w:sz w:val="14"/>
                <w:szCs w:val="14"/>
                <w:b w:val="1"/>
                <w:bCs w:val="1"/>
                <w:color w:val="FFFFFF"/>
              </w:rPr>
              <w:t>Fiscal Year 2021</w:t>
            </w:r>
          </w:p>
        </w:tc>
        <w:tc>
          <w:tcPr>
            <w:tcW w:w="1300" w:type="dxa"/>
            <w:vAlign w:val="bottom"/>
            <w:gridSpan w:val="2"/>
            <w:vMerge w:val="restart"/>
            <w:shd w:val="clear" w:color="auto" w:fill="B8B8B8"/>
          </w:tcPr>
          <w:p>
            <w:pPr>
              <w:jc w:val="center"/>
              <w:ind w:right="9"/>
              <w:spacing w:after="0"/>
              <w:rPr>
                <w:sz w:val="20"/>
                <w:szCs w:val="20"/>
                <w:color w:val="auto"/>
              </w:rPr>
            </w:pPr>
            <w:r>
              <w:rPr>
                <w:rFonts w:ascii="Arial" w:cs="Arial" w:eastAsia="Arial" w:hAnsi="Arial"/>
                <w:sz w:val="14"/>
                <w:szCs w:val="14"/>
                <w:b w:val="1"/>
                <w:bCs w:val="1"/>
                <w:color w:val="FFFFFF"/>
              </w:rPr>
              <w:t>Fiscal Year 2021</w:t>
            </w:r>
          </w:p>
        </w:tc>
        <w:tc>
          <w:tcPr>
            <w:tcW w:w="0" w:type="dxa"/>
            <w:vAlign w:val="bottom"/>
          </w:tcPr>
          <w:p>
            <w:pPr>
              <w:spacing w:after="0"/>
              <w:rPr>
                <w:sz w:val="1"/>
                <w:szCs w:val="1"/>
                <w:color w:val="auto"/>
              </w:rPr>
            </w:pPr>
          </w:p>
        </w:tc>
      </w:tr>
      <w:tr>
        <w:trPr>
          <w:trHeight w:val="133"/>
        </w:trPr>
        <w:tc>
          <w:tcPr>
            <w:tcW w:w="1400" w:type="dxa"/>
            <w:vAlign w:val="bottom"/>
            <w:vMerge w:val="continue"/>
            <w:shd w:val="clear" w:color="auto" w:fill="B8B8B8"/>
          </w:tcPr>
          <w:p>
            <w:pPr>
              <w:spacing w:after="0"/>
              <w:rPr>
                <w:sz w:val="11"/>
                <w:szCs w:val="11"/>
                <w:color w:val="auto"/>
              </w:rPr>
            </w:pPr>
          </w:p>
        </w:tc>
        <w:tc>
          <w:tcPr>
            <w:tcW w:w="1500" w:type="dxa"/>
            <w:vAlign w:val="bottom"/>
            <w:shd w:val="clear" w:color="auto" w:fill="B8B8B8"/>
          </w:tcPr>
          <w:p>
            <w:pPr>
              <w:jc w:val="center"/>
              <w:ind w:right="68"/>
              <w:spacing w:after="0" w:line="133" w:lineRule="exact"/>
              <w:rPr>
                <w:sz w:val="20"/>
                <w:szCs w:val="20"/>
                <w:color w:val="auto"/>
              </w:rPr>
            </w:pPr>
            <w:r>
              <w:rPr>
                <w:rFonts w:ascii="Arial" w:cs="Arial" w:eastAsia="Arial" w:hAnsi="Arial"/>
                <w:sz w:val="14"/>
                <w:szCs w:val="14"/>
                <w:b w:val="1"/>
                <w:bCs w:val="1"/>
                <w:color w:val="FFFFFF"/>
              </w:rPr>
              <w:t>Adjusted</w:t>
            </w:r>
          </w:p>
        </w:tc>
        <w:tc>
          <w:tcPr>
            <w:tcW w:w="1500" w:type="dxa"/>
            <w:vAlign w:val="bottom"/>
            <w:vMerge w:val="continue"/>
            <w:shd w:val="clear" w:color="auto" w:fill="B8B8B8"/>
          </w:tcPr>
          <w:p>
            <w:pPr>
              <w:spacing w:after="0"/>
              <w:rPr>
                <w:sz w:val="11"/>
                <w:szCs w:val="11"/>
                <w:color w:val="auto"/>
              </w:rPr>
            </w:pPr>
          </w:p>
        </w:tc>
        <w:tc>
          <w:tcPr>
            <w:tcW w:w="1380" w:type="dxa"/>
            <w:vAlign w:val="bottom"/>
            <w:tcBorders>
              <w:right w:val="single" w:sz="8" w:color="B8B8B8"/>
            </w:tcBorders>
            <w:shd w:val="clear" w:color="auto" w:fill="B8B8B8"/>
          </w:tcPr>
          <w:p>
            <w:pPr>
              <w:jc w:val="center"/>
              <w:ind w:right="68"/>
              <w:spacing w:after="0" w:line="133" w:lineRule="exact"/>
              <w:rPr>
                <w:sz w:val="20"/>
                <w:szCs w:val="20"/>
                <w:color w:val="auto"/>
              </w:rPr>
            </w:pPr>
            <w:r>
              <w:rPr>
                <w:rFonts w:ascii="Arial" w:cs="Arial" w:eastAsia="Arial" w:hAnsi="Arial"/>
                <w:sz w:val="14"/>
                <w:szCs w:val="14"/>
                <w:b w:val="1"/>
                <w:bCs w:val="1"/>
                <w:color w:val="FFFFFF"/>
              </w:rPr>
              <w:t>Adjusted</w:t>
            </w:r>
          </w:p>
        </w:tc>
        <w:tc>
          <w:tcPr>
            <w:tcW w:w="1300" w:type="dxa"/>
            <w:vAlign w:val="bottom"/>
            <w:gridSpan w:val="2"/>
            <w:vMerge w:val="continue"/>
            <w:shd w:val="clear" w:color="auto" w:fill="B8B8B8"/>
          </w:tcPr>
          <w:p>
            <w:pPr>
              <w:spacing w:after="0"/>
              <w:rPr>
                <w:sz w:val="11"/>
                <w:szCs w:val="11"/>
                <w:color w:val="auto"/>
              </w:rPr>
            </w:pPr>
          </w:p>
        </w:tc>
        <w:tc>
          <w:tcPr>
            <w:tcW w:w="1380" w:type="dxa"/>
            <w:vAlign w:val="bottom"/>
            <w:tcBorders>
              <w:right w:val="single" w:sz="8" w:color="B8B8B8"/>
            </w:tcBorders>
            <w:shd w:val="clear" w:color="auto" w:fill="B8B8B8"/>
          </w:tcPr>
          <w:p>
            <w:pPr>
              <w:jc w:val="center"/>
              <w:spacing w:after="0" w:line="133" w:lineRule="exact"/>
              <w:rPr>
                <w:sz w:val="20"/>
                <w:szCs w:val="20"/>
                <w:color w:val="auto"/>
              </w:rPr>
            </w:pPr>
            <w:r>
              <w:rPr>
                <w:rFonts w:ascii="Arial" w:cs="Arial" w:eastAsia="Arial" w:hAnsi="Arial"/>
                <w:sz w:val="14"/>
                <w:szCs w:val="14"/>
                <w:b w:val="1"/>
                <w:bCs w:val="1"/>
                <w:color w:val="FFFFFF"/>
              </w:rPr>
              <w:t>Accruals for</w:t>
            </w:r>
          </w:p>
        </w:tc>
        <w:tc>
          <w:tcPr>
            <w:tcW w:w="1480" w:type="dxa"/>
            <w:vAlign w:val="bottom"/>
            <w:shd w:val="clear" w:color="auto" w:fill="B8B8B8"/>
          </w:tcPr>
          <w:p>
            <w:pPr>
              <w:jc w:val="center"/>
              <w:spacing w:after="0" w:line="133" w:lineRule="exact"/>
              <w:rPr>
                <w:sz w:val="20"/>
                <w:szCs w:val="20"/>
                <w:color w:val="auto"/>
              </w:rPr>
            </w:pPr>
            <w:r>
              <w:rPr>
                <w:rFonts w:ascii="Arial" w:cs="Arial" w:eastAsia="Arial" w:hAnsi="Arial"/>
                <w:sz w:val="14"/>
                <w:szCs w:val="14"/>
                <w:b w:val="1"/>
                <w:bCs w:val="1"/>
                <w:color w:val="FFFFFF"/>
              </w:rPr>
              <w:t>Adjusted</w:t>
            </w:r>
          </w:p>
        </w:tc>
        <w:tc>
          <w:tcPr>
            <w:tcW w:w="1300" w:type="dxa"/>
            <w:vAlign w:val="bottom"/>
            <w:gridSpan w:val="2"/>
            <w:vMerge w:val="continue"/>
            <w:shd w:val="clear" w:color="auto" w:fill="B8B8B8"/>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00" w:type="dxa"/>
            <w:vAlign w:val="bottom"/>
            <w:shd w:val="clear" w:color="auto" w:fill="B8B8B8"/>
          </w:tcPr>
          <w:p>
            <w:pPr>
              <w:jc w:val="center"/>
              <w:spacing w:after="0" w:line="133" w:lineRule="exact"/>
              <w:rPr>
                <w:sz w:val="20"/>
                <w:szCs w:val="20"/>
                <w:color w:val="auto"/>
              </w:rPr>
            </w:pPr>
            <w:r>
              <w:rPr>
                <w:rFonts w:ascii="Arial" w:cs="Arial" w:eastAsia="Arial" w:hAnsi="Arial"/>
                <w:sz w:val="14"/>
                <w:szCs w:val="14"/>
                <w:b w:val="1"/>
                <w:bCs w:val="1"/>
                <w:color w:val="FFFFFF"/>
              </w:rPr>
              <w:t>APB Plan Adjusted</w:t>
            </w:r>
          </w:p>
        </w:tc>
        <w:tc>
          <w:tcPr>
            <w:tcW w:w="1500" w:type="dxa"/>
            <w:vAlign w:val="bottom"/>
            <w:shd w:val="clear" w:color="auto" w:fill="B8B8B8"/>
          </w:tcPr>
          <w:p>
            <w:pPr>
              <w:jc w:val="center"/>
              <w:ind w:right="48"/>
              <w:spacing w:after="0" w:line="133" w:lineRule="exact"/>
              <w:rPr>
                <w:sz w:val="20"/>
                <w:szCs w:val="20"/>
                <w:color w:val="auto"/>
              </w:rPr>
            </w:pPr>
            <w:r>
              <w:rPr>
                <w:rFonts w:ascii="Arial" w:cs="Arial" w:eastAsia="Arial" w:hAnsi="Arial"/>
                <w:sz w:val="14"/>
                <w:szCs w:val="14"/>
                <w:b w:val="1"/>
                <w:bCs w:val="1"/>
                <w:color w:val="FFFFFF"/>
              </w:rPr>
              <w:t>Non-GAAP</w:t>
            </w:r>
          </w:p>
        </w:tc>
        <w:tc>
          <w:tcPr>
            <w:tcW w:w="1500" w:type="dxa"/>
            <w:vAlign w:val="bottom"/>
            <w:shd w:val="clear" w:color="auto" w:fill="B8B8B8"/>
          </w:tcPr>
          <w:p>
            <w:pPr>
              <w:jc w:val="center"/>
              <w:ind w:right="127"/>
              <w:spacing w:after="0" w:line="133" w:lineRule="exact"/>
              <w:rPr>
                <w:sz w:val="20"/>
                <w:szCs w:val="20"/>
                <w:color w:val="auto"/>
              </w:rPr>
            </w:pPr>
            <w:r>
              <w:rPr>
                <w:rFonts w:ascii="Arial" w:cs="Arial" w:eastAsia="Arial" w:hAnsi="Arial"/>
                <w:sz w:val="14"/>
                <w:szCs w:val="14"/>
                <w:b w:val="1"/>
                <w:bCs w:val="1"/>
                <w:color w:val="FFFFFF"/>
              </w:rPr>
              <w:t>Adjusted</w:t>
            </w:r>
          </w:p>
        </w:tc>
        <w:tc>
          <w:tcPr>
            <w:tcW w:w="1380" w:type="dxa"/>
            <w:vAlign w:val="bottom"/>
            <w:tcBorders>
              <w:right w:val="single" w:sz="8" w:color="B8B8B8"/>
            </w:tcBorders>
            <w:shd w:val="clear" w:color="auto" w:fill="B8B8B8"/>
          </w:tcPr>
          <w:p>
            <w:pPr>
              <w:jc w:val="center"/>
              <w:ind w:right="8"/>
              <w:spacing w:after="0" w:line="133" w:lineRule="exact"/>
              <w:rPr>
                <w:sz w:val="20"/>
                <w:szCs w:val="20"/>
                <w:color w:val="auto"/>
              </w:rPr>
            </w:pPr>
            <w:r>
              <w:rPr>
                <w:rFonts w:ascii="Arial" w:cs="Arial" w:eastAsia="Arial" w:hAnsi="Arial"/>
                <w:sz w:val="14"/>
                <w:szCs w:val="14"/>
                <w:b w:val="1"/>
                <w:bCs w:val="1"/>
                <w:color w:val="FFFFFF"/>
              </w:rPr>
              <w:t>Non-GAAP</w:t>
            </w:r>
          </w:p>
        </w:tc>
        <w:tc>
          <w:tcPr>
            <w:tcW w:w="1060" w:type="dxa"/>
            <w:vAlign w:val="bottom"/>
            <w:shd w:val="clear" w:color="auto" w:fill="B8B8B8"/>
          </w:tcPr>
          <w:p>
            <w:pPr>
              <w:jc w:val="center"/>
              <w:ind w:left="187"/>
              <w:spacing w:after="0" w:line="133" w:lineRule="exact"/>
              <w:rPr>
                <w:sz w:val="20"/>
                <w:szCs w:val="20"/>
                <w:color w:val="auto"/>
              </w:rPr>
            </w:pPr>
            <w:r>
              <w:rPr>
                <w:rFonts w:ascii="Arial" w:cs="Arial" w:eastAsia="Arial" w:hAnsi="Arial"/>
                <w:sz w:val="14"/>
                <w:szCs w:val="14"/>
                <w:b w:val="1"/>
                <w:bCs w:val="1"/>
                <w:color w:val="FFFFFF"/>
                <w:w w:val="99"/>
              </w:rPr>
              <w:t>Non-GAAP</w:t>
            </w:r>
          </w:p>
        </w:tc>
        <w:tc>
          <w:tcPr>
            <w:tcW w:w="240" w:type="dxa"/>
            <w:vAlign w:val="bottom"/>
            <w:shd w:val="clear" w:color="auto" w:fill="B8B8B8"/>
          </w:tcPr>
          <w:p>
            <w:pPr>
              <w:spacing w:after="0"/>
              <w:rPr>
                <w:sz w:val="11"/>
                <w:szCs w:val="11"/>
                <w:color w:val="auto"/>
              </w:rPr>
            </w:pPr>
          </w:p>
        </w:tc>
        <w:tc>
          <w:tcPr>
            <w:tcW w:w="1380" w:type="dxa"/>
            <w:vAlign w:val="bottom"/>
            <w:tcBorders>
              <w:right w:val="single" w:sz="8" w:color="B8B8B8"/>
            </w:tcBorders>
            <w:shd w:val="clear" w:color="auto" w:fill="B8B8B8"/>
          </w:tcPr>
          <w:p>
            <w:pPr>
              <w:jc w:val="center"/>
              <w:spacing w:after="0" w:line="133" w:lineRule="exact"/>
              <w:rPr>
                <w:sz w:val="20"/>
                <w:szCs w:val="20"/>
                <w:color w:val="auto"/>
              </w:rPr>
            </w:pPr>
            <w:r>
              <w:rPr>
                <w:rFonts w:ascii="Arial" w:cs="Arial" w:eastAsia="Arial" w:hAnsi="Arial"/>
                <w:sz w:val="14"/>
                <w:szCs w:val="14"/>
                <w:b w:val="1"/>
                <w:bCs w:val="1"/>
                <w:color w:val="FFFFFF"/>
                <w:w w:val="99"/>
              </w:rPr>
              <w:t>Anticipated</w:t>
            </w:r>
          </w:p>
        </w:tc>
        <w:tc>
          <w:tcPr>
            <w:tcW w:w="1480" w:type="dxa"/>
            <w:vAlign w:val="bottom"/>
            <w:shd w:val="clear" w:color="auto" w:fill="B8B8B8"/>
          </w:tcPr>
          <w:p>
            <w:pPr>
              <w:jc w:val="center"/>
              <w:spacing w:after="0" w:line="133" w:lineRule="exact"/>
              <w:rPr>
                <w:sz w:val="20"/>
                <w:szCs w:val="20"/>
                <w:color w:val="auto"/>
              </w:rPr>
            </w:pPr>
            <w:r>
              <w:rPr>
                <w:rFonts w:ascii="Arial" w:cs="Arial" w:eastAsia="Arial" w:hAnsi="Arial"/>
                <w:sz w:val="14"/>
                <w:szCs w:val="14"/>
                <w:b w:val="1"/>
                <w:bCs w:val="1"/>
                <w:color w:val="FFFFFF"/>
                <w:w w:val="99"/>
              </w:rPr>
              <w:t>Non- GAAP</w:t>
            </w:r>
          </w:p>
        </w:tc>
        <w:tc>
          <w:tcPr>
            <w:tcW w:w="220" w:type="dxa"/>
            <w:vAlign w:val="bottom"/>
            <w:tcBorders>
              <w:right w:val="single" w:sz="8" w:color="B8B8B8"/>
            </w:tcBorders>
            <w:shd w:val="clear" w:color="auto" w:fill="B8B8B8"/>
          </w:tcPr>
          <w:p>
            <w:pPr>
              <w:spacing w:after="0"/>
              <w:rPr>
                <w:sz w:val="11"/>
                <w:szCs w:val="11"/>
                <w:color w:val="auto"/>
              </w:rPr>
            </w:pPr>
          </w:p>
        </w:tc>
        <w:tc>
          <w:tcPr>
            <w:tcW w:w="1080" w:type="dxa"/>
            <w:vAlign w:val="bottom"/>
            <w:shd w:val="clear" w:color="auto" w:fill="B8B8B8"/>
          </w:tcPr>
          <w:p>
            <w:pPr>
              <w:jc w:val="center"/>
              <w:ind w:right="209"/>
              <w:spacing w:after="0" w:line="133" w:lineRule="exact"/>
              <w:rPr>
                <w:sz w:val="20"/>
                <w:szCs w:val="20"/>
                <w:color w:val="auto"/>
              </w:rPr>
            </w:pPr>
            <w:r>
              <w:rPr>
                <w:rFonts w:ascii="Arial" w:cs="Arial" w:eastAsia="Arial" w:hAnsi="Arial"/>
                <w:sz w:val="14"/>
                <w:szCs w:val="14"/>
                <w:b w:val="1"/>
                <w:bCs w:val="1"/>
                <w:color w:val="FFFFFF"/>
              </w:rPr>
              <w:t>Adjusted</w:t>
            </w:r>
          </w:p>
        </w:tc>
        <w:tc>
          <w:tcPr>
            <w:tcW w:w="0" w:type="dxa"/>
            <w:vAlign w:val="bottom"/>
          </w:tcPr>
          <w:p>
            <w:pPr>
              <w:spacing w:after="0"/>
              <w:rPr>
                <w:sz w:val="1"/>
                <w:szCs w:val="1"/>
                <w:color w:val="auto"/>
              </w:rPr>
            </w:pPr>
          </w:p>
        </w:tc>
      </w:tr>
      <w:tr>
        <w:trPr>
          <w:trHeight w:val="133"/>
        </w:trPr>
        <w:tc>
          <w:tcPr>
            <w:tcW w:w="1400" w:type="dxa"/>
            <w:vAlign w:val="bottom"/>
            <w:shd w:val="clear" w:color="auto" w:fill="B8B8B8"/>
          </w:tcPr>
          <w:p>
            <w:pPr>
              <w:jc w:val="center"/>
              <w:spacing w:after="0" w:line="133" w:lineRule="exact"/>
              <w:rPr>
                <w:sz w:val="20"/>
                <w:szCs w:val="20"/>
                <w:color w:val="auto"/>
              </w:rPr>
            </w:pPr>
            <w:r>
              <w:rPr>
                <w:rFonts w:ascii="Arial" w:cs="Arial" w:eastAsia="Arial" w:hAnsi="Arial"/>
                <w:sz w:val="14"/>
                <w:szCs w:val="14"/>
                <w:b w:val="1"/>
                <w:bCs w:val="1"/>
                <w:color w:val="FFFFFF"/>
                <w:w w:val="99"/>
              </w:rPr>
              <w:t>Non-GAAP</w:t>
            </w:r>
          </w:p>
        </w:tc>
        <w:tc>
          <w:tcPr>
            <w:tcW w:w="3000" w:type="dxa"/>
            <w:vAlign w:val="bottom"/>
            <w:gridSpan w:val="2"/>
            <w:shd w:val="clear" w:color="auto" w:fill="B8B8B8"/>
          </w:tcPr>
          <w:p>
            <w:pPr>
              <w:ind w:left="100"/>
              <w:spacing w:after="0" w:line="133" w:lineRule="exact"/>
              <w:rPr>
                <w:sz w:val="20"/>
                <w:szCs w:val="20"/>
                <w:color w:val="auto"/>
              </w:rPr>
            </w:pPr>
            <w:r>
              <w:rPr>
                <w:rFonts w:ascii="Arial" w:cs="Arial" w:eastAsia="Arial" w:hAnsi="Arial"/>
                <w:sz w:val="14"/>
                <w:szCs w:val="14"/>
                <w:b w:val="1"/>
                <w:bCs w:val="1"/>
                <w:color w:val="FFFFFF"/>
              </w:rPr>
              <w:t>Operating Margin  Non-GAAP Operating</w:t>
            </w:r>
          </w:p>
        </w:tc>
        <w:tc>
          <w:tcPr>
            <w:tcW w:w="1380" w:type="dxa"/>
            <w:vAlign w:val="bottom"/>
            <w:tcBorders>
              <w:right w:val="single" w:sz="8" w:color="B8B8B8"/>
            </w:tcBorders>
            <w:shd w:val="clear" w:color="auto" w:fill="B8B8B8"/>
          </w:tcPr>
          <w:p>
            <w:pPr>
              <w:jc w:val="center"/>
              <w:ind w:right="48"/>
              <w:spacing w:after="0" w:line="133" w:lineRule="exact"/>
              <w:rPr>
                <w:sz w:val="20"/>
                <w:szCs w:val="20"/>
                <w:color w:val="auto"/>
              </w:rPr>
            </w:pPr>
            <w:r>
              <w:rPr>
                <w:rFonts w:ascii="Arial" w:cs="Arial" w:eastAsia="Arial" w:hAnsi="Arial"/>
                <w:sz w:val="14"/>
                <w:szCs w:val="14"/>
                <w:b w:val="1"/>
                <w:bCs w:val="1"/>
                <w:color w:val="FFFFFF"/>
              </w:rPr>
              <w:t>Operating Margin</w:t>
            </w:r>
          </w:p>
        </w:tc>
        <w:tc>
          <w:tcPr>
            <w:tcW w:w="1300" w:type="dxa"/>
            <w:vAlign w:val="bottom"/>
            <w:gridSpan w:val="2"/>
            <w:shd w:val="clear" w:color="auto" w:fill="B8B8B8"/>
          </w:tcPr>
          <w:p>
            <w:pPr>
              <w:jc w:val="center"/>
              <w:spacing w:after="0" w:line="133" w:lineRule="exact"/>
              <w:rPr>
                <w:sz w:val="20"/>
                <w:szCs w:val="20"/>
                <w:color w:val="auto"/>
              </w:rPr>
            </w:pPr>
            <w:r>
              <w:rPr>
                <w:rFonts w:ascii="Arial" w:cs="Arial" w:eastAsia="Arial" w:hAnsi="Arial"/>
                <w:sz w:val="14"/>
                <w:szCs w:val="14"/>
                <w:b w:val="1"/>
                <w:bCs w:val="1"/>
                <w:color w:val="FFFFFF"/>
              </w:rPr>
              <w:t>Operating Income</w:t>
            </w:r>
          </w:p>
        </w:tc>
        <w:tc>
          <w:tcPr>
            <w:tcW w:w="1380" w:type="dxa"/>
            <w:vAlign w:val="bottom"/>
            <w:tcBorders>
              <w:right w:val="single" w:sz="8" w:color="B8B8B8"/>
            </w:tcBorders>
            <w:shd w:val="clear" w:color="auto" w:fill="B8B8B8"/>
          </w:tcPr>
          <w:p>
            <w:pPr>
              <w:jc w:val="center"/>
              <w:spacing w:after="0" w:line="133" w:lineRule="exact"/>
              <w:rPr>
                <w:sz w:val="20"/>
                <w:szCs w:val="20"/>
                <w:color w:val="auto"/>
              </w:rPr>
            </w:pPr>
            <w:r>
              <w:rPr>
                <w:rFonts w:ascii="Arial" w:cs="Arial" w:eastAsia="Arial" w:hAnsi="Arial"/>
                <w:sz w:val="14"/>
                <w:szCs w:val="14"/>
                <w:b w:val="1"/>
                <w:bCs w:val="1"/>
                <w:color w:val="FFFFFF"/>
              </w:rPr>
              <w:t>Payouts Under</w:t>
            </w:r>
          </w:p>
        </w:tc>
        <w:tc>
          <w:tcPr>
            <w:tcW w:w="1480" w:type="dxa"/>
            <w:vAlign w:val="bottom"/>
            <w:shd w:val="clear" w:color="auto" w:fill="B8B8B8"/>
          </w:tcPr>
          <w:p>
            <w:pPr>
              <w:jc w:val="center"/>
              <w:spacing w:after="0" w:line="133" w:lineRule="exact"/>
              <w:rPr>
                <w:sz w:val="20"/>
                <w:szCs w:val="20"/>
                <w:color w:val="auto"/>
              </w:rPr>
            </w:pPr>
            <w:r>
              <w:rPr>
                <w:rFonts w:ascii="Arial" w:cs="Arial" w:eastAsia="Arial" w:hAnsi="Arial"/>
                <w:sz w:val="14"/>
                <w:szCs w:val="14"/>
                <w:b w:val="1"/>
                <w:bCs w:val="1"/>
                <w:color w:val="FFFFFF"/>
              </w:rPr>
              <w:t>Operating Income</w:t>
            </w:r>
          </w:p>
        </w:tc>
        <w:tc>
          <w:tcPr>
            <w:tcW w:w="220" w:type="dxa"/>
            <w:vAlign w:val="bottom"/>
            <w:tcBorders>
              <w:right w:val="single" w:sz="8" w:color="B8B8B8"/>
            </w:tcBorders>
            <w:shd w:val="clear" w:color="auto" w:fill="B8B8B8"/>
          </w:tcPr>
          <w:p>
            <w:pPr>
              <w:spacing w:after="0"/>
              <w:rPr>
                <w:sz w:val="11"/>
                <w:szCs w:val="11"/>
                <w:color w:val="auto"/>
              </w:rPr>
            </w:pPr>
          </w:p>
        </w:tc>
        <w:tc>
          <w:tcPr>
            <w:tcW w:w="1080" w:type="dxa"/>
            <w:vAlign w:val="bottom"/>
            <w:shd w:val="clear" w:color="auto" w:fill="B8B8B8"/>
          </w:tcPr>
          <w:p>
            <w:pPr>
              <w:jc w:val="center"/>
              <w:ind w:right="189"/>
              <w:spacing w:after="0" w:line="133" w:lineRule="exact"/>
              <w:rPr>
                <w:sz w:val="20"/>
                <w:szCs w:val="20"/>
                <w:color w:val="auto"/>
              </w:rPr>
            </w:pPr>
            <w:r>
              <w:rPr>
                <w:rFonts w:ascii="Arial" w:cs="Arial" w:eastAsia="Arial" w:hAnsi="Arial"/>
                <w:sz w:val="14"/>
                <w:szCs w:val="14"/>
                <w:b w:val="1"/>
                <w:bCs w:val="1"/>
                <w:color w:val="FFFFFF"/>
              </w:rPr>
              <w:t>Non-GAAP</w:t>
            </w:r>
          </w:p>
        </w:tc>
        <w:tc>
          <w:tcPr>
            <w:tcW w:w="0" w:type="dxa"/>
            <w:vAlign w:val="bottom"/>
          </w:tcPr>
          <w:p>
            <w:pPr>
              <w:spacing w:after="0"/>
              <w:rPr>
                <w:sz w:val="1"/>
                <w:szCs w:val="1"/>
                <w:color w:val="auto"/>
              </w:rPr>
            </w:pPr>
          </w:p>
        </w:tc>
      </w:tr>
      <w:tr>
        <w:trPr>
          <w:trHeight w:val="133"/>
        </w:trPr>
        <w:tc>
          <w:tcPr>
            <w:tcW w:w="1400" w:type="dxa"/>
            <w:vAlign w:val="bottom"/>
            <w:shd w:val="clear" w:color="auto" w:fill="B8B8B8"/>
          </w:tcPr>
          <w:p>
            <w:pPr>
              <w:jc w:val="center"/>
              <w:spacing w:after="0" w:line="133" w:lineRule="exact"/>
              <w:rPr>
                <w:sz w:val="20"/>
                <w:szCs w:val="20"/>
                <w:color w:val="auto"/>
              </w:rPr>
            </w:pPr>
            <w:r>
              <w:rPr>
                <w:rFonts w:ascii="Arial" w:cs="Arial" w:eastAsia="Arial" w:hAnsi="Arial"/>
                <w:sz w:val="14"/>
                <w:szCs w:val="14"/>
                <w:b w:val="1"/>
                <w:bCs w:val="1"/>
                <w:color w:val="FFFFFF"/>
              </w:rPr>
              <w:t>Operating Margin</w:t>
            </w:r>
          </w:p>
        </w:tc>
        <w:tc>
          <w:tcPr>
            <w:tcW w:w="1500" w:type="dxa"/>
            <w:vAlign w:val="bottom"/>
            <w:shd w:val="clear" w:color="auto" w:fill="B8B8B8"/>
          </w:tcPr>
          <w:p>
            <w:pPr>
              <w:jc w:val="center"/>
              <w:ind w:right="68"/>
              <w:spacing w:after="0" w:line="133" w:lineRule="exact"/>
              <w:rPr>
                <w:sz w:val="20"/>
                <w:szCs w:val="20"/>
                <w:color w:val="auto"/>
              </w:rPr>
            </w:pPr>
            <w:r>
              <w:rPr>
                <w:rFonts w:ascii="Arial" w:cs="Arial" w:eastAsia="Arial" w:hAnsi="Arial"/>
                <w:sz w:val="14"/>
                <w:szCs w:val="14"/>
                <w:b w:val="1"/>
                <w:bCs w:val="1"/>
                <w:color w:val="FFFFFF"/>
              </w:rPr>
              <w:t>Threshold</w:t>
            </w:r>
          </w:p>
        </w:tc>
        <w:tc>
          <w:tcPr>
            <w:tcW w:w="1500" w:type="dxa"/>
            <w:vAlign w:val="bottom"/>
            <w:shd w:val="clear" w:color="auto" w:fill="B8B8B8"/>
          </w:tcPr>
          <w:p>
            <w:pPr>
              <w:jc w:val="center"/>
              <w:ind w:right="127"/>
              <w:spacing w:after="0" w:line="133" w:lineRule="exact"/>
              <w:rPr>
                <w:sz w:val="20"/>
                <w:szCs w:val="20"/>
                <w:color w:val="auto"/>
              </w:rPr>
            </w:pPr>
            <w:r>
              <w:rPr>
                <w:rFonts w:ascii="Arial" w:cs="Arial" w:eastAsia="Arial" w:hAnsi="Arial"/>
                <w:sz w:val="14"/>
                <w:szCs w:val="14"/>
                <w:b w:val="1"/>
                <w:bCs w:val="1"/>
                <w:color w:val="FFFFFF"/>
              </w:rPr>
              <w:t>Margin Target</w:t>
            </w:r>
          </w:p>
        </w:tc>
        <w:tc>
          <w:tcPr>
            <w:tcW w:w="1380" w:type="dxa"/>
            <w:vAlign w:val="bottom"/>
            <w:tcBorders>
              <w:right w:val="single" w:sz="8" w:color="B8B8B8"/>
            </w:tcBorders>
            <w:shd w:val="clear" w:color="auto" w:fill="B8B8B8"/>
          </w:tcPr>
          <w:p>
            <w:pPr>
              <w:jc w:val="center"/>
              <w:ind w:right="48"/>
              <w:spacing w:after="0" w:line="133" w:lineRule="exact"/>
              <w:rPr>
                <w:sz w:val="20"/>
                <w:szCs w:val="20"/>
                <w:color w:val="auto"/>
              </w:rPr>
            </w:pPr>
            <w:r>
              <w:rPr>
                <w:rFonts w:ascii="Arial" w:cs="Arial" w:eastAsia="Arial" w:hAnsi="Arial"/>
                <w:sz w:val="14"/>
                <w:szCs w:val="14"/>
                <w:b w:val="1"/>
                <w:bCs w:val="1"/>
                <w:color w:val="FFFFFF"/>
              </w:rPr>
              <w:t>Maximum</w:t>
            </w:r>
          </w:p>
        </w:tc>
        <w:tc>
          <w:tcPr>
            <w:tcW w:w="1060" w:type="dxa"/>
            <w:vAlign w:val="bottom"/>
            <w:shd w:val="clear" w:color="auto" w:fill="B8B8B8"/>
          </w:tcPr>
          <w:p>
            <w:pPr>
              <w:jc w:val="center"/>
              <w:ind w:left="187"/>
              <w:spacing w:after="0" w:line="133" w:lineRule="exact"/>
              <w:rPr>
                <w:sz w:val="20"/>
                <w:szCs w:val="20"/>
                <w:color w:val="auto"/>
              </w:rPr>
            </w:pPr>
            <w:r>
              <w:rPr>
                <w:rFonts w:ascii="Arial" w:cs="Arial" w:eastAsia="Arial" w:hAnsi="Arial"/>
                <w:sz w:val="14"/>
                <w:szCs w:val="14"/>
                <w:b w:val="1"/>
                <w:bCs w:val="1"/>
                <w:color w:val="FFFFFF"/>
              </w:rPr>
              <w:t>Achieved</w:t>
            </w:r>
          </w:p>
        </w:tc>
        <w:tc>
          <w:tcPr>
            <w:tcW w:w="240" w:type="dxa"/>
            <w:vAlign w:val="bottom"/>
            <w:shd w:val="clear" w:color="auto" w:fill="B8B8B8"/>
          </w:tcPr>
          <w:p>
            <w:pPr>
              <w:spacing w:after="0"/>
              <w:rPr>
                <w:sz w:val="11"/>
                <w:szCs w:val="11"/>
                <w:color w:val="auto"/>
              </w:rPr>
            </w:pPr>
          </w:p>
        </w:tc>
        <w:tc>
          <w:tcPr>
            <w:tcW w:w="1380" w:type="dxa"/>
            <w:vAlign w:val="bottom"/>
            <w:tcBorders>
              <w:right w:val="single" w:sz="8" w:color="B8B8B8"/>
            </w:tcBorders>
            <w:shd w:val="clear" w:color="auto" w:fill="B8B8B8"/>
          </w:tcPr>
          <w:p>
            <w:pPr>
              <w:jc w:val="center"/>
              <w:spacing w:after="0" w:line="133" w:lineRule="exact"/>
              <w:rPr>
                <w:sz w:val="20"/>
                <w:szCs w:val="20"/>
                <w:color w:val="auto"/>
              </w:rPr>
            </w:pPr>
            <w:r>
              <w:rPr>
                <w:rFonts w:ascii="Arial" w:cs="Arial" w:eastAsia="Arial" w:hAnsi="Arial"/>
                <w:sz w:val="14"/>
                <w:szCs w:val="14"/>
                <w:b w:val="1"/>
                <w:bCs w:val="1"/>
                <w:color w:val="FFFFFF"/>
              </w:rPr>
              <w:t>APB Plan</w:t>
            </w:r>
          </w:p>
        </w:tc>
        <w:tc>
          <w:tcPr>
            <w:tcW w:w="1480" w:type="dxa"/>
            <w:vAlign w:val="bottom"/>
            <w:shd w:val="clear" w:color="auto" w:fill="B8B8B8"/>
          </w:tcPr>
          <w:p>
            <w:pPr>
              <w:jc w:val="center"/>
              <w:spacing w:after="0" w:line="133" w:lineRule="exact"/>
              <w:rPr>
                <w:sz w:val="20"/>
                <w:szCs w:val="20"/>
                <w:color w:val="auto"/>
              </w:rPr>
            </w:pPr>
            <w:r>
              <w:rPr>
                <w:rFonts w:ascii="Arial" w:cs="Arial" w:eastAsia="Arial" w:hAnsi="Arial"/>
                <w:sz w:val="14"/>
                <w:szCs w:val="14"/>
                <w:b w:val="1"/>
                <w:bCs w:val="1"/>
                <w:color w:val="FFFFFF"/>
                <w:w w:val="99"/>
              </w:rPr>
              <w:t>Achieved</w:t>
            </w:r>
          </w:p>
        </w:tc>
        <w:tc>
          <w:tcPr>
            <w:tcW w:w="1300" w:type="dxa"/>
            <w:vAlign w:val="bottom"/>
            <w:gridSpan w:val="2"/>
            <w:shd w:val="clear" w:color="auto" w:fill="B8B8B8"/>
          </w:tcPr>
          <w:p>
            <w:pPr>
              <w:jc w:val="center"/>
              <w:ind w:right="9"/>
              <w:spacing w:after="0" w:line="133" w:lineRule="exact"/>
              <w:rPr>
                <w:sz w:val="20"/>
                <w:szCs w:val="20"/>
                <w:color w:val="auto"/>
              </w:rPr>
            </w:pPr>
            <w:r>
              <w:rPr>
                <w:rFonts w:ascii="Arial" w:cs="Arial" w:eastAsia="Arial" w:hAnsi="Arial"/>
                <w:sz w:val="14"/>
                <w:szCs w:val="14"/>
                <w:b w:val="1"/>
                <w:bCs w:val="1"/>
                <w:color w:val="FFFFFF"/>
              </w:rPr>
              <w:t>Operating Margin</w:t>
            </w:r>
          </w:p>
        </w:tc>
        <w:tc>
          <w:tcPr>
            <w:tcW w:w="0" w:type="dxa"/>
            <w:vAlign w:val="bottom"/>
          </w:tcPr>
          <w:p>
            <w:pPr>
              <w:spacing w:after="0"/>
              <w:rPr>
                <w:sz w:val="1"/>
                <w:szCs w:val="1"/>
                <w:color w:val="auto"/>
              </w:rPr>
            </w:pPr>
          </w:p>
        </w:tc>
      </w:tr>
      <w:tr>
        <w:trPr>
          <w:trHeight w:val="172"/>
        </w:trPr>
        <w:tc>
          <w:tcPr>
            <w:tcW w:w="140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4"/>
                <w:szCs w:val="14"/>
                <w:b w:val="1"/>
                <w:bCs w:val="1"/>
                <w:color w:val="FFFFFF"/>
                <w:w w:val="99"/>
              </w:rPr>
              <w:t>Achieved</w:t>
            </w:r>
          </w:p>
        </w:tc>
        <w:tc>
          <w:tcPr>
            <w:tcW w:w="1500" w:type="dxa"/>
            <w:vAlign w:val="bottom"/>
            <w:tcBorders>
              <w:bottom w:val="single" w:sz="8" w:color="CC092F"/>
            </w:tcBorders>
            <w:shd w:val="clear" w:color="auto" w:fill="B8B8B8"/>
          </w:tcPr>
          <w:p>
            <w:pPr>
              <w:jc w:val="center"/>
              <w:ind w:right="48"/>
              <w:spacing w:after="0"/>
              <w:rPr>
                <w:sz w:val="20"/>
                <w:szCs w:val="20"/>
                <w:color w:val="auto"/>
              </w:rPr>
            </w:pPr>
            <w:r>
              <w:rPr>
                <w:rFonts w:ascii="Arial" w:cs="Arial" w:eastAsia="Arial" w:hAnsi="Arial"/>
                <w:sz w:val="14"/>
                <w:szCs w:val="14"/>
                <w:b w:val="1"/>
                <w:bCs w:val="1"/>
                <w:color w:val="FFFFFF"/>
              </w:rPr>
              <w:t>Attainment Level</w:t>
            </w:r>
          </w:p>
        </w:tc>
        <w:tc>
          <w:tcPr>
            <w:tcW w:w="1500" w:type="dxa"/>
            <w:vAlign w:val="bottom"/>
            <w:tcBorders>
              <w:bottom w:val="single" w:sz="8" w:color="CC092F"/>
            </w:tcBorders>
            <w:shd w:val="clear" w:color="auto" w:fill="B8B8B8"/>
          </w:tcPr>
          <w:p>
            <w:pPr>
              <w:jc w:val="center"/>
              <w:ind w:right="127"/>
              <w:spacing w:after="0"/>
              <w:rPr>
                <w:sz w:val="20"/>
                <w:szCs w:val="20"/>
                <w:color w:val="auto"/>
              </w:rPr>
            </w:pPr>
            <w:r>
              <w:rPr>
                <w:rFonts w:ascii="Arial" w:cs="Arial" w:eastAsia="Arial" w:hAnsi="Arial"/>
                <w:sz w:val="14"/>
                <w:szCs w:val="14"/>
                <w:b w:val="1"/>
                <w:bCs w:val="1"/>
                <w:color w:val="FFFFFF"/>
              </w:rPr>
              <w:t>Attainment Level</w:t>
            </w:r>
          </w:p>
        </w:tc>
        <w:tc>
          <w:tcPr>
            <w:tcW w:w="1380" w:type="dxa"/>
            <w:vAlign w:val="bottom"/>
            <w:tcBorders>
              <w:bottom w:val="single" w:sz="8" w:color="CC092F"/>
              <w:right w:val="single" w:sz="8" w:color="B8B8B8"/>
            </w:tcBorders>
            <w:shd w:val="clear" w:color="auto" w:fill="B8B8B8"/>
          </w:tcPr>
          <w:p>
            <w:pPr>
              <w:jc w:val="center"/>
              <w:ind w:right="48"/>
              <w:spacing w:after="0"/>
              <w:rPr>
                <w:sz w:val="20"/>
                <w:szCs w:val="20"/>
                <w:color w:val="auto"/>
              </w:rPr>
            </w:pPr>
            <w:r>
              <w:rPr>
                <w:rFonts w:ascii="Arial" w:cs="Arial" w:eastAsia="Arial" w:hAnsi="Arial"/>
                <w:sz w:val="14"/>
                <w:szCs w:val="14"/>
                <w:b w:val="1"/>
                <w:bCs w:val="1"/>
                <w:color w:val="FFFFFF"/>
              </w:rPr>
              <w:t>Attainment Level</w:t>
            </w:r>
          </w:p>
        </w:tc>
        <w:tc>
          <w:tcPr>
            <w:tcW w:w="1060" w:type="dxa"/>
            <w:vAlign w:val="bottom"/>
            <w:tcBorders>
              <w:bottom w:val="single" w:sz="8" w:color="CC092F"/>
            </w:tcBorders>
            <w:shd w:val="clear" w:color="auto" w:fill="B8B8B8"/>
          </w:tcPr>
          <w:p>
            <w:pPr>
              <w:jc w:val="center"/>
              <w:ind w:left="187"/>
              <w:spacing w:after="0"/>
              <w:rPr>
                <w:sz w:val="20"/>
                <w:szCs w:val="20"/>
                <w:color w:val="auto"/>
              </w:rPr>
            </w:pPr>
            <w:r>
              <w:rPr>
                <w:rFonts w:ascii="Arial" w:cs="Arial" w:eastAsia="Arial" w:hAnsi="Arial"/>
                <w:sz w:val="14"/>
                <w:szCs w:val="14"/>
                <w:b w:val="1"/>
                <w:bCs w:val="1"/>
                <w:color w:val="FFFFFF"/>
              </w:rPr>
              <w:t>(in millions)</w:t>
            </w:r>
          </w:p>
        </w:tc>
        <w:tc>
          <w:tcPr>
            <w:tcW w:w="240" w:type="dxa"/>
            <w:vAlign w:val="bottom"/>
            <w:tcBorders>
              <w:bottom w:val="single" w:sz="8" w:color="CC092F"/>
            </w:tcBorders>
            <w:shd w:val="clear" w:color="auto" w:fill="B8B8B8"/>
          </w:tcPr>
          <w:p>
            <w:pPr>
              <w:spacing w:after="0"/>
              <w:rPr>
                <w:sz w:val="14"/>
                <w:szCs w:val="14"/>
                <w:color w:val="auto"/>
              </w:rPr>
            </w:pPr>
          </w:p>
        </w:tc>
        <w:tc>
          <w:tcPr>
            <w:tcW w:w="1380" w:type="dxa"/>
            <w:vAlign w:val="bottom"/>
            <w:tcBorders>
              <w:bottom w:val="single" w:sz="8" w:color="CC092F"/>
              <w:right w:val="single" w:sz="8" w:color="B8B8B8"/>
            </w:tcBorders>
            <w:shd w:val="clear" w:color="auto" w:fill="B8B8B8"/>
          </w:tcPr>
          <w:p>
            <w:pPr>
              <w:jc w:val="center"/>
              <w:spacing w:after="0"/>
              <w:rPr>
                <w:sz w:val="20"/>
                <w:szCs w:val="20"/>
                <w:color w:val="auto"/>
              </w:rPr>
            </w:pPr>
            <w:r>
              <w:rPr>
                <w:rFonts w:ascii="Arial" w:cs="Arial" w:eastAsia="Arial" w:hAnsi="Arial"/>
                <w:sz w:val="14"/>
                <w:szCs w:val="14"/>
                <w:b w:val="1"/>
                <w:bCs w:val="1"/>
                <w:color w:val="FFFFFF"/>
              </w:rPr>
              <w:t>(in millions)</w:t>
            </w:r>
          </w:p>
        </w:tc>
        <w:tc>
          <w:tcPr>
            <w:tcW w:w="148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4"/>
                <w:szCs w:val="14"/>
                <w:b w:val="1"/>
                <w:bCs w:val="1"/>
                <w:color w:val="FFFFFF"/>
              </w:rPr>
              <w:t>(in millions)</w:t>
            </w:r>
          </w:p>
        </w:tc>
        <w:tc>
          <w:tcPr>
            <w:tcW w:w="220" w:type="dxa"/>
            <w:vAlign w:val="bottom"/>
            <w:tcBorders>
              <w:bottom w:val="single" w:sz="8" w:color="CC092F"/>
              <w:right w:val="single" w:sz="8" w:color="B8B8B8"/>
            </w:tcBorders>
            <w:shd w:val="clear" w:color="auto" w:fill="B8B8B8"/>
          </w:tcPr>
          <w:p>
            <w:pPr>
              <w:spacing w:after="0"/>
              <w:rPr>
                <w:sz w:val="14"/>
                <w:szCs w:val="14"/>
                <w:color w:val="auto"/>
              </w:rPr>
            </w:pPr>
          </w:p>
        </w:tc>
        <w:tc>
          <w:tcPr>
            <w:tcW w:w="1080" w:type="dxa"/>
            <w:vAlign w:val="bottom"/>
            <w:tcBorders>
              <w:bottom w:val="single" w:sz="8" w:color="CC092F"/>
            </w:tcBorders>
            <w:shd w:val="clear" w:color="auto" w:fill="B8B8B8"/>
          </w:tcPr>
          <w:p>
            <w:pPr>
              <w:jc w:val="center"/>
              <w:ind w:right="229"/>
              <w:spacing w:after="0"/>
              <w:rPr>
                <w:sz w:val="20"/>
                <w:szCs w:val="20"/>
                <w:color w:val="auto"/>
              </w:rPr>
            </w:pPr>
            <w:r>
              <w:rPr>
                <w:rFonts w:ascii="Arial" w:cs="Arial" w:eastAsia="Arial" w:hAnsi="Arial"/>
                <w:sz w:val="14"/>
                <w:szCs w:val="14"/>
                <w:b w:val="1"/>
                <w:bCs w:val="1"/>
                <w:color w:val="FFFFFF"/>
                <w:w w:val="99"/>
              </w:rPr>
              <w:t>Achieved</w:t>
            </w:r>
          </w:p>
        </w:tc>
        <w:tc>
          <w:tcPr>
            <w:tcW w:w="0" w:type="dxa"/>
            <w:vAlign w:val="bottom"/>
          </w:tcPr>
          <w:p>
            <w:pPr>
              <w:spacing w:after="0"/>
              <w:rPr>
                <w:sz w:val="1"/>
                <w:szCs w:val="1"/>
                <w:color w:val="auto"/>
              </w:rPr>
            </w:pPr>
          </w:p>
        </w:tc>
      </w:tr>
      <w:tr>
        <w:trPr>
          <w:trHeight w:val="205"/>
        </w:trPr>
        <w:tc>
          <w:tcPr>
            <w:tcW w:w="1400" w:type="dxa"/>
            <w:vAlign w:val="bottom"/>
          </w:tcPr>
          <w:p>
            <w:pPr>
              <w:jc w:val="center"/>
              <w:spacing w:after="0"/>
              <w:rPr>
                <w:sz w:val="20"/>
                <w:szCs w:val="20"/>
                <w:color w:val="auto"/>
              </w:rPr>
            </w:pPr>
            <w:r>
              <w:rPr>
                <w:rFonts w:ascii="Arial" w:cs="Arial" w:eastAsia="Arial" w:hAnsi="Arial"/>
                <w:sz w:val="16"/>
                <w:szCs w:val="16"/>
                <w:color w:val="242424"/>
              </w:rPr>
              <w:t>56.5%</w:t>
            </w:r>
          </w:p>
        </w:tc>
        <w:tc>
          <w:tcPr>
            <w:tcW w:w="1500" w:type="dxa"/>
            <w:vAlign w:val="bottom"/>
          </w:tcPr>
          <w:p>
            <w:pPr>
              <w:jc w:val="center"/>
              <w:ind w:right="68"/>
              <w:spacing w:after="0"/>
              <w:rPr>
                <w:sz w:val="20"/>
                <w:szCs w:val="20"/>
                <w:color w:val="auto"/>
              </w:rPr>
            </w:pPr>
            <w:r>
              <w:rPr>
                <w:rFonts w:ascii="Arial" w:cs="Arial" w:eastAsia="Arial" w:hAnsi="Arial"/>
                <w:sz w:val="16"/>
                <w:szCs w:val="16"/>
                <w:color w:val="242424"/>
                <w:w w:val="96"/>
              </w:rPr>
              <w:t>57.3%</w:t>
            </w:r>
          </w:p>
        </w:tc>
        <w:tc>
          <w:tcPr>
            <w:tcW w:w="1500" w:type="dxa"/>
            <w:vAlign w:val="bottom"/>
          </w:tcPr>
          <w:p>
            <w:pPr>
              <w:jc w:val="center"/>
              <w:ind w:right="127"/>
              <w:spacing w:after="0"/>
              <w:rPr>
                <w:sz w:val="20"/>
                <w:szCs w:val="20"/>
                <w:color w:val="auto"/>
              </w:rPr>
            </w:pPr>
            <w:r>
              <w:rPr>
                <w:rFonts w:ascii="Arial" w:cs="Arial" w:eastAsia="Arial" w:hAnsi="Arial"/>
                <w:sz w:val="16"/>
                <w:szCs w:val="16"/>
                <w:color w:val="242424"/>
              </w:rPr>
              <w:t>58.3%</w:t>
            </w:r>
          </w:p>
        </w:tc>
        <w:tc>
          <w:tcPr>
            <w:tcW w:w="1380" w:type="dxa"/>
            <w:vAlign w:val="bottom"/>
            <w:tcBorders>
              <w:right w:val="single" w:sz="8" w:color="auto"/>
            </w:tcBorders>
          </w:tcPr>
          <w:p>
            <w:pPr>
              <w:jc w:val="center"/>
              <w:ind w:right="48"/>
              <w:spacing w:after="0"/>
              <w:rPr>
                <w:sz w:val="20"/>
                <w:szCs w:val="20"/>
                <w:color w:val="auto"/>
              </w:rPr>
            </w:pPr>
            <w:r>
              <w:rPr>
                <w:rFonts w:ascii="Arial" w:cs="Arial" w:eastAsia="Arial" w:hAnsi="Arial"/>
                <w:sz w:val="16"/>
                <w:szCs w:val="16"/>
                <w:color w:val="242424"/>
              </w:rPr>
              <w:t>60.3%</w:t>
            </w:r>
          </w:p>
        </w:tc>
        <w:tc>
          <w:tcPr>
            <w:tcW w:w="1060" w:type="dxa"/>
            <w:vAlign w:val="bottom"/>
          </w:tcPr>
          <w:p>
            <w:pPr>
              <w:jc w:val="center"/>
              <w:ind w:left="207"/>
              <w:spacing w:after="0"/>
              <w:rPr>
                <w:sz w:val="20"/>
                <w:szCs w:val="20"/>
                <w:color w:val="auto"/>
              </w:rPr>
            </w:pPr>
            <w:r>
              <w:rPr>
                <w:rFonts w:ascii="Arial" w:cs="Arial" w:eastAsia="Arial" w:hAnsi="Arial"/>
                <w:sz w:val="16"/>
                <w:szCs w:val="16"/>
                <w:color w:val="242424"/>
              </w:rPr>
              <w:t>$15,912</w:t>
            </w:r>
          </w:p>
        </w:tc>
        <w:tc>
          <w:tcPr>
            <w:tcW w:w="240" w:type="dxa"/>
            <w:vAlign w:val="bottom"/>
          </w:tcPr>
          <w:p>
            <w:pPr>
              <w:spacing w:after="0"/>
              <w:rPr>
                <w:sz w:val="17"/>
                <w:szCs w:val="17"/>
                <w:color w:val="auto"/>
              </w:rPr>
            </w:pPr>
          </w:p>
        </w:tc>
        <w:tc>
          <w:tcPr>
            <w:tcW w:w="1380" w:type="dxa"/>
            <w:vAlign w:val="bottom"/>
          </w:tcPr>
          <w:p>
            <w:pPr>
              <w:jc w:val="right"/>
              <w:ind w:right="406"/>
              <w:spacing w:after="0"/>
              <w:rPr>
                <w:sz w:val="20"/>
                <w:szCs w:val="20"/>
                <w:color w:val="auto"/>
              </w:rPr>
            </w:pPr>
            <w:r>
              <w:rPr>
                <w:rFonts w:ascii="Arial" w:cs="Arial" w:eastAsia="Arial" w:hAnsi="Arial"/>
                <w:sz w:val="16"/>
                <w:szCs w:val="16"/>
                <w:color w:val="242424"/>
              </w:rPr>
              <w:t>$764</w:t>
            </w:r>
          </w:p>
        </w:tc>
        <w:tc>
          <w:tcPr>
            <w:tcW w:w="1480" w:type="dxa"/>
            <w:vAlign w:val="bottom"/>
          </w:tcPr>
          <w:p>
            <w:pPr>
              <w:jc w:val="center"/>
              <w:spacing w:after="0"/>
              <w:rPr>
                <w:sz w:val="20"/>
                <w:szCs w:val="20"/>
                <w:color w:val="auto"/>
              </w:rPr>
            </w:pPr>
            <w:r>
              <w:rPr>
                <w:rFonts w:ascii="Arial" w:cs="Arial" w:eastAsia="Arial" w:hAnsi="Arial"/>
                <w:sz w:val="16"/>
                <w:szCs w:val="16"/>
                <w:color w:val="242424"/>
              </w:rPr>
              <w:t>$16,676</w:t>
            </w:r>
          </w:p>
        </w:tc>
        <w:tc>
          <w:tcPr>
            <w:tcW w:w="1300" w:type="dxa"/>
            <w:vAlign w:val="bottom"/>
            <w:gridSpan w:val="2"/>
          </w:tcPr>
          <w:p>
            <w:pPr>
              <w:jc w:val="center"/>
              <w:ind w:right="9"/>
              <w:spacing w:after="0"/>
              <w:rPr>
                <w:sz w:val="20"/>
                <w:szCs w:val="20"/>
                <w:color w:val="auto"/>
              </w:rPr>
            </w:pPr>
            <w:r>
              <w:rPr>
                <w:rFonts w:ascii="Arial" w:cs="Arial" w:eastAsia="Arial" w:hAnsi="Arial"/>
                <w:sz w:val="16"/>
                <w:szCs w:val="16"/>
                <w:color w:val="242424"/>
              </w:rPr>
              <w:t>60.7%</w:t>
            </w:r>
          </w:p>
        </w:tc>
        <w:tc>
          <w:tcPr>
            <w:tcW w:w="0" w:type="dxa"/>
            <w:vAlign w:val="bottom"/>
          </w:tcPr>
          <w:p>
            <w:pPr>
              <w:spacing w:after="0"/>
              <w:rPr>
                <w:sz w:val="1"/>
                <w:szCs w:val="1"/>
                <w:color w:val="auto"/>
              </w:rPr>
            </w:pPr>
          </w:p>
        </w:tc>
      </w:tr>
      <w:tr>
        <w:trPr>
          <w:trHeight w:val="278"/>
        </w:trPr>
        <w:tc>
          <w:tcPr>
            <w:tcW w:w="1400" w:type="dxa"/>
            <w:vAlign w:val="bottom"/>
            <w:tcBorders>
              <w:bottom w:val="single" w:sz="8" w:color="CC092F"/>
            </w:tcBorders>
          </w:tcPr>
          <w:p>
            <w:pPr>
              <w:spacing w:after="0"/>
              <w:rPr>
                <w:sz w:val="24"/>
                <w:szCs w:val="24"/>
                <w:color w:val="auto"/>
              </w:rPr>
            </w:pPr>
          </w:p>
        </w:tc>
        <w:tc>
          <w:tcPr>
            <w:tcW w:w="1500" w:type="dxa"/>
            <w:vAlign w:val="bottom"/>
            <w:tcBorders>
              <w:bottom w:val="single" w:sz="8" w:color="CC092F"/>
            </w:tcBorders>
          </w:tcPr>
          <w:p>
            <w:pPr>
              <w:spacing w:after="0"/>
              <w:rPr>
                <w:sz w:val="24"/>
                <w:szCs w:val="24"/>
                <w:color w:val="auto"/>
              </w:rPr>
            </w:pPr>
          </w:p>
        </w:tc>
        <w:tc>
          <w:tcPr>
            <w:tcW w:w="3940" w:type="dxa"/>
            <w:vAlign w:val="bottom"/>
            <w:tcBorders>
              <w:bottom w:val="single" w:sz="8" w:color="CC092F"/>
            </w:tcBorders>
            <w:gridSpan w:val="3"/>
          </w:tcPr>
          <w:p>
            <w:pPr>
              <w:spacing w:after="0"/>
              <w:rPr>
                <w:sz w:val="24"/>
                <w:szCs w:val="24"/>
                <w:color w:val="auto"/>
              </w:rPr>
            </w:pPr>
          </w:p>
        </w:tc>
        <w:tc>
          <w:tcPr>
            <w:tcW w:w="240" w:type="dxa"/>
            <w:vAlign w:val="bottom"/>
            <w:tcBorders>
              <w:bottom w:val="single" w:sz="8" w:color="CC092F"/>
            </w:tcBorders>
          </w:tcPr>
          <w:p>
            <w:pPr>
              <w:spacing w:after="0"/>
              <w:rPr>
                <w:sz w:val="24"/>
                <w:szCs w:val="24"/>
                <w:color w:val="auto"/>
              </w:rPr>
            </w:pPr>
          </w:p>
        </w:tc>
        <w:tc>
          <w:tcPr>
            <w:tcW w:w="1380" w:type="dxa"/>
            <w:vAlign w:val="bottom"/>
            <w:tcBorders>
              <w:bottom w:val="single" w:sz="8" w:color="CC092F"/>
            </w:tcBorders>
          </w:tcPr>
          <w:p>
            <w:pPr>
              <w:spacing w:after="0"/>
              <w:rPr>
                <w:sz w:val="24"/>
                <w:szCs w:val="24"/>
                <w:color w:val="auto"/>
              </w:rPr>
            </w:pPr>
          </w:p>
        </w:tc>
        <w:tc>
          <w:tcPr>
            <w:tcW w:w="1480" w:type="dxa"/>
            <w:vAlign w:val="bottom"/>
            <w:tcBorders>
              <w:bottom w:val="single" w:sz="8" w:color="CC092F"/>
            </w:tcBorders>
          </w:tcPr>
          <w:p>
            <w:pPr>
              <w:spacing w:after="0"/>
              <w:rPr>
                <w:sz w:val="24"/>
                <w:szCs w:val="24"/>
                <w:color w:val="auto"/>
              </w:rPr>
            </w:pPr>
          </w:p>
        </w:tc>
        <w:tc>
          <w:tcPr>
            <w:tcW w:w="220" w:type="dxa"/>
            <w:vAlign w:val="bottom"/>
            <w:tcBorders>
              <w:bottom w:val="single" w:sz="8" w:color="CC092F"/>
            </w:tcBorders>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B8B8B8"/>
          </w:tcPr>
          <w:p>
            <w:pPr>
              <w:spacing w:after="0"/>
              <w:rPr>
                <w:sz w:val="15"/>
                <w:szCs w:val="15"/>
                <w:color w:val="auto"/>
              </w:rPr>
            </w:pPr>
          </w:p>
        </w:tc>
        <w:tc>
          <w:tcPr>
            <w:tcW w:w="1500" w:type="dxa"/>
            <w:vAlign w:val="bottom"/>
            <w:shd w:val="clear" w:color="auto" w:fill="B8B8B8"/>
          </w:tcPr>
          <w:p>
            <w:pPr>
              <w:spacing w:after="0"/>
              <w:rPr>
                <w:sz w:val="15"/>
                <w:szCs w:val="15"/>
                <w:color w:val="auto"/>
              </w:rPr>
            </w:pPr>
          </w:p>
        </w:tc>
        <w:tc>
          <w:tcPr>
            <w:tcW w:w="3940" w:type="dxa"/>
            <w:vAlign w:val="bottom"/>
            <w:gridSpan w:val="3"/>
            <w:shd w:val="clear" w:color="auto" w:fill="B8B8B8"/>
          </w:tcPr>
          <w:p>
            <w:pPr>
              <w:ind w:left="800"/>
              <w:spacing w:after="0"/>
              <w:rPr>
                <w:sz w:val="20"/>
                <w:szCs w:val="20"/>
                <w:color w:val="auto"/>
              </w:rPr>
            </w:pPr>
            <w:r>
              <w:rPr>
                <w:rFonts w:ascii="Arial" w:cs="Arial" w:eastAsia="Arial" w:hAnsi="Arial"/>
                <w:sz w:val="14"/>
                <w:szCs w:val="14"/>
                <w:b w:val="1"/>
                <w:bCs w:val="1"/>
                <w:color w:val="FFFFFF"/>
              </w:rPr>
              <w:t>Corporate Performance Attainment Level</w:t>
            </w:r>
          </w:p>
        </w:tc>
        <w:tc>
          <w:tcPr>
            <w:tcW w:w="240" w:type="dxa"/>
            <w:vAlign w:val="bottom"/>
            <w:shd w:val="clear" w:color="auto" w:fill="B8B8B8"/>
          </w:tcPr>
          <w:p>
            <w:pPr>
              <w:spacing w:after="0"/>
              <w:rPr>
                <w:sz w:val="15"/>
                <w:szCs w:val="15"/>
                <w:color w:val="auto"/>
              </w:rPr>
            </w:pPr>
          </w:p>
        </w:tc>
        <w:tc>
          <w:tcPr>
            <w:tcW w:w="1380" w:type="dxa"/>
            <w:vAlign w:val="bottom"/>
            <w:tcBorders>
              <w:right w:val="single" w:sz="8" w:color="B8B8B8"/>
            </w:tcBorders>
            <w:shd w:val="clear" w:color="auto" w:fill="B8B8B8"/>
          </w:tcPr>
          <w:p>
            <w:pPr>
              <w:spacing w:after="0"/>
              <w:rPr>
                <w:sz w:val="15"/>
                <w:szCs w:val="15"/>
                <w:color w:val="auto"/>
              </w:rPr>
            </w:pPr>
          </w:p>
        </w:tc>
        <w:tc>
          <w:tcPr>
            <w:tcW w:w="1480" w:type="dxa"/>
            <w:vAlign w:val="bottom"/>
            <w:shd w:val="clear" w:color="auto" w:fill="B8B8B8"/>
          </w:tcPr>
          <w:p>
            <w:pPr>
              <w:spacing w:after="0"/>
              <w:rPr>
                <w:sz w:val="15"/>
                <w:szCs w:val="15"/>
                <w:color w:val="auto"/>
              </w:rPr>
            </w:pPr>
          </w:p>
        </w:tc>
        <w:tc>
          <w:tcPr>
            <w:tcW w:w="220" w:type="dxa"/>
            <w:vAlign w:val="bottom"/>
            <w:tcBorders>
              <w:right w:val="single" w:sz="8" w:color="B8B8B8"/>
            </w:tcBorders>
            <w:shd w:val="clear" w:color="auto" w:fill="B8B8B8"/>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1400" w:type="dxa"/>
            <w:vAlign w:val="bottom"/>
            <w:shd w:val="clear" w:color="auto" w:fill="B8B8B8"/>
          </w:tcPr>
          <w:p>
            <w:pPr>
              <w:spacing w:after="0"/>
              <w:rPr>
                <w:sz w:val="22"/>
                <w:szCs w:val="22"/>
                <w:color w:val="auto"/>
              </w:rPr>
            </w:pPr>
          </w:p>
        </w:tc>
        <w:tc>
          <w:tcPr>
            <w:tcW w:w="1500" w:type="dxa"/>
            <w:vAlign w:val="bottom"/>
            <w:shd w:val="clear" w:color="auto" w:fill="B8B8B8"/>
          </w:tcPr>
          <w:p>
            <w:pPr>
              <w:spacing w:after="0"/>
              <w:rPr>
                <w:sz w:val="22"/>
                <w:szCs w:val="22"/>
                <w:color w:val="auto"/>
              </w:rPr>
            </w:pPr>
          </w:p>
        </w:tc>
        <w:tc>
          <w:tcPr>
            <w:tcW w:w="2880" w:type="dxa"/>
            <w:vAlign w:val="bottom"/>
            <w:tcBorders>
              <w:right w:val="single" w:sz="8" w:color="B8B8B8"/>
            </w:tcBorders>
            <w:gridSpan w:val="2"/>
            <w:shd w:val="clear" w:color="auto" w:fill="B8B8B8"/>
          </w:tcPr>
          <w:p>
            <w:pPr>
              <w:ind w:left="1060"/>
              <w:spacing w:after="0"/>
              <w:rPr>
                <w:sz w:val="20"/>
                <w:szCs w:val="20"/>
                <w:color w:val="auto"/>
              </w:rPr>
            </w:pPr>
            <w:r>
              <w:rPr>
                <w:rFonts w:ascii="Arial" w:cs="Arial" w:eastAsia="Arial" w:hAnsi="Arial"/>
                <w:sz w:val="14"/>
                <w:szCs w:val="14"/>
                <w:b w:val="1"/>
                <w:bCs w:val="1"/>
                <w:color w:val="FFFFFF"/>
              </w:rPr>
              <w:t>Actual Fiscal Year</w:t>
            </w:r>
          </w:p>
        </w:tc>
        <w:tc>
          <w:tcPr>
            <w:tcW w:w="1060" w:type="dxa"/>
            <w:vAlign w:val="bottom"/>
            <w:shd w:val="clear" w:color="auto" w:fill="B8B8B8"/>
          </w:tcPr>
          <w:p>
            <w:pPr>
              <w:jc w:val="center"/>
              <w:ind w:left="187"/>
              <w:spacing w:after="0"/>
              <w:rPr>
                <w:sz w:val="20"/>
                <w:szCs w:val="20"/>
                <w:color w:val="auto"/>
              </w:rPr>
            </w:pPr>
            <w:r>
              <w:rPr>
                <w:rFonts w:ascii="Arial" w:cs="Arial" w:eastAsia="Arial" w:hAnsi="Arial"/>
                <w:sz w:val="14"/>
                <w:szCs w:val="14"/>
                <w:b w:val="1"/>
                <w:bCs w:val="1"/>
                <w:color w:val="FFFFFF"/>
              </w:rPr>
              <w:t>As a % of</w:t>
            </w:r>
          </w:p>
        </w:tc>
        <w:tc>
          <w:tcPr>
            <w:tcW w:w="240" w:type="dxa"/>
            <w:vAlign w:val="bottom"/>
            <w:shd w:val="clear" w:color="auto" w:fill="B8B8B8"/>
          </w:tcPr>
          <w:p>
            <w:pPr>
              <w:spacing w:after="0"/>
              <w:rPr>
                <w:sz w:val="22"/>
                <w:szCs w:val="22"/>
                <w:color w:val="auto"/>
              </w:rPr>
            </w:pPr>
          </w:p>
        </w:tc>
        <w:tc>
          <w:tcPr>
            <w:tcW w:w="1380" w:type="dxa"/>
            <w:vAlign w:val="bottom"/>
            <w:tcBorders>
              <w:right w:val="single" w:sz="8" w:color="B8B8B8"/>
            </w:tcBorders>
            <w:shd w:val="clear" w:color="auto" w:fill="B8B8B8"/>
          </w:tcPr>
          <w:p>
            <w:pPr>
              <w:spacing w:after="0"/>
              <w:rPr>
                <w:sz w:val="22"/>
                <w:szCs w:val="22"/>
                <w:color w:val="auto"/>
              </w:rPr>
            </w:pPr>
          </w:p>
        </w:tc>
        <w:tc>
          <w:tcPr>
            <w:tcW w:w="1480" w:type="dxa"/>
            <w:vAlign w:val="bottom"/>
            <w:shd w:val="clear" w:color="auto" w:fill="B8B8B8"/>
          </w:tcPr>
          <w:p>
            <w:pPr>
              <w:spacing w:after="0"/>
              <w:rPr>
                <w:sz w:val="22"/>
                <w:szCs w:val="22"/>
                <w:color w:val="auto"/>
              </w:rPr>
            </w:pPr>
          </w:p>
        </w:tc>
        <w:tc>
          <w:tcPr>
            <w:tcW w:w="220" w:type="dxa"/>
            <w:vAlign w:val="bottom"/>
            <w:tcBorders>
              <w:right w:val="single" w:sz="8" w:color="B8B8B8"/>
            </w:tcBorders>
            <w:shd w:val="clear" w:color="auto" w:fill="B8B8B8"/>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1"/>
        </w:trPr>
        <w:tc>
          <w:tcPr>
            <w:tcW w:w="2900" w:type="dxa"/>
            <w:vAlign w:val="bottom"/>
            <w:gridSpan w:val="2"/>
            <w:vMerge w:val="restart"/>
            <w:shd w:val="clear" w:color="auto" w:fill="B8B8B8"/>
          </w:tcPr>
          <w:p>
            <w:pPr>
              <w:ind w:left="740"/>
              <w:spacing w:after="0"/>
              <w:rPr>
                <w:sz w:val="20"/>
                <w:szCs w:val="20"/>
                <w:color w:val="auto"/>
              </w:rPr>
            </w:pPr>
            <w:r>
              <w:rPr>
                <w:rFonts w:ascii="Arial" w:cs="Arial" w:eastAsia="Arial" w:hAnsi="Arial"/>
                <w:sz w:val="14"/>
                <w:szCs w:val="14"/>
                <w:b w:val="1"/>
                <w:bCs w:val="1"/>
                <w:color w:val="FFFFFF"/>
              </w:rPr>
              <w:t>Corporate Performance Goals</w:t>
            </w:r>
          </w:p>
        </w:tc>
        <w:tc>
          <w:tcPr>
            <w:tcW w:w="2880" w:type="dxa"/>
            <w:vAlign w:val="bottom"/>
            <w:tcBorders>
              <w:right w:val="single" w:sz="8" w:color="B8B8B8"/>
            </w:tcBorders>
            <w:gridSpan w:val="2"/>
            <w:shd w:val="clear" w:color="auto" w:fill="B8B8B8"/>
          </w:tcPr>
          <w:p>
            <w:pPr>
              <w:ind w:left="1080"/>
              <w:spacing w:after="0" w:line="141" w:lineRule="exact"/>
              <w:rPr>
                <w:sz w:val="20"/>
                <w:szCs w:val="20"/>
                <w:color w:val="auto"/>
              </w:rPr>
            </w:pPr>
            <w:r>
              <w:rPr>
                <w:rFonts w:ascii="Arial" w:cs="Arial" w:eastAsia="Arial" w:hAnsi="Arial"/>
                <w:sz w:val="14"/>
                <w:szCs w:val="14"/>
                <w:b w:val="1"/>
                <w:bCs w:val="1"/>
                <w:color w:val="FFFFFF"/>
              </w:rPr>
              <w:t>2021 Performance</w:t>
            </w:r>
          </w:p>
        </w:tc>
        <w:tc>
          <w:tcPr>
            <w:tcW w:w="1060" w:type="dxa"/>
            <w:vAlign w:val="bottom"/>
            <w:shd w:val="clear" w:color="auto" w:fill="B8B8B8"/>
          </w:tcPr>
          <w:p>
            <w:pPr>
              <w:jc w:val="center"/>
              <w:ind w:left="207"/>
              <w:spacing w:after="0" w:line="141" w:lineRule="exact"/>
              <w:rPr>
                <w:sz w:val="20"/>
                <w:szCs w:val="20"/>
                <w:color w:val="auto"/>
              </w:rPr>
            </w:pPr>
            <w:r>
              <w:rPr>
                <w:rFonts w:ascii="Arial" w:cs="Arial" w:eastAsia="Arial" w:hAnsi="Arial"/>
                <w:sz w:val="14"/>
                <w:szCs w:val="14"/>
                <w:b w:val="1"/>
                <w:bCs w:val="1"/>
                <w:color w:val="FFFFFF"/>
                <w:w w:val="98"/>
              </w:rPr>
              <w:t>Target</w:t>
            </w:r>
          </w:p>
        </w:tc>
        <w:tc>
          <w:tcPr>
            <w:tcW w:w="240" w:type="dxa"/>
            <w:vAlign w:val="bottom"/>
            <w:shd w:val="clear" w:color="auto" w:fill="B8B8B8"/>
          </w:tcPr>
          <w:p>
            <w:pPr>
              <w:spacing w:after="0"/>
              <w:rPr>
                <w:sz w:val="12"/>
                <w:szCs w:val="12"/>
                <w:color w:val="auto"/>
              </w:rPr>
            </w:pPr>
          </w:p>
        </w:tc>
        <w:tc>
          <w:tcPr>
            <w:tcW w:w="1380" w:type="dxa"/>
            <w:vAlign w:val="bottom"/>
            <w:tcBorders>
              <w:right w:val="single" w:sz="8" w:color="B8B8B8"/>
            </w:tcBorders>
            <w:vMerge w:val="restart"/>
            <w:shd w:val="clear" w:color="auto" w:fill="B8B8B8"/>
          </w:tcPr>
          <w:p>
            <w:pPr>
              <w:jc w:val="right"/>
              <w:ind w:right="166"/>
              <w:spacing w:after="0"/>
              <w:rPr>
                <w:sz w:val="20"/>
                <w:szCs w:val="20"/>
                <w:color w:val="auto"/>
              </w:rPr>
            </w:pPr>
            <w:r>
              <w:rPr>
                <w:rFonts w:ascii="Arial" w:cs="Arial" w:eastAsia="Arial" w:hAnsi="Arial"/>
                <w:sz w:val="14"/>
                <w:szCs w:val="14"/>
                <w:b w:val="1"/>
                <w:bCs w:val="1"/>
                <w:color w:val="FFFFFF"/>
              </w:rPr>
              <w:t>Weight</w:t>
            </w:r>
          </w:p>
        </w:tc>
        <w:tc>
          <w:tcPr>
            <w:tcW w:w="1700" w:type="dxa"/>
            <w:vAlign w:val="bottom"/>
            <w:tcBorders>
              <w:right w:val="single" w:sz="8" w:color="B8B8B8"/>
            </w:tcBorders>
            <w:gridSpan w:val="2"/>
            <w:vMerge w:val="restart"/>
            <w:shd w:val="clear" w:color="auto" w:fill="B8B8B8"/>
          </w:tcPr>
          <w:p>
            <w:pPr>
              <w:ind w:left="260"/>
              <w:spacing w:after="0"/>
              <w:rPr>
                <w:sz w:val="20"/>
                <w:szCs w:val="20"/>
                <w:color w:val="auto"/>
              </w:rPr>
            </w:pPr>
            <w:r>
              <w:rPr>
                <w:rFonts w:ascii="Arial" w:cs="Arial" w:eastAsia="Arial" w:hAnsi="Arial"/>
                <w:sz w:val="14"/>
                <w:szCs w:val="14"/>
                <w:b w:val="1"/>
                <w:bCs w:val="1"/>
                <w:color w:val="FFFFFF"/>
                <w:w w:val="99"/>
              </w:rPr>
              <w:t>Weighted Attainment</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00" w:type="dxa"/>
            <w:vAlign w:val="bottom"/>
            <w:tcBorders>
              <w:bottom w:val="single" w:sz="8" w:color="CC092F"/>
            </w:tcBorders>
            <w:gridSpan w:val="2"/>
            <w:vMerge w:val="continue"/>
            <w:shd w:val="clear" w:color="auto" w:fill="B8B8B8"/>
          </w:tcPr>
          <w:p>
            <w:pPr>
              <w:spacing w:after="0"/>
              <w:rPr>
                <w:sz w:val="14"/>
                <w:szCs w:val="14"/>
                <w:color w:val="auto"/>
              </w:rPr>
            </w:pPr>
          </w:p>
        </w:tc>
        <w:tc>
          <w:tcPr>
            <w:tcW w:w="2880" w:type="dxa"/>
            <w:vAlign w:val="bottom"/>
            <w:tcBorders>
              <w:bottom w:val="single" w:sz="8" w:color="CC092F"/>
              <w:right w:val="single" w:sz="8" w:color="B8B8B8"/>
            </w:tcBorders>
            <w:gridSpan w:val="2"/>
            <w:shd w:val="clear" w:color="auto" w:fill="B8B8B8"/>
          </w:tcPr>
          <w:p>
            <w:pPr>
              <w:ind w:left="1280"/>
              <w:spacing w:after="0"/>
              <w:rPr>
                <w:sz w:val="20"/>
                <w:szCs w:val="20"/>
                <w:color w:val="auto"/>
              </w:rPr>
            </w:pPr>
            <w:r>
              <w:rPr>
                <w:rFonts w:ascii="Arial" w:cs="Arial" w:eastAsia="Arial" w:hAnsi="Arial"/>
                <w:sz w:val="14"/>
                <w:szCs w:val="14"/>
                <w:b w:val="1"/>
                <w:bCs w:val="1"/>
                <w:color w:val="FFFFFF"/>
              </w:rPr>
              <w:t>(in millions)</w:t>
            </w:r>
          </w:p>
        </w:tc>
        <w:tc>
          <w:tcPr>
            <w:tcW w:w="1060" w:type="dxa"/>
            <w:vAlign w:val="bottom"/>
            <w:tcBorders>
              <w:bottom w:val="single" w:sz="8" w:color="CC092F"/>
            </w:tcBorders>
            <w:shd w:val="clear" w:color="auto" w:fill="B8B8B8"/>
          </w:tcPr>
          <w:p>
            <w:pPr>
              <w:jc w:val="center"/>
              <w:ind w:left="247"/>
              <w:spacing w:after="0"/>
              <w:rPr>
                <w:sz w:val="20"/>
                <w:szCs w:val="20"/>
                <w:color w:val="auto"/>
              </w:rPr>
            </w:pPr>
            <w:r>
              <w:rPr>
                <w:rFonts w:ascii="Arial" w:cs="Arial" w:eastAsia="Arial" w:hAnsi="Arial"/>
                <w:sz w:val="14"/>
                <w:szCs w:val="14"/>
                <w:b w:val="1"/>
                <w:bCs w:val="1"/>
                <w:color w:val="FFFFFF"/>
              </w:rPr>
              <w:t>Attainment</w:t>
            </w:r>
          </w:p>
        </w:tc>
        <w:tc>
          <w:tcPr>
            <w:tcW w:w="240" w:type="dxa"/>
            <w:vAlign w:val="bottom"/>
            <w:tcBorders>
              <w:bottom w:val="single" w:sz="8" w:color="CC092F"/>
            </w:tcBorders>
            <w:shd w:val="clear" w:color="auto" w:fill="B8B8B8"/>
          </w:tcPr>
          <w:p>
            <w:pPr>
              <w:spacing w:after="0"/>
              <w:rPr>
                <w:sz w:val="14"/>
                <w:szCs w:val="14"/>
                <w:color w:val="auto"/>
              </w:rPr>
            </w:pPr>
          </w:p>
        </w:tc>
        <w:tc>
          <w:tcPr>
            <w:tcW w:w="1380" w:type="dxa"/>
            <w:vAlign w:val="bottom"/>
            <w:tcBorders>
              <w:bottom w:val="single" w:sz="8" w:color="CC092F"/>
              <w:right w:val="single" w:sz="8" w:color="B8B8B8"/>
            </w:tcBorders>
            <w:vMerge w:val="continue"/>
            <w:shd w:val="clear" w:color="auto" w:fill="B8B8B8"/>
          </w:tcPr>
          <w:p>
            <w:pPr>
              <w:spacing w:after="0"/>
              <w:rPr>
                <w:sz w:val="14"/>
                <w:szCs w:val="14"/>
                <w:color w:val="auto"/>
              </w:rPr>
            </w:pPr>
          </w:p>
        </w:tc>
        <w:tc>
          <w:tcPr>
            <w:tcW w:w="1700" w:type="dxa"/>
            <w:vAlign w:val="bottom"/>
            <w:tcBorders>
              <w:bottom w:val="single" w:sz="8" w:color="CC092F"/>
              <w:right w:val="single" w:sz="8" w:color="B8B8B8"/>
            </w:tcBorders>
            <w:gridSpan w:val="2"/>
            <w:vMerge w:val="continue"/>
            <w:shd w:val="clear" w:color="auto" w:fill="B8B8B8"/>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400" w:type="dxa"/>
            <w:vAlign w:val="bottom"/>
          </w:tcPr>
          <w:p>
            <w:pPr>
              <w:ind w:left="160"/>
              <w:spacing w:after="0"/>
              <w:rPr>
                <w:sz w:val="20"/>
                <w:szCs w:val="20"/>
                <w:color w:val="auto"/>
              </w:rPr>
            </w:pPr>
            <w:r>
              <w:rPr>
                <w:rFonts w:ascii="Arial" w:cs="Arial" w:eastAsia="Arial" w:hAnsi="Arial"/>
                <w:sz w:val="16"/>
                <w:szCs w:val="16"/>
                <w:color w:val="242424"/>
              </w:rPr>
              <w:t>Revenue</w:t>
            </w:r>
          </w:p>
        </w:tc>
        <w:tc>
          <w:tcPr>
            <w:tcW w:w="1500" w:type="dxa"/>
            <w:vAlign w:val="bottom"/>
          </w:tcPr>
          <w:p>
            <w:pPr>
              <w:spacing w:after="0"/>
              <w:rPr>
                <w:sz w:val="20"/>
                <w:szCs w:val="20"/>
                <w:color w:val="auto"/>
              </w:rPr>
            </w:pPr>
          </w:p>
        </w:tc>
        <w:tc>
          <w:tcPr>
            <w:tcW w:w="2880" w:type="dxa"/>
            <w:vAlign w:val="bottom"/>
            <w:gridSpan w:val="2"/>
          </w:tcPr>
          <w:p>
            <w:pPr>
              <w:jc w:val="right"/>
              <w:ind w:right="828"/>
              <w:spacing w:after="0"/>
              <w:rPr>
                <w:sz w:val="20"/>
                <w:szCs w:val="20"/>
                <w:color w:val="auto"/>
              </w:rPr>
            </w:pPr>
            <w:r>
              <w:rPr>
                <w:rFonts w:ascii="Arial" w:cs="Arial" w:eastAsia="Arial" w:hAnsi="Arial"/>
                <w:sz w:val="16"/>
                <w:szCs w:val="16"/>
                <w:color w:val="242424"/>
              </w:rPr>
              <w:t>$27,450</w:t>
            </w:r>
          </w:p>
        </w:tc>
        <w:tc>
          <w:tcPr>
            <w:tcW w:w="1060" w:type="dxa"/>
            <w:vAlign w:val="bottom"/>
          </w:tcPr>
          <w:p>
            <w:pPr>
              <w:jc w:val="center"/>
              <w:ind w:left="227"/>
              <w:spacing w:after="0"/>
              <w:rPr>
                <w:sz w:val="20"/>
                <w:szCs w:val="20"/>
                <w:color w:val="auto"/>
              </w:rPr>
            </w:pPr>
            <w:r>
              <w:rPr>
                <w:rFonts w:ascii="Arial" w:cs="Arial" w:eastAsia="Arial" w:hAnsi="Arial"/>
                <w:sz w:val="16"/>
                <w:szCs w:val="16"/>
                <w:color w:val="242424"/>
                <w:w w:val="97"/>
              </w:rPr>
              <w:t>150%</w:t>
            </w:r>
          </w:p>
        </w:tc>
        <w:tc>
          <w:tcPr>
            <w:tcW w:w="240" w:type="dxa"/>
            <w:vAlign w:val="bottom"/>
          </w:tcPr>
          <w:p>
            <w:pPr>
              <w:spacing w:after="0"/>
              <w:rPr>
                <w:sz w:val="20"/>
                <w:szCs w:val="20"/>
                <w:color w:val="auto"/>
              </w:rPr>
            </w:pPr>
          </w:p>
        </w:tc>
        <w:tc>
          <w:tcPr>
            <w:tcW w:w="1380" w:type="dxa"/>
            <w:vAlign w:val="bottom"/>
          </w:tcPr>
          <w:p>
            <w:pPr>
              <w:jc w:val="right"/>
              <w:ind w:right="266"/>
              <w:spacing w:after="0"/>
              <w:rPr>
                <w:sz w:val="20"/>
                <w:szCs w:val="20"/>
                <w:color w:val="auto"/>
              </w:rPr>
            </w:pPr>
            <w:r>
              <w:rPr>
                <w:rFonts w:ascii="Arial" w:cs="Arial" w:eastAsia="Arial" w:hAnsi="Arial"/>
                <w:sz w:val="16"/>
                <w:szCs w:val="16"/>
                <w:color w:val="242424"/>
              </w:rPr>
              <w:t>50%</w:t>
            </w:r>
          </w:p>
        </w:tc>
        <w:tc>
          <w:tcPr>
            <w:tcW w:w="1480" w:type="dxa"/>
            <w:vAlign w:val="bottom"/>
          </w:tcPr>
          <w:p>
            <w:pPr>
              <w:jc w:val="center"/>
              <w:ind w:left="366"/>
              <w:spacing w:after="0"/>
              <w:rPr>
                <w:sz w:val="20"/>
                <w:szCs w:val="20"/>
                <w:color w:val="auto"/>
              </w:rPr>
            </w:pPr>
            <w:r>
              <w:rPr>
                <w:rFonts w:ascii="Arial" w:cs="Arial" w:eastAsia="Arial" w:hAnsi="Arial"/>
                <w:sz w:val="16"/>
                <w:szCs w:val="16"/>
                <w:color w:val="242424"/>
                <w:w w:val="99"/>
              </w:rPr>
              <w:t>75%</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900" w:type="dxa"/>
            <w:vAlign w:val="bottom"/>
            <w:gridSpan w:val="2"/>
          </w:tcPr>
          <w:p>
            <w:pPr>
              <w:ind w:left="140"/>
              <w:spacing w:after="0"/>
              <w:rPr>
                <w:sz w:val="20"/>
                <w:szCs w:val="20"/>
                <w:color w:val="auto"/>
              </w:rPr>
            </w:pPr>
            <w:r>
              <w:rPr>
                <w:rFonts w:ascii="Arial" w:cs="Arial" w:eastAsia="Arial" w:hAnsi="Arial"/>
                <w:sz w:val="16"/>
                <w:szCs w:val="16"/>
                <w:color w:val="242424"/>
              </w:rPr>
              <w:t>Adjusted non-GAAP Operating Margin</w:t>
            </w:r>
          </w:p>
        </w:tc>
        <w:tc>
          <w:tcPr>
            <w:tcW w:w="2880" w:type="dxa"/>
            <w:vAlign w:val="bottom"/>
            <w:gridSpan w:val="2"/>
          </w:tcPr>
          <w:p>
            <w:pPr>
              <w:jc w:val="right"/>
              <w:ind w:right="908"/>
              <w:spacing w:after="0"/>
              <w:rPr>
                <w:sz w:val="20"/>
                <w:szCs w:val="20"/>
                <w:color w:val="auto"/>
              </w:rPr>
            </w:pPr>
            <w:r>
              <w:rPr>
                <w:rFonts w:ascii="Arial" w:cs="Arial" w:eastAsia="Arial" w:hAnsi="Arial"/>
                <w:sz w:val="16"/>
                <w:szCs w:val="16"/>
                <w:color w:val="242424"/>
              </w:rPr>
              <w:t>60.7%</w:t>
            </w:r>
          </w:p>
        </w:tc>
        <w:tc>
          <w:tcPr>
            <w:tcW w:w="1060" w:type="dxa"/>
            <w:vAlign w:val="bottom"/>
          </w:tcPr>
          <w:p>
            <w:pPr>
              <w:jc w:val="center"/>
              <w:ind w:left="227"/>
              <w:spacing w:after="0"/>
              <w:rPr>
                <w:sz w:val="20"/>
                <w:szCs w:val="20"/>
                <w:color w:val="auto"/>
              </w:rPr>
            </w:pPr>
            <w:r>
              <w:rPr>
                <w:rFonts w:ascii="Arial" w:cs="Arial" w:eastAsia="Arial" w:hAnsi="Arial"/>
                <w:sz w:val="16"/>
                <w:szCs w:val="16"/>
                <w:color w:val="242424"/>
                <w:w w:val="97"/>
              </w:rPr>
              <w:t>150%</w:t>
            </w:r>
          </w:p>
        </w:tc>
        <w:tc>
          <w:tcPr>
            <w:tcW w:w="240" w:type="dxa"/>
            <w:vAlign w:val="bottom"/>
          </w:tcPr>
          <w:p>
            <w:pPr>
              <w:spacing w:after="0"/>
              <w:rPr>
                <w:sz w:val="21"/>
                <w:szCs w:val="21"/>
                <w:color w:val="auto"/>
              </w:rPr>
            </w:pPr>
          </w:p>
        </w:tc>
        <w:tc>
          <w:tcPr>
            <w:tcW w:w="1380" w:type="dxa"/>
            <w:vAlign w:val="bottom"/>
          </w:tcPr>
          <w:p>
            <w:pPr>
              <w:jc w:val="right"/>
              <w:ind w:right="266"/>
              <w:spacing w:after="0"/>
              <w:rPr>
                <w:sz w:val="20"/>
                <w:szCs w:val="20"/>
                <w:color w:val="auto"/>
              </w:rPr>
            </w:pPr>
            <w:r>
              <w:rPr>
                <w:rFonts w:ascii="Arial" w:cs="Arial" w:eastAsia="Arial" w:hAnsi="Arial"/>
                <w:sz w:val="16"/>
                <w:szCs w:val="16"/>
                <w:color w:val="242424"/>
              </w:rPr>
              <w:t>50%</w:t>
            </w:r>
          </w:p>
        </w:tc>
        <w:tc>
          <w:tcPr>
            <w:tcW w:w="1480" w:type="dxa"/>
            <w:vAlign w:val="bottom"/>
          </w:tcPr>
          <w:p>
            <w:pPr>
              <w:jc w:val="center"/>
              <w:ind w:left="366"/>
              <w:spacing w:after="0"/>
              <w:rPr>
                <w:sz w:val="20"/>
                <w:szCs w:val="20"/>
                <w:color w:val="auto"/>
              </w:rPr>
            </w:pPr>
            <w:r>
              <w:rPr>
                <w:rFonts w:ascii="Arial" w:cs="Arial" w:eastAsia="Arial" w:hAnsi="Arial"/>
                <w:sz w:val="16"/>
                <w:szCs w:val="16"/>
                <w:color w:val="242424"/>
                <w:w w:val="99"/>
              </w:rPr>
              <w:t>75%</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400" w:type="dxa"/>
            <w:vAlign w:val="bottom"/>
          </w:tcPr>
          <w:p>
            <w:pPr>
              <w:ind w:left="140"/>
              <w:spacing w:after="0"/>
              <w:rPr>
                <w:sz w:val="20"/>
                <w:szCs w:val="20"/>
                <w:color w:val="auto"/>
              </w:rPr>
            </w:pPr>
            <w:r>
              <w:rPr>
                <w:rFonts w:ascii="Arial" w:cs="Arial" w:eastAsia="Arial" w:hAnsi="Arial"/>
                <w:sz w:val="16"/>
                <w:szCs w:val="16"/>
                <w:color w:val="242424"/>
              </w:rPr>
              <w:t>Total Attainment</w:t>
            </w: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jc w:val="center"/>
              <w:ind w:left="386"/>
              <w:spacing w:after="0"/>
              <w:rPr>
                <w:sz w:val="20"/>
                <w:szCs w:val="20"/>
                <w:color w:val="auto"/>
              </w:rPr>
            </w:pPr>
            <w:r>
              <w:rPr>
                <w:rFonts w:ascii="Arial" w:cs="Arial" w:eastAsia="Arial" w:hAnsi="Arial"/>
                <w:sz w:val="16"/>
                <w:szCs w:val="16"/>
                <w:color w:val="242424"/>
              </w:rPr>
              <w:t>150%</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-1838960</wp:posOffset>
            </wp:positionV>
            <wp:extent cx="7134860" cy="554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5549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-845820</wp:posOffset>
            </wp:positionV>
            <wp:extent cx="64446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4461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35</w:t>
      </w:r>
    </w:p>
    <w:p>
      <w:pPr>
        <w:sectPr>
          <w:pgSz w:w="11900" w:h="16838" w:orient="portrait"/>
          <w:cols w:equalWidth="0" w:num="1">
            <w:col w:w="11240"/>
          </w:cols>
          <w:pgMar w:left="320" w:top="181"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242424"/>
        </w:rPr>
        <w:t>Divisional Performance Components</w:t>
      </w:r>
    </w:p>
    <w:p>
      <w:pPr>
        <w:spacing w:after="0" w:line="164"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242424"/>
        </w:rPr>
        <w:t>The Compensation Committee determined each NEO’s divisional performance percentage based on the actual level of achievement of the pre-established goals by the division overseen by the NEO. In December 2021, the Compensation Committee determined that the NEO’s divisional goals had been achieved at the levels set forth in the table below under “</w:t>
      </w:r>
      <w:r>
        <w:rPr>
          <w:rFonts w:ascii="Arial" w:cs="Arial" w:eastAsia="Arial" w:hAnsi="Arial"/>
          <w:sz w:val="17"/>
          <w:szCs w:val="17"/>
          <w:i w:val="1"/>
          <w:iCs w:val="1"/>
          <w:color w:val="242424"/>
        </w:rPr>
        <w:t>Fiscal Year 2021 APB Plan Attainment and Payout Amounts</w:t>
      </w:r>
      <w:r>
        <w:rPr>
          <w:rFonts w:ascii="Arial" w:cs="Arial" w:eastAsia="Arial" w:hAnsi="Arial"/>
          <w:sz w:val="17"/>
          <w:szCs w:val="17"/>
          <w:color w:val="242424"/>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242424"/>
        </w:rPr>
        <w:t>Individual Performance Multiplier</w:t>
      </w:r>
    </w:p>
    <w:p>
      <w:pPr>
        <w:spacing w:after="0" w:line="16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242424"/>
        </w:rPr>
        <w:t>Due to the strong leadership and significant efforts of our NEOs in addressing the continued disruption in our normal business activities due to the ongoing COVID-19 pandemic, supply chain constraints and macroeconomic uncertainties, we achieved a 15% increase in our revenue year-over-year and increased our non-GAAP operating margin. The Compensation Committee, with input from our CEO, determined that each of our NEOs (other than our CEO) should receive an individual performance multiplier between 100 to 150%, with higher multipliers attributable to the NEOs’ leadership and efforts in growing our business and exceeding division targets while navigating the continued disruption in our business due to the COVID-19 pandemic, supply chain constraints and macroeconomic uncertainties.</w:t>
      </w:r>
    </w:p>
    <w:p>
      <w:pPr>
        <w:spacing w:after="0" w:line="158" w:lineRule="exact"/>
        <w:rPr>
          <w:sz w:val="20"/>
          <w:szCs w:val="20"/>
          <w:color w:val="auto"/>
        </w:rPr>
      </w:pPr>
    </w:p>
    <w:p>
      <w:pPr>
        <w:spacing w:after="0" w:line="247" w:lineRule="auto"/>
        <w:rPr>
          <w:sz w:val="20"/>
          <w:szCs w:val="20"/>
          <w:color w:val="auto"/>
        </w:rPr>
      </w:pPr>
      <w:r>
        <w:rPr>
          <w:rFonts w:ascii="Arial" w:cs="Arial" w:eastAsia="Arial" w:hAnsi="Arial"/>
          <w:sz w:val="18"/>
          <w:szCs w:val="18"/>
          <w:color w:val="242424"/>
        </w:rPr>
        <w:t>The independent directors, based upon the recommendation of the Compensation Committee, determined that Mr. Tan should receive an individual performance multiplier of 150%. Mr. Tan successfully led and navigated Broadcom through many challenges in fiscal year 2021, including managing our business and workforce during the ongoing COVID-19 pandemic and addressing supply chain constraints and customer demands, and delivered strong financial and operational growth, resulting in a payout of 225% of his target bonus.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Fiscal Year 2021 APB Plan Attainment and Payout Amounts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242424"/>
        </w:rPr>
        <w:t>Each of the corporate and divisional goals for our NEOs, and their respective weighting is set forth in the following table.</w:t>
      </w:r>
    </w:p>
    <w:p>
      <w:pPr>
        <w:spacing w:after="0" w:line="10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320" w:type="dxa"/>
            <w:vAlign w:val="bottom"/>
            <w:tcBorders>
              <w:top w:val="single" w:sz="8" w:color="CC092F"/>
            </w:tcBorders>
            <w:shd w:val="clear" w:color="auto" w:fill="B8B8B8"/>
          </w:tcPr>
          <w:p>
            <w:pPr>
              <w:spacing w:after="0"/>
              <w:rPr>
                <w:sz w:val="14"/>
                <w:szCs w:val="14"/>
                <w:color w:val="auto"/>
              </w:rPr>
            </w:pPr>
          </w:p>
        </w:tc>
        <w:tc>
          <w:tcPr>
            <w:tcW w:w="1840" w:type="dxa"/>
            <w:vAlign w:val="bottom"/>
            <w:tcBorders>
              <w:top w:val="single" w:sz="8" w:color="CC092F"/>
            </w:tcBorders>
            <w:shd w:val="clear" w:color="auto" w:fill="B8B8B8"/>
          </w:tcPr>
          <w:p>
            <w:pPr>
              <w:ind w:left="900"/>
              <w:spacing w:after="0" w:line="172" w:lineRule="exact"/>
              <w:rPr>
                <w:sz w:val="20"/>
                <w:szCs w:val="20"/>
                <w:color w:val="auto"/>
              </w:rPr>
            </w:pPr>
            <w:r>
              <w:rPr>
                <w:rFonts w:ascii="Arial" w:cs="Arial" w:eastAsia="Arial" w:hAnsi="Arial"/>
                <w:sz w:val="16"/>
                <w:szCs w:val="16"/>
                <w:b w:val="1"/>
                <w:bCs w:val="1"/>
                <w:color w:val="FFFFFF"/>
              </w:rPr>
              <w:t>Bonus</w:t>
            </w:r>
          </w:p>
        </w:tc>
        <w:tc>
          <w:tcPr>
            <w:tcW w:w="3040" w:type="dxa"/>
            <w:vAlign w:val="bottom"/>
            <w:tcBorders>
              <w:top w:val="single" w:sz="8" w:color="CC092F"/>
            </w:tcBorders>
            <w:shd w:val="clear" w:color="auto" w:fill="B8B8B8"/>
          </w:tcPr>
          <w:p>
            <w:pPr>
              <w:spacing w:after="0"/>
              <w:rPr>
                <w:sz w:val="14"/>
                <w:szCs w:val="14"/>
                <w:color w:val="auto"/>
              </w:rPr>
            </w:pPr>
          </w:p>
        </w:tc>
        <w:tc>
          <w:tcPr>
            <w:tcW w:w="1700" w:type="dxa"/>
            <w:vAlign w:val="bottom"/>
            <w:tcBorders>
              <w:top w:val="single" w:sz="8" w:color="CC092F"/>
            </w:tcBorders>
            <w:shd w:val="clear" w:color="auto" w:fill="B8B8B8"/>
          </w:tcPr>
          <w:p>
            <w:pPr>
              <w:jc w:val="center"/>
              <w:ind w:left="1"/>
              <w:spacing w:after="0" w:line="172" w:lineRule="exact"/>
              <w:rPr>
                <w:sz w:val="20"/>
                <w:szCs w:val="20"/>
                <w:color w:val="auto"/>
              </w:rPr>
            </w:pPr>
            <w:r>
              <w:rPr>
                <w:rFonts w:ascii="Arial" w:cs="Arial" w:eastAsia="Arial" w:hAnsi="Arial"/>
                <w:sz w:val="16"/>
                <w:szCs w:val="16"/>
                <w:b w:val="1"/>
                <w:bCs w:val="1"/>
                <w:color w:val="FFFFFF"/>
                <w:w w:val="96"/>
              </w:rPr>
              <w:t>Fiscal Year</w:t>
            </w:r>
          </w:p>
        </w:tc>
        <w:tc>
          <w:tcPr>
            <w:tcW w:w="3180" w:type="dxa"/>
            <w:vAlign w:val="bottom"/>
            <w:tcBorders>
              <w:top w:val="single" w:sz="8" w:color="CC092F"/>
            </w:tcBorders>
            <w:shd w:val="clear" w:color="auto" w:fill="B8B8B8"/>
          </w:tcPr>
          <w:p>
            <w:pPr>
              <w:jc w:val="center"/>
              <w:ind w:right="61"/>
              <w:spacing w:after="0" w:line="172" w:lineRule="exact"/>
              <w:rPr>
                <w:sz w:val="20"/>
                <w:szCs w:val="20"/>
                <w:color w:val="auto"/>
              </w:rPr>
            </w:pPr>
            <w:r>
              <w:rPr>
                <w:rFonts w:ascii="Arial" w:cs="Arial" w:eastAsia="Arial" w:hAnsi="Arial"/>
                <w:sz w:val="16"/>
                <w:szCs w:val="16"/>
                <w:b w:val="1"/>
                <w:bCs w:val="1"/>
                <w:color w:val="FFFFFF"/>
                <w:w w:val="98"/>
              </w:rPr>
              <w:t>Fiscal Year 2021 Payout Amount</w:t>
            </w:r>
          </w:p>
        </w:tc>
        <w:tc>
          <w:tcPr>
            <w:tcW w:w="0" w:type="dxa"/>
            <w:vAlign w:val="bottom"/>
          </w:tcPr>
          <w:p>
            <w:pPr>
              <w:spacing w:after="0"/>
              <w:rPr>
                <w:sz w:val="1"/>
                <w:szCs w:val="1"/>
                <w:color w:val="auto"/>
              </w:rPr>
            </w:pPr>
          </w:p>
        </w:tc>
      </w:tr>
      <w:tr>
        <w:trPr>
          <w:trHeight w:val="159"/>
        </w:trPr>
        <w:tc>
          <w:tcPr>
            <w:tcW w:w="1320" w:type="dxa"/>
            <w:vAlign w:val="bottom"/>
            <w:vMerge w:val="restart"/>
            <w:shd w:val="clear" w:color="auto" w:fill="B8B8B8"/>
          </w:tcPr>
          <w:p>
            <w:pPr>
              <w:ind w:left="20"/>
              <w:spacing w:after="0"/>
              <w:rPr>
                <w:sz w:val="20"/>
                <w:szCs w:val="20"/>
                <w:color w:val="auto"/>
              </w:rPr>
            </w:pPr>
            <w:r>
              <w:rPr>
                <w:rFonts w:ascii="Arial" w:cs="Arial" w:eastAsia="Arial" w:hAnsi="Arial"/>
                <w:sz w:val="16"/>
                <w:szCs w:val="16"/>
                <w:b w:val="1"/>
                <w:bCs w:val="1"/>
                <w:color w:val="FFFFFF"/>
              </w:rPr>
              <w:t>Name</w:t>
            </w:r>
          </w:p>
        </w:tc>
        <w:tc>
          <w:tcPr>
            <w:tcW w:w="1840" w:type="dxa"/>
            <w:vAlign w:val="bottom"/>
            <w:shd w:val="clear" w:color="auto" w:fill="B8B8B8"/>
          </w:tcPr>
          <w:p>
            <w:pPr>
              <w:ind w:left="920"/>
              <w:spacing w:after="0" w:line="159" w:lineRule="exact"/>
              <w:rPr>
                <w:sz w:val="20"/>
                <w:szCs w:val="20"/>
                <w:color w:val="auto"/>
              </w:rPr>
            </w:pPr>
            <w:r>
              <w:rPr>
                <w:rFonts w:ascii="Arial" w:cs="Arial" w:eastAsia="Arial" w:hAnsi="Arial"/>
                <w:sz w:val="16"/>
                <w:szCs w:val="16"/>
                <w:b w:val="1"/>
                <w:bCs w:val="1"/>
                <w:color w:val="FFFFFF"/>
              </w:rPr>
              <w:t>Target</w:t>
            </w:r>
          </w:p>
        </w:tc>
        <w:tc>
          <w:tcPr>
            <w:tcW w:w="3040" w:type="dxa"/>
            <w:vAlign w:val="bottom"/>
            <w:vMerge w:val="restart"/>
            <w:shd w:val="clear" w:color="auto" w:fill="B8B8B8"/>
          </w:tcPr>
          <w:p>
            <w:pPr>
              <w:ind w:left="380"/>
              <w:spacing w:after="0"/>
              <w:rPr>
                <w:sz w:val="20"/>
                <w:szCs w:val="20"/>
                <w:color w:val="auto"/>
              </w:rPr>
            </w:pPr>
            <w:r>
              <w:rPr>
                <w:rFonts w:ascii="Arial" w:cs="Arial" w:eastAsia="Arial" w:hAnsi="Arial"/>
                <w:sz w:val="16"/>
                <w:szCs w:val="16"/>
                <w:b w:val="1"/>
                <w:bCs w:val="1"/>
                <w:color w:val="FFFFFF"/>
              </w:rPr>
              <w:t>Fiscal Year 2021 Bonus Goals</w:t>
            </w:r>
          </w:p>
        </w:tc>
        <w:tc>
          <w:tcPr>
            <w:tcW w:w="1700" w:type="dxa"/>
            <w:vAlign w:val="bottom"/>
            <w:shd w:val="clear" w:color="auto" w:fill="B8B8B8"/>
          </w:tcPr>
          <w:p>
            <w:pPr>
              <w:jc w:val="center"/>
              <w:ind w:left="1"/>
              <w:spacing w:after="0" w:line="159" w:lineRule="exact"/>
              <w:rPr>
                <w:sz w:val="20"/>
                <w:szCs w:val="20"/>
                <w:color w:val="auto"/>
              </w:rPr>
            </w:pPr>
            <w:r>
              <w:rPr>
                <w:rFonts w:ascii="Arial" w:cs="Arial" w:eastAsia="Arial" w:hAnsi="Arial"/>
                <w:sz w:val="16"/>
                <w:szCs w:val="16"/>
                <w:b w:val="1"/>
                <w:bCs w:val="1"/>
                <w:color w:val="FFFFFF"/>
              </w:rPr>
              <w:t>2021 Bonus</w:t>
            </w:r>
          </w:p>
        </w:tc>
        <w:tc>
          <w:tcPr>
            <w:tcW w:w="3180" w:type="dxa"/>
            <w:vAlign w:val="bottom"/>
            <w:shd w:val="clear" w:color="auto" w:fill="B8B8B8"/>
          </w:tcPr>
          <w:p>
            <w:pPr>
              <w:jc w:val="center"/>
              <w:ind w:right="61"/>
              <w:spacing w:after="0" w:line="159" w:lineRule="exact"/>
              <w:rPr>
                <w:sz w:val="20"/>
                <w:szCs w:val="20"/>
                <w:color w:val="auto"/>
              </w:rPr>
            </w:pPr>
            <w:r>
              <w:rPr>
                <w:rFonts w:ascii="Arial" w:cs="Arial" w:eastAsia="Arial" w:hAnsi="Arial"/>
                <w:sz w:val="16"/>
                <w:szCs w:val="16"/>
                <w:b w:val="1"/>
                <w:bCs w:val="1"/>
                <w:color w:val="FFFFFF"/>
                <w:w w:val="98"/>
              </w:rPr>
              <w:t>in Dollars and as a</w:t>
            </w:r>
          </w:p>
        </w:tc>
        <w:tc>
          <w:tcPr>
            <w:tcW w:w="0" w:type="dxa"/>
            <w:vAlign w:val="bottom"/>
          </w:tcPr>
          <w:p>
            <w:pPr>
              <w:spacing w:after="0"/>
              <w:rPr>
                <w:sz w:val="1"/>
                <w:szCs w:val="1"/>
                <w:color w:val="auto"/>
              </w:rPr>
            </w:pPr>
          </w:p>
        </w:tc>
      </w:tr>
      <w:tr>
        <w:trPr>
          <w:trHeight w:val="212"/>
        </w:trPr>
        <w:tc>
          <w:tcPr>
            <w:tcW w:w="1320" w:type="dxa"/>
            <w:vAlign w:val="bottom"/>
            <w:tcBorders>
              <w:bottom w:val="single" w:sz="8" w:color="CC092F"/>
            </w:tcBorders>
            <w:vMerge w:val="continue"/>
            <w:shd w:val="clear" w:color="auto" w:fill="B8B8B8"/>
          </w:tcPr>
          <w:p>
            <w:pPr>
              <w:spacing w:after="0"/>
              <w:rPr>
                <w:sz w:val="18"/>
                <w:szCs w:val="18"/>
                <w:color w:val="auto"/>
              </w:rPr>
            </w:pPr>
          </w:p>
        </w:tc>
        <w:tc>
          <w:tcPr>
            <w:tcW w:w="1840" w:type="dxa"/>
            <w:vAlign w:val="bottom"/>
            <w:tcBorders>
              <w:bottom w:val="single" w:sz="8" w:color="CC092F"/>
            </w:tcBorders>
            <w:shd w:val="clear" w:color="auto" w:fill="B8B8B8"/>
          </w:tcPr>
          <w:p>
            <w:pPr>
              <w:ind w:left="880"/>
              <w:spacing w:after="0"/>
              <w:rPr>
                <w:sz w:val="20"/>
                <w:szCs w:val="20"/>
                <w:color w:val="auto"/>
              </w:rPr>
            </w:pPr>
            <w:r>
              <w:rPr>
                <w:rFonts w:ascii="Arial" w:cs="Arial" w:eastAsia="Arial" w:hAnsi="Arial"/>
                <w:sz w:val="16"/>
                <w:szCs w:val="16"/>
                <w:b w:val="1"/>
                <w:bCs w:val="1"/>
                <w:color w:val="FFFFFF"/>
              </w:rPr>
              <w:t>Percent</w:t>
            </w:r>
          </w:p>
        </w:tc>
        <w:tc>
          <w:tcPr>
            <w:tcW w:w="3040" w:type="dxa"/>
            <w:vAlign w:val="bottom"/>
            <w:tcBorders>
              <w:bottom w:val="single" w:sz="8" w:color="CC092F"/>
            </w:tcBorders>
            <w:vMerge w:val="continue"/>
            <w:shd w:val="clear" w:color="auto" w:fill="B8B8B8"/>
          </w:tcPr>
          <w:p>
            <w:pPr>
              <w:spacing w:after="0"/>
              <w:rPr>
                <w:sz w:val="18"/>
                <w:szCs w:val="18"/>
                <w:color w:val="auto"/>
              </w:rPr>
            </w:pPr>
          </w:p>
        </w:tc>
        <w:tc>
          <w:tcPr>
            <w:tcW w:w="1700" w:type="dxa"/>
            <w:vAlign w:val="bottom"/>
            <w:tcBorders>
              <w:bottom w:val="single" w:sz="8" w:color="CC092F"/>
            </w:tcBorders>
            <w:shd w:val="clear" w:color="auto" w:fill="B8B8B8"/>
          </w:tcPr>
          <w:p>
            <w:pPr>
              <w:jc w:val="center"/>
              <w:ind w:left="41"/>
              <w:spacing w:after="0"/>
              <w:rPr>
                <w:sz w:val="20"/>
                <w:szCs w:val="20"/>
                <w:color w:val="auto"/>
              </w:rPr>
            </w:pPr>
            <w:r>
              <w:rPr>
                <w:rFonts w:ascii="Arial" w:cs="Arial" w:eastAsia="Arial" w:hAnsi="Arial"/>
                <w:sz w:val="16"/>
                <w:szCs w:val="16"/>
                <w:b w:val="1"/>
                <w:bCs w:val="1"/>
                <w:color w:val="FFFFFF"/>
                <w:w w:val="98"/>
              </w:rPr>
              <w:t>Achievement</w:t>
            </w:r>
          </w:p>
        </w:tc>
        <w:tc>
          <w:tcPr>
            <w:tcW w:w="3180" w:type="dxa"/>
            <w:vAlign w:val="bottom"/>
            <w:tcBorders>
              <w:bottom w:val="single" w:sz="8" w:color="CC092F"/>
            </w:tcBorders>
            <w:shd w:val="clear" w:color="auto" w:fill="B8B8B8"/>
          </w:tcPr>
          <w:p>
            <w:pPr>
              <w:jc w:val="center"/>
              <w:ind w:right="21"/>
              <w:spacing w:after="0" w:line="212" w:lineRule="exact"/>
              <w:rPr>
                <w:sz w:val="20"/>
                <w:szCs w:val="20"/>
                <w:color w:val="auto"/>
              </w:rPr>
            </w:pPr>
            <w:r>
              <w:rPr>
                <w:rFonts w:ascii="Arial" w:cs="Arial" w:eastAsia="Arial" w:hAnsi="Arial"/>
                <w:sz w:val="16"/>
                <w:szCs w:val="16"/>
                <w:b w:val="1"/>
                <w:bCs w:val="1"/>
                <w:color w:val="FFFFFF"/>
                <w:w w:val="98"/>
              </w:rPr>
              <w:t>Percentage of Base Salary Paid</w:t>
            </w:r>
            <w:r>
              <w:rPr>
                <w:rFonts w:ascii="Arial" w:cs="Arial" w:eastAsia="Arial" w:hAnsi="Arial"/>
                <w:sz w:val="20"/>
                <w:szCs w:val="20"/>
                <w:b w:val="1"/>
                <w:bCs w:val="1"/>
                <w:color w:val="FFFFFF"/>
                <w:w w:val="98"/>
                <w:vertAlign w:val="superscript"/>
              </w:rPr>
              <w:t>(1)</w:t>
            </w:r>
          </w:p>
        </w:tc>
        <w:tc>
          <w:tcPr>
            <w:tcW w:w="0" w:type="dxa"/>
            <w:vAlign w:val="bottom"/>
          </w:tcPr>
          <w:p>
            <w:pPr>
              <w:spacing w:after="0"/>
              <w:rPr>
                <w:sz w:val="1"/>
                <w:szCs w:val="1"/>
                <w:color w:val="auto"/>
              </w:rPr>
            </w:pPr>
          </w:p>
        </w:tc>
      </w:tr>
    </w:tbl>
    <w:p>
      <w:pPr>
        <w:spacing w:after="0" w:line="18" w:lineRule="exact"/>
        <w:rPr>
          <w:sz w:val="20"/>
          <w:szCs w:val="20"/>
          <w:color w:val="auto"/>
        </w:rPr>
      </w:pPr>
    </w:p>
    <w:p>
      <w:pPr>
        <w:sectPr>
          <w:pgSz w:w="11900" w:h="16838" w:orient="portrait"/>
          <w:cols w:equalWidth="0" w:num="1">
            <w:col w:w="11240"/>
          </w:cols>
          <w:pgMar w:left="320" w:top="181" w:right="339" w:bottom="1440" w:gutter="0" w:footer="0" w:header="0"/>
        </w:sectPr>
      </w:pPr>
    </w:p>
    <w:tbl>
      <w:tblPr>
        <w:tblLayout w:type="fixed"/>
        <w:tblInd w:w="18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Arial" w:cs="Arial" w:eastAsia="Arial" w:hAnsi="Arial"/>
                <w:sz w:val="14"/>
                <w:szCs w:val="14"/>
                <w:color w:val="242424"/>
              </w:rPr>
              <w:t>Hock E. Tan</w:t>
            </w:r>
          </w:p>
        </w:tc>
        <w:tc>
          <w:tcPr>
            <w:tcW w:w="940" w:type="dxa"/>
            <w:vAlign w:val="bottom"/>
          </w:tcPr>
          <w:p>
            <w:pPr>
              <w:jc w:val="right"/>
              <w:ind w:right="109"/>
              <w:spacing w:after="0"/>
              <w:rPr>
                <w:sz w:val="20"/>
                <w:szCs w:val="20"/>
                <w:color w:val="auto"/>
              </w:rPr>
            </w:pPr>
            <w:r>
              <w:rPr>
                <w:rFonts w:ascii="Arial" w:cs="Arial" w:eastAsia="Arial" w:hAnsi="Arial"/>
                <w:sz w:val="14"/>
                <w:szCs w:val="14"/>
                <w:color w:val="242424"/>
              </w:rPr>
              <w:t>200%</w:t>
            </w:r>
          </w:p>
        </w:tc>
        <w:tc>
          <w:tcPr>
            <w:tcW w:w="3000" w:type="dxa"/>
            <w:vAlign w:val="bottom"/>
          </w:tcPr>
          <w:p>
            <w:pPr>
              <w:ind w:left="180"/>
              <w:spacing w:after="0"/>
              <w:rPr>
                <w:sz w:val="20"/>
                <w:szCs w:val="20"/>
                <w:color w:val="auto"/>
              </w:rPr>
            </w:pPr>
            <w:r>
              <w:rPr>
                <w:rFonts w:ascii="Arial" w:cs="Arial" w:eastAsia="Arial" w:hAnsi="Arial"/>
                <w:sz w:val="14"/>
                <w:szCs w:val="14"/>
                <w:color w:val="242424"/>
              </w:rPr>
              <w:t>Revenue (50%)</w:t>
            </w:r>
          </w:p>
        </w:tc>
        <w:tc>
          <w:tcPr>
            <w:tcW w:w="0" w:type="dxa"/>
            <w:vAlign w:val="bottom"/>
          </w:tcPr>
          <w:p>
            <w:pPr>
              <w:spacing w:after="0"/>
              <w:rPr>
                <w:sz w:val="1"/>
                <w:szCs w:val="1"/>
                <w:color w:val="auto"/>
              </w:rPr>
            </w:pPr>
          </w:p>
        </w:tc>
      </w:tr>
      <w:tr>
        <w:trPr>
          <w:trHeight w:val="148"/>
        </w:trPr>
        <w:tc>
          <w:tcPr>
            <w:tcW w:w="1900" w:type="dxa"/>
            <w:vAlign w:val="bottom"/>
          </w:tcPr>
          <w:p>
            <w:pPr>
              <w:ind w:left="80"/>
              <w:spacing w:after="0" w:line="148" w:lineRule="exact"/>
              <w:rPr>
                <w:sz w:val="20"/>
                <w:szCs w:val="20"/>
                <w:color w:val="auto"/>
              </w:rPr>
            </w:pPr>
            <w:r>
              <w:rPr>
                <w:rFonts w:ascii="Arial" w:cs="Arial" w:eastAsia="Arial" w:hAnsi="Arial"/>
                <w:sz w:val="14"/>
                <w:szCs w:val="14"/>
                <w:color w:val="242424"/>
              </w:rPr>
              <w:t>President and</w:t>
            </w:r>
          </w:p>
        </w:tc>
        <w:tc>
          <w:tcPr>
            <w:tcW w:w="940" w:type="dxa"/>
            <w:vAlign w:val="bottom"/>
          </w:tcPr>
          <w:p>
            <w:pPr>
              <w:spacing w:after="0"/>
              <w:rPr>
                <w:sz w:val="12"/>
                <w:szCs w:val="12"/>
                <w:color w:val="auto"/>
              </w:rPr>
            </w:pPr>
          </w:p>
        </w:tc>
        <w:tc>
          <w:tcPr>
            <w:tcW w:w="3000" w:type="dxa"/>
            <w:vAlign w:val="bottom"/>
          </w:tcPr>
          <w:p>
            <w:pPr>
              <w:ind w:left="180"/>
              <w:spacing w:after="0" w:line="148" w:lineRule="exact"/>
              <w:rPr>
                <w:sz w:val="20"/>
                <w:szCs w:val="20"/>
                <w:color w:val="auto"/>
              </w:rPr>
            </w:pPr>
            <w:r>
              <w:rPr>
                <w:rFonts w:ascii="Arial" w:cs="Arial" w:eastAsia="Arial" w:hAnsi="Arial"/>
                <w:sz w:val="14"/>
                <w:szCs w:val="14"/>
                <w:color w:val="242424"/>
              </w:rPr>
              <w:t>Adjusted non-GAAP Operating Margin (50%)</w:t>
            </w:r>
          </w:p>
        </w:tc>
        <w:tc>
          <w:tcPr>
            <w:tcW w:w="0" w:type="dxa"/>
            <w:vAlign w:val="bottom"/>
          </w:tcPr>
          <w:p>
            <w:pPr>
              <w:spacing w:after="0"/>
              <w:rPr>
                <w:sz w:val="1"/>
                <w:szCs w:val="1"/>
                <w:color w:val="auto"/>
              </w:rPr>
            </w:pPr>
          </w:p>
        </w:tc>
      </w:tr>
      <w:tr>
        <w:trPr>
          <w:trHeight w:val="170"/>
        </w:trPr>
        <w:tc>
          <w:tcPr>
            <w:tcW w:w="1900" w:type="dxa"/>
            <w:vAlign w:val="bottom"/>
          </w:tcPr>
          <w:p>
            <w:pPr>
              <w:ind w:left="80"/>
              <w:spacing w:after="0"/>
              <w:rPr>
                <w:sz w:val="20"/>
                <w:szCs w:val="20"/>
                <w:color w:val="auto"/>
              </w:rPr>
            </w:pPr>
            <w:r>
              <w:rPr>
                <w:rFonts w:ascii="Arial" w:cs="Arial" w:eastAsia="Arial" w:hAnsi="Arial"/>
                <w:sz w:val="14"/>
                <w:szCs w:val="14"/>
                <w:color w:val="242424"/>
              </w:rPr>
              <w:t>Chief Executive Officer</w:t>
            </w:r>
          </w:p>
        </w:tc>
        <w:tc>
          <w:tcPr>
            <w:tcW w:w="940" w:type="dxa"/>
            <w:vAlign w:val="bottom"/>
          </w:tcPr>
          <w:p>
            <w:pPr>
              <w:spacing w:after="0"/>
              <w:rPr>
                <w:sz w:val="14"/>
                <w:szCs w:val="14"/>
                <w:color w:val="auto"/>
              </w:rPr>
            </w:pPr>
          </w:p>
        </w:tc>
        <w:tc>
          <w:tcPr>
            <w:tcW w:w="3000" w:type="dxa"/>
            <w:vAlign w:val="bottom"/>
            <w:vMerge w:val="restart"/>
          </w:tcPr>
          <w:p>
            <w:pPr>
              <w:ind w:left="180"/>
              <w:spacing w:after="0"/>
              <w:rPr>
                <w:sz w:val="20"/>
                <w:szCs w:val="20"/>
                <w:color w:val="auto"/>
              </w:rPr>
            </w:pPr>
            <w:r>
              <w:rPr>
                <w:rFonts w:ascii="Arial" w:cs="Arial" w:eastAsia="Arial" w:hAnsi="Arial"/>
                <w:sz w:val="14"/>
                <w:szCs w:val="14"/>
                <w:i w:val="1"/>
                <w:iCs w:val="1"/>
                <w:color w:val="242424"/>
              </w:rPr>
              <w:t>Fiscal Year 2021 Attainment</w:t>
            </w:r>
          </w:p>
        </w:tc>
        <w:tc>
          <w:tcPr>
            <w:tcW w:w="0" w:type="dxa"/>
            <w:vAlign w:val="bottom"/>
          </w:tcPr>
          <w:p>
            <w:pPr>
              <w:spacing w:after="0"/>
              <w:rPr>
                <w:sz w:val="1"/>
                <w:szCs w:val="1"/>
                <w:color w:val="auto"/>
              </w:rPr>
            </w:pPr>
          </w:p>
        </w:tc>
      </w:tr>
      <w:tr>
        <w:trPr>
          <w:trHeight w:val="102"/>
        </w:trPr>
        <w:tc>
          <w:tcPr>
            <w:tcW w:w="1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27" w:hanging="327"/>
        <w:spacing w:after="0"/>
        <w:tabs>
          <w:tab w:leader="none" w:pos="327" w:val="left"/>
        </w:tabs>
        <w:numPr>
          <w:ilvl w:val="0"/>
          <w:numId w:val="61"/>
        </w:numPr>
        <w:rPr>
          <w:rFonts w:ascii="Arial" w:cs="Arial" w:eastAsia="Arial" w:hAnsi="Arial"/>
          <w:sz w:val="14"/>
          <w:szCs w:val="14"/>
          <w:color w:val="242424"/>
        </w:rPr>
      </w:pPr>
      <w:r>
        <w:rPr>
          <w:rFonts w:ascii="Arial" w:cs="Arial" w:eastAsia="Arial" w:hAnsi="Arial"/>
          <w:sz w:val="14"/>
          <w:szCs w:val="14"/>
          <w:color w:val="242424"/>
        </w:rPr>
        <w:t>%</w:t>
      </w:r>
    </w:p>
    <w:p>
      <w:pPr>
        <w:spacing w:after="0" w:line="51" w:lineRule="exact"/>
        <w:rPr>
          <w:rFonts w:ascii="Arial" w:cs="Arial" w:eastAsia="Arial" w:hAnsi="Arial"/>
          <w:sz w:val="14"/>
          <w:szCs w:val="14"/>
          <w:color w:val="242424"/>
        </w:rPr>
      </w:pPr>
    </w:p>
    <w:p>
      <w:pPr>
        <w:ind w:left="327" w:hanging="327"/>
        <w:spacing w:after="0"/>
        <w:tabs>
          <w:tab w:leader="none" w:pos="327" w:val="left"/>
        </w:tabs>
        <w:numPr>
          <w:ilvl w:val="0"/>
          <w:numId w:val="62"/>
        </w:numPr>
        <w:rPr>
          <w:rFonts w:ascii="Arial" w:cs="Arial" w:eastAsia="Arial" w:hAnsi="Arial"/>
          <w:sz w:val="14"/>
          <w:szCs w:val="14"/>
          <w:color w:val="242424"/>
        </w:rPr>
      </w:pPr>
      <w:r>
        <w:rPr>
          <w:rFonts w:ascii="Arial" w:cs="Arial" w:eastAsia="Arial" w:hAnsi="Arial"/>
          <w:sz w:val="14"/>
          <w:szCs w:val="14"/>
          <w:color w:val="242424"/>
        </w:rPr>
        <w:t>%</w:t>
      </w:r>
    </w:p>
    <w:p>
      <w:pPr>
        <w:spacing w:after="0" w:line="37" w:lineRule="exact"/>
        <w:rPr>
          <w:sz w:val="20"/>
          <w:szCs w:val="20"/>
          <w:color w:val="auto"/>
        </w:rPr>
      </w:pPr>
    </w:p>
    <w:p>
      <w:pPr>
        <w:ind w:left="7"/>
        <w:spacing w:after="0"/>
        <w:tabs>
          <w:tab w:leader="none" w:pos="1727" w:val="left"/>
          <w:tab w:leader="none" w:pos="3727" w:val="left"/>
        </w:tabs>
        <w:rPr>
          <w:sz w:val="20"/>
          <w:szCs w:val="20"/>
          <w:color w:val="auto"/>
        </w:rPr>
      </w:pPr>
      <w:r>
        <w:rPr>
          <w:rFonts w:ascii="Arial" w:cs="Arial" w:eastAsia="Arial" w:hAnsi="Arial"/>
          <w:sz w:val="14"/>
          <w:szCs w:val="14"/>
          <w:i w:val="1"/>
          <w:iCs w:val="1"/>
          <w:color w:val="242424"/>
        </w:rPr>
        <w:t>150 %</w:t>
      </w:r>
      <w:r>
        <w:rPr>
          <w:sz w:val="20"/>
          <w:szCs w:val="20"/>
          <w:color w:val="auto"/>
        </w:rPr>
        <w:tab/>
      </w:r>
      <w:r>
        <w:rPr>
          <w:rFonts w:ascii="Arial" w:cs="Arial" w:eastAsia="Arial" w:hAnsi="Arial"/>
          <w:sz w:val="14"/>
          <w:szCs w:val="14"/>
          <w:color w:val="242424"/>
        </w:rPr>
        <w:t>$ 5,400,000</w:t>
      </w:r>
      <w:r>
        <w:rPr>
          <w:sz w:val="20"/>
          <w:szCs w:val="20"/>
          <w:color w:val="auto"/>
        </w:rPr>
        <w:tab/>
      </w:r>
      <w:r>
        <w:rPr>
          <w:rFonts w:ascii="Arial" w:cs="Arial" w:eastAsia="Arial" w:hAnsi="Arial"/>
          <w:sz w:val="14"/>
          <w:szCs w:val="14"/>
          <w:color w:val="242424"/>
        </w:rPr>
        <w:t>450.0 %</w:t>
      </w:r>
    </w:p>
    <w:p>
      <w:pPr>
        <w:spacing w:after="0" w:line="19" w:lineRule="exact"/>
        <w:rPr>
          <w:sz w:val="20"/>
          <w:szCs w:val="20"/>
          <w:color w:val="auto"/>
        </w:rPr>
      </w:pPr>
    </w:p>
    <w:p>
      <w:pPr>
        <w:sectPr>
          <w:pgSz w:w="11900" w:h="16838" w:orient="portrait"/>
          <w:cols w:equalWidth="0" w:num="2">
            <w:col w:w="6233" w:space="720"/>
            <w:col w:w="4287"/>
          </w:cols>
          <w:pgMar w:left="320" w:top="181" w:right="339" w:bottom="1440" w:gutter="0" w:footer="0" w:header="0"/>
          <w:type w:val="continuous"/>
        </w:sectPr>
      </w:pPr>
    </w:p>
    <w:tbl>
      <w:tblPr>
        <w:tblLayout w:type="fixed"/>
        <w:tblInd w:w="160" w:type="dxa"/>
        <w:tblCellMar>
          <w:top w:w="0" w:type="dxa"/>
          <w:left w:w="0" w:type="dxa"/>
          <w:bottom w:w="0" w:type="dxa"/>
          <w:right w:w="0" w:type="dxa"/>
        </w:tblCellMar>
      </w:tblPr>
      <w:tr>
        <w:trPr>
          <w:trHeight w:val="188"/>
        </w:trPr>
        <w:tc>
          <w:tcPr>
            <w:tcW w:w="2080" w:type="dxa"/>
            <w:vAlign w:val="bottom"/>
            <w:shd w:val="clear" w:color="auto" w:fill="EAEAEA"/>
          </w:tcPr>
          <w:p>
            <w:pPr>
              <w:ind w:left="20"/>
              <w:spacing w:after="0"/>
              <w:rPr>
                <w:sz w:val="20"/>
                <w:szCs w:val="20"/>
                <w:color w:val="auto"/>
              </w:rPr>
            </w:pPr>
            <w:r>
              <w:rPr>
                <w:rFonts w:ascii="Arial" w:cs="Arial" w:eastAsia="Arial" w:hAnsi="Arial"/>
                <w:sz w:val="14"/>
                <w:szCs w:val="14"/>
                <w:color w:val="242424"/>
              </w:rPr>
              <w:t>Kirsten M. Spears</w:t>
            </w:r>
          </w:p>
        </w:tc>
        <w:tc>
          <w:tcPr>
            <w:tcW w:w="820" w:type="dxa"/>
            <w:vAlign w:val="bottom"/>
            <w:shd w:val="clear" w:color="auto" w:fill="EAEAEA"/>
          </w:tcPr>
          <w:p>
            <w:pPr>
              <w:ind w:left="240"/>
              <w:spacing w:after="0" w:line="188" w:lineRule="exact"/>
              <w:rPr>
                <w:sz w:val="20"/>
                <w:szCs w:val="20"/>
                <w:color w:val="auto"/>
              </w:rPr>
            </w:pPr>
            <w:r>
              <w:rPr>
                <w:rFonts w:ascii="Arial" w:cs="Arial" w:eastAsia="Arial" w:hAnsi="Arial"/>
                <w:sz w:val="14"/>
                <w:szCs w:val="14"/>
                <w:color w:val="242424"/>
              </w:rPr>
              <w:t>100%</w:t>
            </w:r>
            <w:r>
              <w:rPr>
                <w:rFonts w:ascii="Arial" w:cs="Arial" w:eastAsia="Arial" w:hAnsi="Arial"/>
                <w:sz w:val="18"/>
                <w:szCs w:val="18"/>
                <w:color w:val="242424"/>
                <w:vertAlign w:val="superscript"/>
              </w:rPr>
              <w:t>(2)</w:t>
            </w:r>
          </w:p>
        </w:tc>
        <w:tc>
          <w:tcPr>
            <w:tcW w:w="3540" w:type="dxa"/>
            <w:vAlign w:val="bottom"/>
            <w:shd w:val="clear" w:color="auto" w:fill="EAEAEA"/>
          </w:tcPr>
          <w:p>
            <w:pPr>
              <w:ind w:left="140"/>
              <w:spacing w:after="0"/>
              <w:rPr>
                <w:sz w:val="20"/>
                <w:szCs w:val="20"/>
                <w:color w:val="auto"/>
              </w:rPr>
            </w:pPr>
            <w:r>
              <w:rPr>
                <w:rFonts w:ascii="Arial" w:cs="Arial" w:eastAsia="Arial" w:hAnsi="Arial"/>
                <w:sz w:val="14"/>
                <w:szCs w:val="14"/>
                <w:color w:val="242424"/>
              </w:rPr>
              <w:t>Revenue (25%)</w:t>
            </w:r>
          </w:p>
        </w:tc>
        <w:tc>
          <w:tcPr>
            <w:tcW w:w="620" w:type="dxa"/>
            <w:vAlign w:val="bottom"/>
            <w:shd w:val="clear" w:color="auto" w:fill="EAEAEA"/>
          </w:tcPr>
          <w:p>
            <w:pPr>
              <w:jc w:val="right"/>
              <w:spacing w:after="0"/>
              <w:rPr>
                <w:sz w:val="20"/>
                <w:szCs w:val="20"/>
                <w:color w:val="auto"/>
              </w:rPr>
            </w:pPr>
            <w:r>
              <w:rPr>
                <w:rFonts w:ascii="Arial" w:cs="Arial" w:eastAsia="Arial" w:hAnsi="Arial"/>
                <w:sz w:val="14"/>
                <w:szCs w:val="14"/>
                <w:color w:val="242424"/>
              </w:rPr>
              <w:t>150</w:t>
            </w:r>
          </w:p>
        </w:tc>
        <w:tc>
          <w:tcPr>
            <w:tcW w:w="820" w:type="dxa"/>
            <w:vAlign w:val="bottom"/>
            <w:shd w:val="clear" w:color="auto" w:fill="EAEAEA"/>
          </w:tcPr>
          <w:p>
            <w:pPr>
              <w:jc w:val="right"/>
              <w:ind w:right="569"/>
              <w:spacing w:after="0"/>
              <w:rPr>
                <w:sz w:val="20"/>
                <w:szCs w:val="20"/>
                <w:color w:val="auto"/>
              </w:rPr>
            </w:pPr>
            <w:r>
              <w:rPr>
                <w:rFonts w:ascii="Arial" w:cs="Arial" w:eastAsia="Arial" w:hAnsi="Arial"/>
                <w:sz w:val="14"/>
                <w:szCs w:val="14"/>
                <w:color w:val="242424"/>
              </w:rPr>
              <w:t>%</w:t>
            </w:r>
          </w:p>
        </w:tc>
        <w:tc>
          <w:tcPr>
            <w:tcW w:w="2020" w:type="dxa"/>
            <w:vAlign w:val="bottom"/>
            <w:shd w:val="clear" w:color="auto" w:fill="EAEAEA"/>
          </w:tcPr>
          <w:p>
            <w:pPr>
              <w:spacing w:after="0"/>
              <w:rPr>
                <w:sz w:val="16"/>
                <w:szCs w:val="16"/>
                <w:color w:val="auto"/>
              </w:rPr>
            </w:pPr>
          </w:p>
        </w:tc>
        <w:tc>
          <w:tcPr>
            <w:tcW w:w="11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80" w:type="dxa"/>
            <w:vAlign w:val="bottom"/>
            <w:shd w:val="clear" w:color="auto" w:fill="EAEAEA"/>
          </w:tcPr>
          <w:p>
            <w:pPr>
              <w:ind w:left="100"/>
              <w:spacing w:after="0"/>
              <w:rPr>
                <w:sz w:val="20"/>
                <w:szCs w:val="20"/>
                <w:color w:val="auto"/>
              </w:rPr>
            </w:pPr>
            <w:r>
              <w:rPr>
                <w:rFonts w:ascii="Arial" w:cs="Arial" w:eastAsia="Arial" w:hAnsi="Arial"/>
                <w:sz w:val="14"/>
                <w:szCs w:val="14"/>
                <w:color w:val="242424"/>
              </w:rPr>
              <w:t>Chief Financial Officer and</w:t>
            </w:r>
          </w:p>
        </w:tc>
        <w:tc>
          <w:tcPr>
            <w:tcW w:w="820" w:type="dxa"/>
            <w:vAlign w:val="bottom"/>
            <w:shd w:val="clear" w:color="auto" w:fill="EAEAEA"/>
          </w:tcPr>
          <w:p>
            <w:pPr>
              <w:spacing w:after="0"/>
              <w:rPr>
                <w:sz w:val="14"/>
                <w:szCs w:val="14"/>
                <w:color w:val="auto"/>
              </w:rPr>
            </w:pPr>
          </w:p>
        </w:tc>
        <w:tc>
          <w:tcPr>
            <w:tcW w:w="3540" w:type="dxa"/>
            <w:vAlign w:val="bottom"/>
            <w:shd w:val="clear" w:color="auto" w:fill="EAEAEA"/>
          </w:tcPr>
          <w:p>
            <w:pPr>
              <w:ind w:left="140"/>
              <w:spacing w:after="0"/>
              <w:rPr>
                <w:sz w:val="20"/>
                <w:szCs w:val="20"/>
                <w:color w:val="auto"/>
              </w:rPr>
            </w:pPr>
            <w:r>
              <w:rPr>
                <w:rFonts w:ascii="Arial" w:cs="Arial" w:eastAsia="Arial" w:hAnsi="Arial"/>
                <w:sz w:val="14"/>
                <w:szCs w:val="14"/>
                <w:color w:val="242424"/>
              </w:rPr>
              <w:t>Adjusted non-GAAP Operating Margin (25%)</w:t>
            </w:r>
          </w:p>
        </w:tc>
        <w:tc>
          <w:tcPr>
            <w:tcW w:w="620" w:type="dxa"/>
            <w:vAlign w:val="bottom"/>
            <w:shd w:val="clear" w:color="auto" w:fill="EAEAEA"/>
          </w:tcPr>
          <w:p>
            <w:pPr>
              <w:jc w:val="right"/>
              <w:spacing w:after="0"/>
              <w:rPr>
                <w:sz w:val="20"/>
                <w:szCs w:val="20"/>
                <w:color w:val="auto"/>
              </w:rPr>
            </w:pPr>
            <w:r>
              <w:rPr>
                <w:rFonts w:ascii="Arial" w:cs="Arial" w:eastAsia="Arial" w:hAnsi="Arial"/>
                <w:sz w:val="14"/>
                <w:szCs w:val="14"/>
                <w:color w:val="242424"/>
              </w:rPr>
              <w:t>150</w:t>
            </w:r>
          </w:p>
        </w:tc>
        <w:tc>
          <w:tcPr>
            <w:tcW w:w="820" w:type="dxa"/>
            <w:vAlign w:val="bottom"/>
            <w:shd w:val="clear" w:color="auto" w:fill="EAEAEA"/>
          </w:tcPr>
          <w:p>
            <w:pPr>
              <w:jc w:val="right"/>
              <w:ind w:right="569"/>
              <w:spacing w:after="0"/>
              <w:rPr>
                <w:sz w:val="20"/>
                <w:szCs w:val="20"/>
                <w:color w:val="auto"/>
              </w:rPr>
            </w:pPr>
            <w:r>
              <w:rPr>
                <w:rFonts w:ascii="Arial" w:cs="Arial" w:eastAsia="Arial" w:hAnsi="Arial"/>
                <w:sz w:val="14"/>
                <w:szCs w:val="14"/>
                <w:color w:val="242424"/>
              </w:rPr>
              <w:t>%</w:t>
            </w:r>
          </w:p>
        </w:tc>
        <w:tc>
          <w:tcPr>
            <w:tcW w:w="2020" w:type="dxa"/>
            <w:vAlign w:val="bottom"/>
            <w:shd w:val="clear" w:color="auto" w:fill="EAEAEA"/>
          </w:tcPr>
          <w:p>
            <w:pPr>
              <w:spacing w:after="0"/>
              <w:rPr>
                <w:sz w:val="14"/>
                <w:szCs w:val="14"/>
                <w:color w:val="auto"/>
              </w:rPr>
            </w:pPr>
          </w:p>
        </w:tc>
        <w:tc>
          <w:tcPr>
            <w:tcW w:w="118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80" w:type="dxa"/>
            <w:vAlign w:val="bottom"/>
            <w:shd w:val="clear" w:color="auto" w:fill="EAEAEA"/>
          </w:tcPr>
          <w:p>
            <w:pPr>
              <w:ind w:left="100"/>
              <w:spacing w:after="0"/>
              <w:rPr>
                <w:sz w:val="20"/>
                <w:szCs w:val="20"/>
                <w:color w:val="auto"/>
              </w:rPr>
            </w:pPr>
            <w:r>
              <w:rPr>
                <w:rFonts w:ascii="Arial" w:cs="Arial" w:eastAsia="Arial" w:hAnsi="Arial"/>
                <w:sz w:val="14"/>
                <w:szCs w:val="14"/>
                <w:color w:val="242424"/>
              </w:rPr>
              <w:t>Chief Accounting Officer</w:t>
            </w:r>
          </w:p>
        </w:tc>
        <w:tc>
          <w:tcPr>
            <w:tcW w:w="820" w:type="dxa"/>
            <w:vAlign w:val="bottom"/>
            <w:shd w:val="clear" w:color="auto" w:fill="EAEAEA"/>
          </w:tcPr>
          <w:p>
            <w:pPr>
              <w:spacing w:after="0"/>
              <w:rPr>
                <w:sz w:val="14"/>
                <w:szCs w:val="14"/>
                <w:color w:val="auto"/>
              </w:rPr>
            </w:pPr>
          </w:p>
        </w:tc>
        <w:tc>
          <w:tcPr>
            <w:tcW w:w="3540" w:type="dxa"/>
            <w:vAlign w:val="bottom"/>
            <w:vMerge w:val="restart"/>
            <w:shd w:val="clear" w:color="auto" w:fill="EAEAEA"/>
          </w:tcPr>
          <w:p>
            <w:pPr>
              <w:ind w:left="140"/>
              <w:spacing w:after="0"/>
              <w:rPr>
                <w:sz w:val="20"/>
                <w:szCs w:val="20"/>
                <w:color w:val="auto"/>
              </w:rPr>
            </w:pPr>
            <w:r>
              <w:rPr>
                <w:rFonts w:ascii="Arial" w:cs="Arial" w:eastAsia="Arial" w:hAnsi="Arial"/>
                <w:sz w:val="14"/>
                <w:szCs w:val="14"/>
                <w:color w:val="242424"/>
              </w:rPr>
              <w:t>Direct Expenses (50%)</w:t>
            </w:r>
            <w:r>
              <w:rPr>
                <w:rFonts w:ascii="Arial" w:cs="Arial" w:eastAsia="Arial" w:hAnsi="Arial"/>
                <w:sz w:val="16"/>
                <w:szCs w:val="16"/>
                <w:color w:val="242424"/>
                <w:vertAlign w:val="superscript"/>
              </w:rPr>
              <w:t>(3)</w:t>
            </w:r>
          </w:p>
        </w:tc>
        <w:tc>
          <w:tcPr>
            <w:tcW w:w="62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242424"/>
              </w:rPr>
              <w:t>102</w:t>
            </w:r>
          </w:p>
        </w:tc>
        <w:tc>
          <w:tcPr>
            <w:tcW w:w="820" w:type="dxa"/>
            <w:vAlign w:val="bottom"/>
            <w:vMerge w:val="restart"/>
            <w:shd w:val="clear" w:color="auto" w:fill="EAEAEA"/>
          </w:tcPr>
          <w:p>
            <w:pPr>
              <w:jc w:val="right"/>
              <w:ind w:right="569"/>
              <w:spacing w:after="0"/>
              <w:rPr>
                <w:sz w:val="20"/>
                <w:szCs w:val="20"/>
                <w:color w:val="auto"/>
              </w:rPr>
            </w:pPr>
            <w:r>
              <w:rPr>
                <w:rFonts w:ascii="Arial" w:cs="Arial" w:eastAsia="Arial" w:hAnsi="Arial"/>
                <w:sz w:val="14"/>
                <w:szCs w:val="14"/>
                <w:color w:val="242424"/>
              </w:rPr>
              <w:t>%</w:t>
            </w:r>
          </w:p>
        </w:tc>
        <w:tc>
          <w:tcPr>
            <w:tcW w:w="2020" w:type="dxa"/>
            <w:vAlign w:val="bottom"/>
            <w:shd w:val="clear" w:color="auto" w:fill="EAEAEA"/>
          </w:tcPr>
          <w:p>
            <w:pPr>
              <w:spacing w:after="0"/>
              <w:rPr>
                <w:sz w:val="14"/>
                <w:szCs w:val="14"/>
                <w:color w:val="auto"/>
              </w:rPr>
            </w:pPr>
          </w:p>
        </w:tc>
        <w:tc>
          <w:tcPr>
            <w:tcW w:w="118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80" w:type="dxa"/>
            <w:vAlign w:val="bottom"/>
            <w:shd w:val="clear" w:color="auto" w:fill="EAEAEA"/>
          </w:tcPr>
          <w:p>
            <w:pPr>
              <w:spacing w:after="0"/>
              <w:rPr>
                <w:sz w:val="7"/>
                <w:szCs w:val="7"/>
                <w:color w:val="auto"/>
              </w:rPr>
            </w:pPr>
          </w:p>
        </w:tc>
        <w:tc>
          <w:tcPr>
            <w:tcW w:w="820" w:type="dxa"/>
            <w:vAlign w:val="bottom"/>
            <w:shd w:val="clear" w:color="auto" w:fill="EAEAEA"/>
          </w:tcPr>
          <w:p>
            <w:pPr>
              <w:spacing w:after="0"/>
              <w:rPr>
                <w:sz w:val="7"/>
                <w:szCs w:val="7"/>
                <w:color w:val="auto"/>
              </w:rPr>
            </w:pPr>
          </w:p>
        </w:tc>
        <w:tc>
          <w:tcPr>
            <w:tcW w:w="3540" w:type="dxa"/>
            <w:vAlign w:val="bottom"/>
            <w:vMerge w:val="continue"/>
            <w:shd w:val="clear" w:color="auto" w:fill="EAEAEA"/>
          </w:tcPr>
          <w:p>
            <w:pPr>
              <w:spacing w:after="0"/>
              <w:rPr>
                <w:sz w:val="7"/>
                <w:szCs w:val="7"/>
                <w:color w:val="auto"/>
              </w:rPr>
            </w:pPr>
          </w:p>
        </w:tc>
        <w:tc>
          <w:tcPr>
            <w:tcW w:w="620" w:type="dxa"/>
            <w:vAlign w:val="bottom"/>
            <w:vMerge w:val="continue"/>
            <w:shd w:val="clear" w:color="auto" w:fill="EAEAEA"/>
          </w:tcPr>
          <w:p>
            <w:pPr>
              <w:spacing w:after="0"/>
              <w:rPr>
                <w:sz w:val="7"/>
                <w:szCs w:val="7"/>
                <w:color w:val="auto"/>
              </w:rPr>
            </w:pPr>
          </w:p>
        </w:tc>
        <w:tc>
          <w:tcPr>
            <w:tcW w:w="820" w:type="dxa"/>
            <w:vAlign w:val="bottom"/>
            <w:vMerge w:val="continue"/>
            <w:shd w:val="clear" w:color="auto" w:fill="EAEAEA"/>
          </w:tcPr>
          <w:p>
            <w:pPr>
              <w:spacing w:after="0"/>
              <w:rPr>
                <w:sz w:val="7"/>
                <w:szCs w:val="7"/>
                <w:color w:val="auto"/>
              </w:rPr>
            </w:pPr>
          </w:p>
        </w:tc>
        <w:tc>
          <w:tcPr>
            <w:tcW w:w="2020" w:type="dxa"/>
            <w:vAlign w:val="bottom"/>
            <w:shd w:val="clear" w:color="auto" w:fill="EAEAEA"/>
          </w:tcPr>
          <w:p>
            <w:pPr>
              <w:spacing w:after="0"/>
              <w:rPr>
                <w:sz w:val="7"/>
                <w:szCs w:val="7"/>
                <w:color w:val="auto"/>
              </w:rPr>
            </w:pPr>
          </w:p>
        </w:tc>
        <w:tc>
          <w:tcPr>
            <w:tcW w:w="118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80" w:type="dxa"/>
            <w:vAlign w:val="bottom"/>
            <w:shd w:val="clear" w:color="auto" w:fill="EAEAEA"/>
          </w:tcPr>
          <w:p>
            <w:pPr>
              <w:spacing w:after="0"/>
              <w:rPr>
                <w:sz w:val="18"/>
                <w:szCs w:val="18"/>
                <w:color w:val="auto"/>
              </w:rPr>
            </w:pPr>
          </w:p>
        </w:tc>
        <w:tc>
          <w:tcPr>
            <w:tcW w:w="820" w:type="dxa"/>
            <w:vAlign w:val="bottom"/>
            <w:shd w:val="clear" w:color="auto" w:fill="EAEAEA"/>
          </w:tcPr>
          <w:p>
            <w:pPr>
              <w:spacing w:after="0"/>
              <w:rPr>
                <w:sz w:val="18"/>
                <w:szCs w:val="18"/>
                <w:color w:val="auto"/>
              </w:rPr>
            </w:pPr>
          </w:p>
        </w:tc>
        <w:tc>
          <w:tcPr>
            <w:tcW w:w="3540" w:type="dxa"/>
            <w:vAlign w:val="bottom"/>
            <w:shd w:val="clear" w:color="auto" w:fill="EAEAEA"/>
          </w:tcPr>
          <w:p>
            <w:pPr>
              <w:ind w:left="140"/>
              <w:spacing w:after="0"/>
              <w:rPr>
                <w:sz w:val="20"/>
                <w:szCs w:val="20"/>
                <w:color w:val="auto"/>
              </w:rPr>
            </w:pPr>
            <w:r>
              <w:rPr>
                <w:rFonts w:ascii="Arial" w:cs="Arial" w:eastAsia="Arial" w:hAnsi="Arial"/>
                <w:sz w:val="14"/>
                <w:szCs w:val="14"/>
                <w:i w:val="1"/>
                <w:iCs w:val="1"/>
                <w:color w:val="242424"/>
              </w:rPr>
              <w:t>Fiscal Year 2021 Attainment</w:t>
            </w:r>
          </w:p>
        </w:tc>
        <w:tc>
          <w:tcPr>
            <w:tcW w:w="620" w:type="dxa"/>
            <w:vAlign w:val="bottom"/>
            <w:shd w:val="clear" w:color="auto" w:fill="EAEAEA"/>
          </w:tcPr>
          <w:p>
            <w:pPr>
              <w:jc w:val="right"/>
              <w:spacing w:after="0"/>
              <w:rPr>
                <w:sz w:val="20"/>
                <w:szCs w:val="20"/>
                <w:color w:val="auto"/>
              </w:rPr>
            </w:pPr>
            <w:r>
              <w:rPr>
                <w:rFonts w:ascii="Arial" w:cs="Arial" w:eastAsia="Arial" w:hAnsi="Arial"/>
                <w:sz w:val="14"/>
                <w:szCs w:val="14"/>
                <w:i w:val="1"/>
                <w:iCs w:val="1"/>
                <w:color w:val="242424"/>
              </w:rPr>
              <w:t>126</w:t>
            </w:r>
          </w:p>
        </w:tc>
        <w:tc>
          <w:tcPr>
            <w:tcW w:w="820" w:type="dxa"/>
            <w:vAlign w:val="bottom"/>
            <w:shd w:val="clear" w:color="auto" w:fill="EAEAEA"/>
          </w:tcPr>
          <w:p>
            <w:pPr>
              <w:jc w:val="right"/>
              <w:ind w:right="569"/>
              <w:spacing w:after="0"/>
              <w:rPr>
                <w:sz w:val="20"/>
                <w:szCs w:val="20"/>
                <w:color w:val="auto"/>
              </w:rPr>
            </w:pPr>
            <w:r>
              <w:rPr>
                <w:rFonts w:ascii="Arial" w:cs="Arial" w:eastAsia="Arial" w:hAnsi="Arial"/>
                <w:sz w:val="14"/>
                <w:szCs w:val="14"/>
                <w:i w:val="1"/>
                <w:iCs w:val="1"/>
                <w:color w:val="242424"/>
              </w:rPr>
              <w:t>%</w:t>
            </w:r>
          </w:p>
        </w:tc>
        <w:tc>
          <w:tcPr>
            <w:tcW w:w="2020" w:type="dxa"/>
            <w:vAlign w:val="bottom"/>
            <w:shd w:val="clear" w:color="auto" w:fill="EAEAEA"/>
          </w:tcPr>
          <w:p>
            <w:pPr>
              <w:jc w:val="right"/>
              <w:ind w:right="549"/>
              <w:spacing w:after="0"/>
              <w:rPr>
                <w:sz w:val="20"/>
                <w:szCs w:val="20"/>
                <w:color w:val="auto"/>
              </w:rPr>
            </w:pPr>
            <w:r>
              <w:rPr>
                <w:rFonts w:ascii="Arial" w:cs="Arial" w:eastAsia="Arial" w:hAnsi="Arial"/>
                <w:sz w:val="14"/>
                <w:szCs w:val="14"/>
                <w:color w:val="242424"/>
              </w:rPr>
              <w:t>$ 584,233</w:t>
            </w:r>
          </w:p>
        </w:tc>
        <w:tc>
          <w:tcPr>
            <w:tcW w:w="1180" w:type="dxa"/>
            <w:vAlign w:val="bottom"/>
            <w:shd w:val="clear" w:color="auto" w:fill="EAEAEA"/>
          </w:tcPr>
          <w:p>
            <w:pPr>
              <w:jc w:val="right"/>
              <w:spacing w:after="0"/>
              <w:rPr>
                <w:sz w:val="20"/>
                <w:szCs w:val="20"/>
                <w:color w:val="auto"/>
              </w:rPr>
            </w:pPr>
            <w:r>
              <w:rPr>
                <w:rFonts w:ascii="Arial" w:cs="Arial" w:eastAsia="Arial" w:hAnsi="Arial"/>
                <w:sz w:val="14"/>
                <w:szCs w:val="14"/>
                <w:color w:val="242424"/>
              </w:rPr>
              <w:t>149.2 %</w:t>
            </w: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rPr>
                <w:sz w:val="20"/>
                <w:szCs w:val="20"/>
                <w:color w:val="auto"/>
              </w:rPr>
            </w:pPr>
            <w:r>
              <w:rPr>
                <w:rFonts w:ascii="Arial" w:cs="Arial" w:eastAsia="Arial" w:hAnsi="Arial"/>
                <w:sz w:val="14"/>
                <w:szCs w:val="14"/>
                <w:color w:val="242424"/>
              </w:rPr>
              <w:t>Mark D. Brazeal</w:t>
            </w:r>
          </w:p>
        </w:tc>
        <w:tc>
          <w:tcPr>
            <w:tcW w:w="820" w:type="dxa"/>
            <w:vAlign w:val="bottom"/>
          </w:tcPr>
          <w:p>
            <w:pPr>
              <w:ind w:left="240"/>
              <w:spacing w:after="0"/>
              <w:rPr>
                <w:sz w:val="20"/>
                <w:szCs w:val="20"/>
                <w:color w:val="auto"/>
              </w:rPr>
            </w:pPr>
            <w:r>
              <w:rPr>
                <w:rFonts w:ascii="Arial" w:cs="Arial" w:eastAsia="Arial" w:hAnsi="Arial"/>
                <w:sz w:val="14"/>
                <w:szCs w:val="14"/>
                <w:color w:val="242424"/>
              </w:rPr>
              <w:t>100%</w:t>
            </w:r>
          </w:p>
        </w:tc>
        <w:tc>
          <w:tcPr>
            <w:tcW w:w="3540" w:type="dxa"/>
            <w:vAlign w:val="bottom"/>
          </w:tcPr>
          <w:p>
            <w:pPr>
              <w:ind w:left="140"/>
              <w:spacing w:after="0"/>
              <w:rPr>
                <w:sz w:val="20"/>
                <w:szCs w:val="20"/>
                <w:color w:val="auto"/>
              </w:rPr>
            </w:pPr>
            <w:r>
              <w:rPr>
                <w:rFonts w:ascii="Arial" w:cs="Arial" w:eastAsia="Arial" w:hAnsi="Arial"/>
                <w:sz w:val="14"/>
                <w:szCs w:val="14"/>
                <w:color w:val="242424"/>
              </w:rPr>
              <w:t>Revenue (25%)</w:t>
            </w:r>
          </w:p>
        </w:tc>
        <w:tc>
          <w:tcPr>
            <w:tcW w:w="620" w:type="dxa"/>
            <w:vAlign w:val="bottom"/>
          </w:tcPr>
          <w:p>
            <w:pPr>
              <w:jc w:val="right"/>
              <w:spacing w:after="0"/>
              <w:rPr>
                <w:sz w:val="20"/>
                <w:szCs w:val="20"/>
                <w:color w:val="auto"/>
              </w:rPr>
            </w:pPr>
            <w:r>
              <w:rPr>
                <w:rFonts w:ascii="Arial" w:cs="Arial" w:eastAsia="Arial" w:hAnsi="Arial"/>
                <w:sz w:val="14"/>
                <w:szCs w:val="14"/>
                <w:color w:val="242424"/>
              </w:rPr>
              <w:t>150</w:t>
            </w:r>
          </w:p>
        </w:tc>
        <w:tc>
          <w:tcPr>
            <w:tcW w:w="820" w:type="dxa"/>
            <w:vAlign w:val="bottom"/>
          </w:tcPr>
          <w:p>
            <w:pPr>
              <w:jc w:val="right"/>
              <w:ind w:right="569"/>
              <w:spacing w:after="0"/>
              <w:rPr>
                <w:sz w:val="20"/>
                <w:szCs w:val="20"/>
                <w:color w:val="auto"/>
              </w:rPr>
            </w:pPr>
            <w:r>
              <w:rPr>
                <w:rFonts w:ascii="Arial" w:cs="Arial" w:eastAsia="Arial" w:hAnsi="Arial"/>
                <w:sz w:val="14"/>
                <w:szCs w:val="14"/>
                <w:color w:val="242424"/>
              </w:rPr>
              <w:t>%</w:t>
            </w:r>
          </w:p>
        </w:tc>
        <w:tc>
          <w:tcPr>
            <w:tcW w:w="2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80" w:type="dxa"/>
            <w:vAlign w:val="bottom"/>
          </w:tcPr>
          <w:p>
            <w:pPr>
              <w:ind w:left="100"/>
              <w:spacing w:after="0"/>
              <w:rPr>
                <w:sz w:val="20"/>
                <w:szCs w:val="20"/>
                <w:color w:val="auto"/>
              </w:rPr>
            </w:pPr>
            <w:r>
              <w:rPr>
                <w:rFonts w:ascii="Arial" w:cs="Arial" w:eastAsia="Arial" w:hAnsi="Arial"/>
                <w:sz w:val="14"/>
                <w:szCs w:val="14"/>
                <w:color w:val="242424"/>
              </w:rPr>
              <w:t>Chief Legal and Corporate</w:t>
            </w:r>
          </w:p>
        </w:tc>
        <w:tc>
          <w:tcPr>
            <w:tcW w:w="82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Arial" w:cs="Arial" w:eastAsia="Arial" w:hAnsi="Arial"/>
                <w:sz w:val="14"/>
                <w:szCs w:val="14"/>
                <w:color w:val="242424"/>
              </w:rPr>
              <w:t>Adjusted non-GAAP Operating Margin (25%)</w:t>
            </w:r>
          </w:p>
        </w:tc>
        <w:tc>
          <w:tcPr>
            <w:tcW w:w="620" w:type="dxa"/>
            <w:vAlign w:val="bottom"/>
          </w:tcPr>
          <w:p>
            <w:pPr>
              <w:jc w:val="right"/>
              <w:spacing w:after="0"/>
              <w:rPr>
                <w:sz w:val="20"/>
                <w:szCs w:val="20"/>
                <w:color w:val="auto"/>
              </w:rPr>
            </w:pPr>
            <w:r>
              <w:rPr>
                <w:rFonts w:ascii="Arial" w:cs="Arial" w:eastAsia="Arial" w:hAnsi="Arial"/>
                <w:sz w:val="14"/>
                <w:szCs w:val="14"/>
                <w:color w:val="242424"/>
              </w:rPr>
              <w:t>150</w:t>
            </w:r>
          </w:p>
        </w:tc>
        <w:tc>
          <w:tcPr>
            <w:tcW w:w="820" w:type="dxa"/>
            <w:vAlign w:val="bottom"/>
          </w:tcPr>
          <w:p>
            <w:pPr>
              <w:jc w:val="right"/>
              <w:ind w:right="569"/>
              <w:spacing w:after="0"/>
              <w:rPr>
                <w:sz w:val="20"/>
                <w:szCs w:val="20"/>
                <w:color w:val="auto"/>
              </w:rPr>
            </w:pPr>
            <w:r>
              <w:rPr>
                <w:rFonts w:ascii="Arial" w:cs="Arial" w:eastAsia="Arial" w:hAnsi="Arial"/>
                <w:sz w:val="14"/>
                <w:szCs w:val="14"/>
                <w:color w:val="242424"/>
              </w:rPr>
              <w:t>%</w:t>
            </w:r>
          </w:p>
        </w:tc>
        <w:tc>
          <w:tcPr>
            <w:tcW w:w="2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80" w:type="dxa"/>
            <w:vAlign w:val="bottom"/>
          </w:tcPr>
          <w:p>
            <w:pPr>
              <w:ind w:left="100"/>
              <w:spacing w:after="0"/>
              <w:rPr>
                <w:sz w:val="20"/>
                <w:szCs w:val="20"/>
                <w:color w:val="auto"/>
              </w:rPr>
            </w:pPr>
            <w:r>
              <w:rPr>
                <w:rFonts w:ascii="Arial" w:cs="Arial" w:eastAsia="Arial" w:hAnsi="Arial"/>
                <w:sz w:val="14"/>
                <w:szCs w:val="14"/>
                <w:color w:val="242424"/>
              </w:rPr>
              <w:t>Affairs Officer</w:t>
            </w:r>
          </w:p>
        </w:tc>
        <w:tc>
          <w:tcPr>
            <w:tcW w:w="820" w:type="dxa"/>
            <w:vAlign w:val="bottom"/>
          </w:tcPr>
          <w:p>
            <w:pPr>
              <w:spacing w:after="0"/>
              <w:rPr>
                <w:sz w:val="14"/>
                <w:szCs w:val="14"/>
                <w:color w:val="auto"/>
              </w:rPr>
            </w:pPr>
          </w:p>
        </w:tc>
        <w:tc>
          <w:tcPr>
            <w:tcW w:w="3540" w:type="dxa"/>
            <w:vAlign w:val="bottom"/>
            <w:vMerge w:val="restart"/>
          </w:tcPr>
          <w:p>
            <w:pPr>
              <w:ind w:left="140"/>
              <w:spacing w:after="0"/>
              <w:rPr>
                <w:sz w:val="20"/>
                <w:szCs w:val="20"/>
                <w:color w:val="auto"/>
              </w:rPr>
            </w:pPr>
            <w:r>
              <w:rPr>
                <w:rFonts w:ascii="Arial" w:cs="Arial" w:eastAsia="Arial" w:hAnsi="Arial"/>
                <w:sz w:val="14"/>
                <w:szCs w:val="14"/>
                <w:color w:val="242424"/>
              </w:rPr>
              <w:t>Direct Expenses (50%)</w:t>
            </w:r>
            <w:r>
              <w:rPr>
                <w:rFonts w:ascii="Arial" w:cs="Arial" w:eastAsia="Arial" w:hAnsi="Arial"/>
                <w:sz w:val="16"/>
                <w:szCs w:val="16"/>
                <w:color w:val="242424"/>
                <w:vertAlign w:val="superscript"/>
              </w:rPr>
              <w:t>(3)</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242424"/>
              </w:rPr>
              <w:t>112</w:t>
            </w:r>
          </w:p>
        </w:tc>
        <w:tc>
          <w:tcPr>
            <w:tcW w:w="820" w:type="dxa"/>
            <w:vAlign w:val="bottom"/>
            <w:vMerge w:val="restart"/>
          </w:tcPr>
          <w:p>
            <w:pPr>
              <w:jc w:val="right"/>
              <w:ind w:right="569"/>
              <w:spacing w:after="0"/>
              <w:rPr>
                <w:sz w:val="20"/>
                <w:szCs w:val="20"/>
                <w:color w:val="auto"/>
              </w:rPr>
            </w:pPr>
            <w:r>
              <w:rPr>
                <w:rFonts w:ascii="Arial" w:cs="Arial" w:eastAsia="Arial" w:hAnsi="Arial"/>
                <w:sz w:val="14"/>
                <w:szCs w:val="14"/>
                <w:color w:val="242424"/>
              </w:rPr>
              <w:t>%</w:t>
            </w:r>
          </w:p>
        </w:tc>
        <w:tc>
          <w:tcPr>
            <w:tcW w:w="2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Arial" w:cs="Arial" w:eastAsia="Arial" w:hAnsi="Arial"/>
                <w:sz w:val="14"/>
                <w:szCs w:val="14"/>
                <w:i w:val="1"/>
                <w:iCs w:val="1"/>
                <w:color w:val="242424"/>
              </w:rPr>
              <w:t>Fiscal Year 2021 Attainment</w:t>
            </w:r>
          </w:p>
        </w:tc>
        <w:tc>
          <w:tcPr>
            <w:tcW w:w="620" w:type="dxa"/>
            <w:vAlign w:val="bottom"/>
          </w:tcPr>
          <w:p>
            <w:pPr>
              <w:jc w:val="right"/>
              <w:spacing w:after="0"/>
              <w:rPr>
                <w:sz w:val="20"/>
                <w:szCs w:val="20"/>
                <w:color w:val="auto"/>
              </w:rPr>
            </w:pPr>
            <w:r>
              <w:rPr>
                <w:rFonts w:ascii="Arial" w:cs="Arial" w:eastAsia="Arial" w:hAnsi="Arial"/>
                <w:sz w:val="14"/>
                <w:szCs w:val="14"/>
                <w:i w:val="1"/>
                <w:iCs w:val="1"/>
                <w:color w:val="242424"/>
              </w:rPr>
              <w:t>131</w:t>
            </w:r>
          </w:p>
        </w:tc>
        <w:tc>
          <w:tcPr>
            <w:tcW w:w="820" w:type="dxa"/>
            <w:vAlign w:val="bottom"/>
          </w:tcPr>
          <w:p>
            <w:pPr>
              <w:jc w:val="right"/>
              <w:ind w:right="569"/>
              <w:spacing w:after="0"/>
              <w:rPr>
                <w:sz w:val="20"/>
                <w:szCs w:val="20"/>
                <w:color w:val="auto"/>
              </w:rPr>
            </w:pPr>
            <w:r>
              <w:rPr>
                <w:rFonts w:ascii="Arial" w:cs="Arial" w:eastAsia="Arial" w:hAnsi="Arial"/>
                <w:sz w:val="14"/>
                <w:szCs w:val="14"/>
                <w:i w:val="1"/>
                <w:iCs w:val="1"/>
                <w:color w:val="242424"/>
              </w:rPr>
              <w:t>%</w:t>
            </w:r>
          </w:p>
        </w:tc>
        <w:tc>
          <w:tcPr>
            <w:tcW w:w="2020" w:type="dxa"/>
            <w:vAlign w:val="bottom"/>
          </w:tcPr>
          <w:p>
            <w:pPr>
              <w:jc w:val="right"/>
              <w:ind w:right="549"/>
              <w:spacing w:after="0"/>
              <w:rPr>
                <w:sz w:val="20"/>
                <w:szCs w:val="20"/>
                <w:color w:val="auto"/>
              </w:rPr>
            </w:pPr>
            <w:r>
              <w:rPr>
                <w:rFonts w:ascii="Arial" w:cs="Arial" w:eastAsia="Arial" w:hAnsi="Arial"/>
                <w:sz w:val="14"/>
                <w:szCs w:val="14"/>
                <w:color w:val="242424"/>
              </w:rPr>
              <w:t>$ $818,750</w:t>
            </w:r>
          </w:p>
        </w:tc>
        <w:tc>
          <w:tcPr>
            <w:tcW w:w="1180" w:type="dxa"/>
            <w:vAlign w:val="bottom"/>
          </w:tcPr>
          <w:p>
            <w:pPr>
              <w:jc w:val="right"/>
              <w:spacing w:after="0"/>
              <w:rPr>
                <w:sz w:val="20"/>
                <w:szCs w:val="20"/>
                <w:color w:val="auto"/>
              </w:rPr>
            </w:pPr>
            <w:r>
              <w:rPr>
                <w:rFonts w:ascii="Arial" w:cs="Arial" w:eastAsia="Arial" w:hAnsi="Arial"/>
                <w:sz w:val="14"/>
                <w:szCs w:val="14"/>
                <w:color w:val="242424"/>
              </w:rPr>
              <w:t>163.8 %</w:t>
            </w:r>
          </w:p>
        </w:tc>
        <w:tc>
          <w:tcPr>
            <w:tcW w:w="0" w:type="dxa"/>
            <w:vAlign w:val="bottom"/>
          </w:tcPr>
          <w:p>
            <w:pPr>
              <w:spacing w:after="0"/>
              <w:rPr>
                <w:sz w:val="1"/>
                <w:szCs w:val="1"/>
                <w:color w:val="auto"/>
              </w:rPr>
            </w:pPr>
          </w:p>
        </w:tc>
      </w:tr>
      <w:tr>
        <w:trPr>
          <w:trHeight w:val="185"/>
        </w:trPr>
        <w:tc>
          <w:tcPr>
            <w:tcW w:w="2080" w:type="dxa"/>
            <w:vAlign w:val="bottom"/>
            <w:shd w:val="clear" w:color="auto" w:fill="EAEAEA"/>
          </w:tcPr>
          <w:p>
            <w:pPr>
              <w:ind w:left="20"/>
              <w:spacing w:after="0"/>
              <w:rPr>
                <w:sz w:val="20"/>
                <w:szCs w:val="20"/>
                <w:color w:val="auto"/>
              </w:rPr>
            </w:pPr>
            <w:r>
              <w:rPr>
                <w:rFonts w:ascii="Arial" w:cs="Arial" w:eastAsia="Arial" w:hAnsi="Arial"/>
                <w:sz w:val="14"/>
                <w:szCs w:val="14"/>
                <w:color w:val="242424"/>
              </w:rPr>
              <w:t>Charlie B. Kawwas, Ph.D.</w:t>
            </w:r>
          </w:p>
        </w:tc>
        <w:tc>
          <w:tcPr>
            <w:tcW w:w="820" w:type="dxa"/>
            <w:vAlign w:val="bottom"/>
            <w:shd w:val="clear" w:color="auto" w:fill="EAEAEA"/>
          </w:tcPr>
          <w:p>
            <w:pPr>
              <w:ind w:left="240"/>
              <w:spacing w:after="0"/>
              <w:rPr>
                <w:sz w:val="20"/>
                <w:szCs w:val="20"/>
                <w:color w:val="auto"/>
              </w:rPr>
            </w:pPr>
            <w:r>
              <w:rPr>
                <w:rFonts w:ascii="Arial" w:cs="Arial" w:eastAsia="Arial" w:hAnsi="Arial"/>
                <w:sz w:val="14"/>
                <w:szCs w:val="14"/>
                <w:color w:val="242424"/>
              </w:rPr>
              <w:t>100%</w:t>
            </w:r>
          </w:p>
        </w:tc>
        <w:tc>
          <w:tcPr>
            <w:tcW w:w="3540" w:type="dxa"/>
            <w:vAlign w:val="bottom"/>
            <w:shd w:val="clear" w:color="auto" w:fill="EAEAEA"/>
          </w:tcPr>
          <w:p>
            <w:pPr>
              <w:ind w:left="140"/>
              <w:spacing w:after="0"/>
              <w:rPr>
                <w:sz w:val="20"/>
                <w:szCs w:val="20"/>
                <w:color w:val="auto"/>
              </w:rPr>
            </w:pPr>
            <w:r>
              <w:rPr>
                <w:rFonts w:ascii="Arial" w:cs="Arial" w:eastAsia="Arial" w:hAnsi="Arial"/>
                <w:sz w:val="14"/>
                <w:szCs w:val="14"/>
                <w:color w:val="242424"/>
              </w:rPr>
              <w:t>Revenue (50%)</w:t>
            </w:r>
          </w:p>
        </w:tc>
        <w:tc>
          <w:tcPr>
            <w:tcW w:w="620" w:type="dxa"/>
            <w:vAlign w:val="bottom"/>
            <w:shd w:val="clear" w:color="auto" w:fill="EAEAEA"/>
          </w:tcPr>
          <w:p>
            <w:pPr>
              <w:jc w:val="right"/>
              <w:spacing w:after="0"/>
              <w:rPr>
                <w:sz w:val="20"/>
                <w:szCs w:val="20"/>
                <w:color w:val="auto"/>
              </w:rPr>
            </w:pPr>
            <w:r>
              <w:rPr>
                <w:rFonts w:ascii="Arial" w:cs="Arial" w:eastAsia="Arial" w:hAnsi="Arial"/>
                <w:sz w:val="14"/>
                <w:szCs w:val="14"/>
                <w:color w:val="242424"/>
              </w:rPr>
              <w:t>150</w:t>
            </w:r>
          </w:p>
        </w:tc>
        <w:tc>
          <w:tcPr>
            <w:tcW w:w="820" w:type="dxa"/>
            <w:vAlign w:val="bottom"/>
            <w:shd w:val="clear" w:color="auto" w:fill="EAEAEA"/>
          </w:tcPr>
          <w:p>
            <w:pPr>
              <w:jc w:val="right"/>
              <w:ind w:right="569"/>
              <w:spacing w:after="0"/>
              <w:rPr>
                <w:sz w:val="20"/>
                <w:szCs w:val="20"/>
                <w:color w:val="auto"/>
              </w:rPr>
            </w:pPr>
            <w:r>
              <w:rPr>
                <w:rFonts w:ascii="Arial" w:cs="Arial" w:eastAsia="Arial" w:hAnsi="Arial"/>
                <w:sz w:val="14"/>
                <w:szCs w:val="14"/>
                <w:color w:val="242424"/>
              </w:rPr>
              <w:t>%</w:t>
            </w:r>
          </w:p>
        </w:tc>
        <w:tc>
          <w:tcPr>
            <w:tcW w:w="2020" w:type="dxa"/>
            <w:vAlign w:val="bottom"/>
            <w:shd w:val="clear" w:color="auto" w:fill="EAEAEA"/>
          </w:tcPr>
          <w:p>
            <w:pPr>
              <w:spacing w:after="0"/>
              <w:rPr>
                <w:sz w:val="16"/>
                <w:szCs w:val="16"/>
                <w:color w:val="auto"/>
              </w:rPr>
            </w:pPr>
          </w:p>
        </w:tc>
        <w:tc>
          <w:tcPr>
            <w:tcW w:w="11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80" w:type="dxa"/>
            <w:vAlign w:val="bottom"/>
            <w:shd w:val="clear" w:color="auto" w:fill="EAEAEA"/>
          </w:tcPr>
          <w:p>
            <w:pPr>
              <w:ind w:left="100"/>
              <w:spacing w:after="0"/>
              <w:rPr>
                <w:sz w:val="20"/>
                <w:szCs w:val="20"/>
                <w:color w:val="auto"/>
              </w:rPr>
            </w:pPr>
            <w:r>
              <w:rPr>
                <w:rFonts w:ascii="Arial" w:cs="Arial" w:eastAsia="Arial" w:hAnsi="Arial"/>
                <w:sz w:val="14"/>
                <w:szCs w:val="14"/>
                <w:color w:val="242424"/>
              </w:rPr>
              <w:t>Chief Operating Officer</w:t>
            </w:r>
          </w:p>
        </w:tc>
        <w:tc>
          <w:tcPr>
            <w:tcW w:w="820" w:type="dxa"/>
            <w:vAlign w:val="bottom"/>
            <w:shd w:val="clear" w:color="auto" w:fill="EAEAEA"/>
          </w:tcPr>
          <w:p>
            <w:pPr>
              <w:spacing w:after="0"/>
              <w:rPr>
                <w:sz w:val="16"/>
                <w:szCs w:val="16"/>
                <w:color w:val="auto"/>
              </w:rPr>
            </w:pPr>
          </w:p>
        </w:tc>
        <w:tc>
          <w:tcPr>
            <w:tcW w:w="3540" w:type="dxa"/>
            <w:vAlign w:val="bottom"/>
            <w:shd w:val="clear" w:color="auto" w:fill="EAEAEA"/>
          </w:tcPr>
          <w:p>
            <w:pPr>
              <w:ind w:left="140"/>
              <w:spacing w:after="0"/>
              <w:rPr>
                <w:sz w:val="20"/>
                <w:szCs w:val="20"/>
                <w:color w:val="auto"/>
              </w:rPr>
            </w:pPr>
            <w:r>
              <w:rPr>
                <w:rFonts w:ascii="Arial" w:cs="Arial" w:eastAsia="Arial" w:hAnsi="Arial"/>
                <w:sz w:val="14"/>
                <w:szCs w:val="14"/>
                <w:color w:val="242424"/>
              </w:rPr>
              <w:t>Adjusted non-GAAP Operating Margin (50%)</w:t>
            </w:r>
          </w:p>
        </w:tc>
        <w:tc>
          <w:tcPr>
            <w:tcW w:w="620" w:type="dxa"/>
            <w:vAlign w:val="bottom"/>
            <w:shd w:val="clear" w:color="auto" w:fill="EAEAEA"/>
          </w:tcPr>
          <w:p>
            <w:pPr>
              <w:jc w:val="right"/>
              <w:spacing w:after="0"/>
              <w:rPr>
                <w:sz w:val="20"/>
                <w:szCs w:val="20"/>
                <w:color w:val="auto"/>
              </w:rPr>
            </w:pPr>
            <w:r>
              <w:rPr>
                <w:rFonts w:ascii="Arial" w:cs="Arial" w:eastAsia="Arial" w:hAnsi="Arial"/>
                <w:sz w:val="14"/>
                <w:szCs w:val="14"/>
                <w:color w:val="242424"/>
              </w:rPr>
              <w:t>150</w:t>
            </w:r>
          </w:p>
        </w:tc>
        <w:tc>
          <w:tcPr>
            <w:tcW w:w="820" w:type="dxa"/>
            <w:vAlign w:val="bottom"/>
            <w:shd w:val="clear" w:color="auto" w:fill="EAEAEA"/>
          </w:tcPr>
          <w:p>
            <w:pPr>
              <w:jc w:val="right"/>
              <w:ind w:right="569"/>
              <w:spacing w:after="0"/>
              <w:rPr>
                <w:sz w:val="20"/>
                <w:szCs w:val="20"/>
                <w:color w:val="auto"/>
              </w:rPr>
            </w:pPr>
            <w:r>
              <w:rPr>
                <w:rFonts w:ascii="Arial" w:cs="Arial" w:eastAsia="Arial" w:hAnsi="Arial"/>
                <w:sz w:val="14"/>
                <w:szCs w:val="14"/>
                <w:color w:val="242424"/>
              </w:rPr>
              <w:t>%</w:t>
            </w:r>
          </w:p>
        </w:tc>
        <w:tc>
          <w:tcPr>
            <w:tcW w:w="2020" w:type="dxa"/>
            <w:vAlign w:val="bottom"/>
            <w:shd w:val="clear" w:color="auto" w:fill="EAEAEA"/>
          </w:tcPr>
          <w:p>
            <w:pPr>
              <w:spacing w:after="0"/>
              <w:rPr>
                <w:sz w:val="16"/>
                <w:szCs w:val="16"/>
                <w:color w:val="auto"/>
              </w:rPr>
            </w:pPr>
          </w:p>
        </w:tc>
        <w:tc>
          <w:tcPr>
            <w:tcW w:w="11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80" w:type="dxa"/>
            <w:vAlign w:val="bottom"/>
            <w:shd w:val="clear" w:color="auto" w:fill="EAEAEA"/>
          </w:tcPr>
          <w:p>
            <w:pPr>
              <w:spacing w:after="0"/>
              <w:rPr>
                <w:sz w:val="16"/>
                <w:szCs w:val="16"/>
                <w:color w:val="auto"/>
              </w:rPr>
            </w:pPr>
          </w:p>
        </w:tc>
        <w:tc>
          <w:tcPr>
            <w:tcW w:w="820" w:type="dxa"/>
            <w:vAlign w:val="bottom"/>
            <w:shd w:val="clear" w:color="auto" w:fill="EAEAEA"/>
          </w:tcPr>
          <w:p>
            <w:pPr>
              <w:spacing w:after="0"/>
              <w:rPr>
                <w:sz w:val="16"/>
                <w:szCs w:val="16"/>
                <w:color w:val="auto"/>
              </w:rPr>
            </w:pPr>
          </w:p>
        </w:tc>
        <w:tc>
          <w:tcPr>
            <w:tcW w:w="3540" w:type="dxa"/>
            <w:vAlign w:val="bottom"/>
            <w:shd w:val="clear" w:color="auto" w:fill="EAEAEA"/>
          </w:tcPr>
          <w:p>
            <w:pPr>
              <w:ind w:left="140"/>
              <w:spacing w:after="0"/>
              <w:rPr>
                <w:sz w:val="20"/>
                <w:szCs w:val="20"/>
                <w:color w:val="auto"/>
              </w:rPr>
            </w:pPr>
            <w:r>
              <w:rPr>
                <w:rFonts w:ascii="Arial" w:cs="Arial" w:eastAsia="Arial" w:hAnsi="Arial"/>
                <w:sz w:val="14"/>
                <w:szCs w:val="14"/>
                <w:i w:val="1"/>
                <w:iCs w:val="1"/>
                <w:color w:val="242424"/>
              </w:rPr>
              <w:t>Fiscal Year 2021 Attainment</w:t>
            </w:r>
          </w:p>
        </w:tc>
        <w:tc>
          <w:tcPr>
            <w:tcW w:w="620" w:type="dxa"/>
            <w:vAlign w:val="bottom"/>
            <w:shd w:val="clear" w:color="auto" w:fill="EAEAEA"/>
          </w:tcPr>
          <w:p>
            <w:pPr>
              <w:jc w:val="right"/>
              <w:spacing w:after="0"/>
              <w:rPr>
                <w:sz w:val="20"/>
                <w:szCs w:val="20"/>
                <w:color w:val="auto"/>
              </w:rPr>
            </w:pPr>
            <w:r>
              <w:rPr>
                <w:rFonts w:ascii="Arial" w:cs="Arial" w:eastAsia="Arial" w:hAnsi="Arial"/>
                <w:sz w:val="14"/>
                <w:szCs w:val="14"/>
                <w:i w:val="1"/>
                <w:iCs w:val="1"/>
                <w:color w:val="242424"/>
              </w:rPr>
              <w:t>150</w:t>
            </w:r>
          </w:p>
        </w:tc>
        <w:tc>
          <w:tcPr>
            <w:tcW w:w="820" w:type="dxa"/>
            <w:vAlign w:val="bottom"/>
            <w:shd w:val="clear" w:color="auto" w:fill="EAEAEA"/>
          </w:tcPr>
          <w:p>
            <w:pPr>
              <w:jc w:val="right"/>
              <w:ind w:right="569"/>
              <w:spacing w:after="0"/>
              <w:rPr>
                <w:sz w:val="20"/>
                <w:szCs w:val="20"/>
                <w:color w:val="auto"/>
              </w:rPr>
            </w:pPr>
            <w:r>
              <w:rPr>
                <w:rFonts w:ascii="Arial" w:cs="Arial" w:eastAsia="Arial" w:hAnsi="Arial"/>
                <w:sz w:val="14"/>
                <w:szCs w:val="14"/>
                <w:i w:val="1"/>
                <w:iCs w:val="1"/>
                <w:color w:val="242424"/>
              </w:rPr>
              <w:t>%</w:t>
            </w:r>
          </w:p>
        </w:tc>
        <w:tc>
          <w:tcPr>
            <w:tcW w:w="2020" w:type="dxa"/>
            <w:vAlign w:val="bottom"/>
            <w:shd w:val="clear" w:color="auto" w:fill="EAEAEA"/>
          </w:tcPr>
          <w:p>
            <w:pPr>
              <w:jc w:val="right"/>
              <w:ind w:right="549"/>
              <w:spacing w:after="0"/>
              <w:rPr>
                <w:sz w:val="20"/>
                <w:szCs w:val="20"/>
                <w:color w:val="auto"/>
              </w:rPr>
            </w:pPr>
            <w:r>
              <w:rPr>
                <w:rFonts w:ascii="Arial" w:cs="Arial" w:eastAsia="Arial" w:hAnsi="Arial"/>
                <w:sz w:val="14"/>
                <w:szCs w:val="14"/>
                <w:color w:val="242424"/>
              </w:rPr>
              <w:t>$ 1,517,885</w:t>
            </w:r>
          </w:p>
        </w:tc>
        <w:tc>
          <w:tcPr>
            <w:tcW w:w="1180" w:type="dxa"/>
            <w:vAlign w:val="bottom"/>
            <w:shd w:val="clear" w:color="auto" w:fill="EAEAEA"/>
          </w:tcPr>
          <w:p>
            <w:pPr>
              <w:jc w:val="right"/>
              <w:spacing w:after="0"/>
              <w:rPr>
                <w:sz w:val="20"/>
                <w:szCs w:val="20"/>
                <w:color w:val="auto"/>
              </w:rPr>
            </w:pPr>
            <w:r>
              <w:rPr>
                <w:rFonts w:ascii="Arial" w:cs="Arial" w:eastAsia="Arial" w:hAnsi="Arial"/>
                <w:sz w:val="14"/>
                <w:szCs w:val="14"/>
                <w:color w:val="242424"/>
              </w:rPr>
              <w:t>225.0 %</w:t>
            </w: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rPr>
                <w:sz w:val="20"/>
                <w:szCs w:val="20"/>
                <w:color w:val="auto"/>
              </w:rPr>
            </w:pPr>
            <w:r>
              <w:rPr>
                <w:rFonts w:ascii="Arial" w:cs="Arial" w:eastAsia="Arial" w:hAnsi="Arial"/>
                <w:sz w:val="14"/>
                <w:szCs w:val="14"/>
                <w:color w:val="242424"/>
              </w:rPr>
              <w:t>Thomas H. Krause, Jr.</w:t>
            </w:r>
          </w:p>
        </w:tc>
        <w:tc>
          <w:tcPr>
            <w:tcW w:w="820" w:type="dxa"/>
            <w:vAlign w:val="bottom"/>
          </w:tcPr>
          <w:p>
            <w:pPr>
              <w:ind w:left="240"/>
              <w:spacing w:after="0"/>
              <w:rPr>
                <w:sz w:val="20"/>
                <w:szCs w:val="20"/>
                <w:color w:val="auto"/>
              </w:rPr>
            </w:pPr>
            <w:r>
              <w:rPr>
                <w:rFonts w:ascii="Arial" w:cs="Arial" w:eastAsia="Arial" w:hAnsi="Arial"/>
                <w:sz w:val="14"/>
                <w:szCs w:val="14"/>
                <w:color w:val="242424"/>
              </w:rPr>
              <w:t>100%</w:t>
            </w:r>
          </w:p>
        </w:tc>
        <w:tc>
          <w:tcPr>
            <w:tcW w:w="3540" w:type="dxa"/>
            <w:vAlign w:val="bottom"/>
          </w:tcPr>
          <w:p>
            <w:pPr>
              <w:ind w:left="140"/>
              <w:spacing w:after="0"/>
              <w:rPr>
                <w:sz w:val="20"/>
                <w:szCs w:val="20"/>
                <w:color w:val="auto"/>
              </w:rPr>
            </w:pPr>
            <w:r>
              <w:rPr>
                <w:rFonts w:ascii="Arial" w:cs="Arial" w:eastAsia="Arial" w:hAnsi="Arial"/>
                <w:sz w:val="14"/>
                <w:szCs w:val="14"/>
                <w:color w:val="242424"/>
              </w:rPr>
              <w:t>Revenue (50%)</w:t>
            </w:r>
          </w:p>
        </w:tc>
        <w:tc>
          <w:tcPr>
            <w:tcW w:w="620" w:type="dxa"/>
            <w:vAlign w:val="bottom"/>
          </w:tcPr>
          <w:p>
            <w:pPr>
              <w:jc w:val="right"/>
              <w:spacing w:after="0"/>
              <w:rPr>
                <w:sz w:val="20"/>
                <w:szCs w:val="20"/>
                <w:color w:val="auto"/>
              </w:rPr>
            </w:pPr>
            <w:r>
              <w:rPr>
                <w:rFonts w:ascii="Arial" w:cs="Arial" w:eastAsia="Arial" w:hAnsi="Arial"/>
                <w:sz w:val="14"/>
                <w:szCs w:val="14"/>
                <w:color w:val="242424"/>
              </w:rPr>
              <w:t>150</w:t>
            </w:r>
          </w:p>
        </w:tc>
        <w:tc>
          <w:tcPr>
            <w:tcW w:w="820" w:type="dxa"/>
            <w:vAlign w:val="bottom"/>
          </w:tcPr>
          <w:p>
            <w:pPr>
              <w:jc w:val="right"/>
              <w:ind w:right="569"/>
              <w:spacing w:after="0"/>
              <w:rPr>
                <w:sz w:val="20"/>
                <w:szCs w:val="20"/>
                <w:color w:val="auto"/>
              </w:rPr>
            </w:pPr>
            <w:r>
              <w:rPr>
                <w:rFonts w:ascii="Arial" w:cs="Arial" w:eastAsia="Arial" w:hAnsi="Arial"/>
                <w:sz w:val="14"/>
                <w:szCs w:val="14"/>
                <w:color w:val="242424"/>
              </w:rPr>
              <w:t>%</w:t>
            </w:r>
          </w:p>
        </w:tc>
        <w:tc>
          <w:tcPr>
            <w:tcW w:w="2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80" w:type="dxa"/>
            <w:vAlign w:val="bottom"/>
          </w:tcPr>
          <w:p>
            <w:pPr>
              <w:ind w:left="100"/>
              <w:spacing w:after="0"/>
              <w:rPr>
                <w:sz w:val="20"/>
                <w:szCs w:val="20"/>
                <w:color w:val="auto"/>
              </w:rPr>
            </w:pPr>
            <w:r>
              <w:rPr>
                <w:rFonts w:ascii="Arial" w:cs="Arial" w:eastAsia="Arial" w:hAnsi="Arial"/>
                <w:sz w:val="14"/>
                <w:szCs w:val="14"/>
                <w:color w:val="242424"/>
              </w:rPr>
              <w:t>President, Broadcom Software</w:t>
            </w:r>
          </w:p>
        </w:tc>
        <w:tc>
          <w:tcPr>
            <w:tcW w:w="82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Arial" w:cs="Arial" w:eastAsia="Arial" w:hAnsi="Arial"/>
                <w:sz w:val="14"/>
                <w:szCs w:val="14"/>
                <w:color w:val="242424"/>
              </w:rPr>
              <w:t>Adjusted non-GAAP Operating Margin (50%)</w:t>
            </w:r>
          </w:p>
        </w:tc>
        <w:tc>
          <w:tcPr>
            <w:tcW w:w="620" w:type="dxa"/>
            <w:vAlign w:val="bottom"/>
          </w:tcPr>
          <w:p>
            <w:pPr>
              <w:jc w:val="right"/>
              <w:spacing w:after="0"/>
              <w:rPr>
                <w:sz w:val="20"/>
                <w:szCs w:val="20"/>
                <w:color w:val="auto"/>
              </w:rPr>
            </w:pPr>
            <w:r>
              <w:rPr>
                <w:rFonts w:ascii="Arial" w:cs="Arial" w:eastAsia="Arial" w:hAnsi="Arial"/>
                <w:sz w:val="14"/>
                <w:szCs w:val="14"/>
                <w:color w:val="242424"/>
              </w:rPr>
              <w:t>150</w:t>
            </w:r>
          </w:p>
        </w:tc>
        <w:tc>
          <w:tcPr>
            <w:tcW w:w="820" w:type="dxa"/>
            <w:vAlign w:val="bottom"/>
          </w:tcPr>
          <w:p>
            <w:pPr>
              <w:jc w:val="right"/>
              <w:ind w:right="569"/>
              <w:spacing w:after="0"/>
              <w:rPr>
                <w:sz w:val="20"/>
                <w:szCs w:val="20"/>
                <w:color w:val="auto"/>
              </w:rPr>
            </w:pPr>
            <w:r>
              <w:rPr>
                <w:rFonts w:ascii="Arial" w:cs="Arial" w:eastAsia="Arial" w:hAnsi="Arial"/>
                <w:sz w:val="14"/>
                <w:szCs w:val="14"/>
                <w:color w:val="242424"/>
              </w:rPr>
              <w:t>%</w:t>
            </w:r>
          </w:p>
        </w:tc>
        <w:tc>
          <w:tcPr>
            <w:tcW w:w="2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80" w:type="dxa"/>
            <w:vAlign w:val="bottom"/>
          </w:tcPr>
          <w:p>
            <w:pPr>
              <w:ind w:left="100"/>
              <w:spacing w:after="0"/>
              <w:rPr>
                <w:sz w:val="20"/>
                <w:szCs w:val="20"/>
                <w:color w:val="auto"/>
              </w:rPr>
            </w:pPr>
            <w:r>
              <w:rPr>
                <w:rFonts w:ascii="Arial" w:cs="Arial" w:eastAsia="Arial" w:hAnsi="Arial"/>
                <w:sz w:val="14"/>
                <w:szCs w:val="14"/>
                <w:color w:val="242424"/>
              </w:rPr>
              <w:t>Group</w:t>
            </w:r>
          </w:p>
        </w:tc>
        <w:tc>
          <w:tcPr>
            <w:tcW w:w="820" w:type="dxa"/>
            <w:vAlign w:val="bottom"/>
          </w:tcPr>
          <w:p>
            <w:pPr>
              <w:spacing w:after="0"/>
              <w:rPr>
                <w:sz w:val="14"/>
                <w:szCs w:val="14"/>
                <w:color w:val="auto"/>
              </w:rPr>
            </w:pPr>
          </w:p>
        </w:tc>
        <w:tc>
          <w:tcPr>
            <w:tcW w:w="3540" w:type="dxa"/>
            <w:vAlign w:val="bottom"/>
            <w:vMerge w:val="restart"/>
          </w:tcPr>
          <w:p>
            <w:pPr>
              <w:ind w:left="140"/>
              <w:spacing w:after="0"/>
              <w:rPr>
                <w:sz w:val="20"/>
                <w:szCs w:val="20"/>
                <w:color w:val="auto"/>
              </w:rPr>
            </w:pPr>
            <w:r>
              <w:rPr>
                <w:rFonts w:ascii="Arial" w:cs="Arial" w:eastAsia="Arial" w:hAnsi="Arial"/>
                <w:sz w:val="14"/>
                <w:szCs w:val="14"/>
                <w:i w:val="1"/>
                <w:iCs w:val="1"/>
                <w:color w:val="242424"/>
              </w:rPr>
              <w:t>Fiscal Year 2021 Attainment</w:t>
            </w:r>
          </w:p>
        </w:tc>
        <w:tc>
          <w:tcPr>
            <w:tcW w:w="620" w:type="dxa"/>
            <w:vAlign w:val="bottom"/>
            <w:vMerge w:val="restart"/>
          </w:tcPr>
          <w:p>
            <w:pPr>
              <w:jc w:val="right"/>
              <w:spacing w:after="0"/>
              <w:rPr>
                <w:sz w:val="20"/>
                <w:szCs w:val="20"/>
                <w:color w:val="auto"/>
              </w:rPr>
            </w:pPr>
            <w:r>
              <w:rPr>
                <w:rFonts w:ascii="Arial" w:cs="Arial" w:eastAsia="Arial" w:hAnsi="Arial"/>
                <w:sz w:val="14"/>
                <w:szCs w:val="14"/>
                <w:i w:val="1"/>
                <w:iCs w:val="1"/>
                <w:color w:val="242424"/>
              </w:rPr>
              <w:t>150</w:t>
            </w:r>
          </w:p>
        </w:tc>
        <w:tc>
          <w:tcPr>
            <w:tcW w:w="820" w:type="dxa"/>
            <w:vAlign w:val="bottom"/>
            <w:vMerge w:val="restart"/>
          </w:tcPr>
          <w:p>
            <w:pPr>
              <w:jc w:val="right"/>
              <w:ind w:right="569"/>
              <w:spacing w:after="0"/>
              <w:rPr>
                <w:sz w:val="20"/>
                <w:szCs w:val="20"/>
                <w:color w:val="auto"/>
              </w:rPr>
            </w:pPr>
            <w:r>
              <w:rPr>
                <w:rFonts w:ascii="Arial" w:cs="Arial" w:eastAsia="Arial" w:hAnsi="Arial"/>
                <w:sz w:val="14"/>
                <w:szCs w:val="14"/>
                <w:i w:val="1"/>
                <w:iCs w:val="1"/>
                <w:color w:val="242424"/>
              </w:rPr>
              <w:t>%</w:t>
            </w:r>
          </w:p>
        </w:tc>
        <w:tc>
          <w:tcPr>
            <w:tcW w:w="2020" w:type="dxa"/>
            <w:vAlign w:val="bottom"/>
            <w:vMerge w:val="restart"/>
          </w:tcPr>
          <w:p>
            <w:pPr>
              <w:jc w:val="right"/>
              <w:ind w:right="549"/>
              <w:spacing w:after="0"/>
              <w:rPr>
                <w:sz w:val="20"/>
                <w:szCs w:val="20"/>
                <w:color w:val="auto"/>
              </w:rPr>
            </w:pPr>
            <w:r>
              <w:rPr>
                <w:rFonts w:ascii="Arial" w:cs="Arial" w:eastAsia="Arial" w:hAnsi="Arial"/>
                <w:sz w:val="14"/>
                <w:szCs w:val="14"/>
                <w:color w:val="242424"/>
              </w:rPr>
              <w:t>$ 1,011,923</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242424"/>
              </w:rPr>
              <w:t>150.0 %</w:t>
            </w:r>
          </w:p>
        </w:tc>
        <w:tc>
          <w:tcPr>
            <w:tcW w:w="0" w:type="dxa"/>
            <w:vAlign w:val="bottom"/>
          </w:tcPr>
          <w:p>
            <w:pPr>
              <w:spacing w:after="0"/>
              <w:rPr>
                <w:sz w:val="1"/>
                <w:szCs w:val="1"/>
                <w:color w:val="auto"/>
              </w:rPr>
            </w:pPr>
          </w:p>
        </w:tc>
      </w:tr>
      <w:tr>
        <w:trPr>
          <w:trHeight w:val="84"/>
        </w:trPr>
        <w:tc>
          <w:tcPr>
            <w:tcW w:w="2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141605</wp:posOffset>
            </wp:positionV>
            <wp:extent cx="1993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74" w:lineRule="exact"/>
        <w:rPr>
          <w:sz w:val="20"/>
          <w:szCs w:val="20"/>
          <w:color w:val="auto"/>
        </w:rPr>
      </w:pPr>
    </w:p>
    <w:p>
      <w:pPr>
        <w:ind w:left="580" w:hanging="336"/>
        <w:spacing w:after="0"/>
        <w:tabs>
          <w:tab w:leader="none" w:pos="580" w:val="left"/>
        </w:tabs>
        <w:numPr>
          <w:ilvl w:val="0"/>
          <w:numId w:val="63"/>
        </w:numPr>
        <w:rPr>
          <w:rFonts w:ascii="Arial" w:cs="Arial" w:eastAsia="Arial" w:hAnsi="Arial"/>
          <w:sz w:val="14"/>
          <w:szCs w:val="14"/>
          <w:color w:val="242424"/>
        </w:rPr>
      </w:pPr>
      <w:r>
        <w:rPr>
          <w:rFonts w:ascii="Arial" w:cs="Arial" w:eastAsia="Arial" w:hAnsi="Arial"/>
          <w:sz w:val="14"/>
          <w:szCs w:val="14"/>
          <w:color w:val="242424"/>
        </w:rPr>
        <w:t>Includes the quantitative effect of our NEOs’ applicable individual performance multiplier.</w:t>
      </w:r>
    </w:p>
    <w:p>
      <w:pPr>
        <w:spacing w:after="0" w:line="51" w:lineRule="exact"/>
        <w:rPr>
          <w:rFonts w:ascii="Arial" w:cs="Arial" w:eastAsia="Arial" w:hAnsi="Arial"/>
          <w:sz w:val="14"/>
          <w:szCs w:val="14"/>
          <w:color w:val="242424"/>
        </w:rPr>
      </w:pPr>
    </w:p>
    <w:p>
      <w:pPr>
        <w:ind w:left="580" w:hanging="336"/>
        <w:spacing w:after="0"/>
        <w:tabs>
          <w:tab w:leader="none" w:pos="580" w:val="left"/>
        </w:tabs>
        <w:numPr>
          <w:ilvl w:val="0"/>
          <w:numId w:val="63"/>
        </w:numPr>
        <w:rPr>
          <w:rFonts w:ascii="Arial" w:cs="Arial" w:eastAsia="Arial" w:hAnsi="Arial"/>
          <w:sz w:val="14"/>
          <w:szCs w:val="14"/>
          <w:color w:val="242424"/>
        </w:rPr>
      </w:pPr>
      <w:r>
        <w:rPr>
          <w:rFonts w:ascii="Arial" w:cs="Arial" w:eastAsia="Arial" w:hAnsi="Arial"/>
          <w:sz w:val="14"/>
          <w:szCs w:val="14"/>
          <w:color w:val="242424"/>
        </w:rPr>
        <w:t>Prior to her promotion to CFO, target bonus was 50%, which resulted in a pro-rated bonus target percent of 95% for Fiscal Year 2021.</w:t>
      </w:r>
    </w:p>
    <w:p>
      <w:pPr>
        <w:spacing w:after="0" w:line="51" w:lineRule="exact"/>
        <w:rPr>
          <w:rFonts w:ascii="Arial" w:cs="Arial" w:eastAsia="Arial" w:hAnsi="Arial"/>
          <w:sz w:val="14"/>
          <w:szCs w:val="14"/>
          <w:color w:val="242424"/>
        </w:rPr>
      </w:pPr>
    </w:p>
    <w:p>
      <w:pPr>
        <w:ind w:left="580" w:hanging="336"/>
        <w:spacing w:after="0"/>
        <w:tabs>
          <w:tab w:leader="none" w:pos="580" w:val="left"/>
        </w:tabs>
        <w:numPr>
          <w:ilvl w:val="0"/>
          <w:numId w:val="63"/>
        </w:numPr>
        <w:rPr>
          <w:rFonts w:ascii="Arial" w:cs="Arial" w:eastAsia="Arial" w:hAnsi="Arial"/>
          <w:sz w:val="14"/>
          <w:szCs w:val="14"/>
          <w:color w:val="242424"/>
        </w:rPr>
      </w:pPr>
      <w:r>
        <w:rPr>
          <w:rFonts w:ascii="Arial" w:cs="Arial" w:eastAsia="Arial" w:hAnsi="Arial"/>
          <w:sz w:val="14"/>
          <w:szCs w:val="14"/>
          <w:color w:val="242424"/>
        </w:rPr>
        <w:t>Represents direct expenses of the division, as applicable.</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Discretionary Cash Bonuses</w:t>
      </w:r>
    </w:p>
    <w:p>
      <w:pPr>
        <w:spacing w:after="0" w:line="192" w:lineRule="exact"/>
        <w:rPr>
          <w:sz w:val="20"/>
          <w:szCs w:val="20"/>
          <w:color w:val="auto"/>
        </w:rPr>
      </w:pPr>
    </w:p>
    <w:p>
      <w:pPr>
        <w:jc w:val="both"/>
        <w:ind w:right="480"/>
        <w:spacing w:after="0" w:line="248" w:lineRule="auto"/>
        <w:rPr>
          <w:sz w:val="20"/>
          <w:szCs w:val="20"/>
          <w:color w:val="auto"/>
        </w:rPr>
      </w:pPr>
      <w:r>
        <w:rPr>
          <w:rFonts w:ascii="Arial" w:cs="Arial" w:eastAsia="Arial" w:hAnsi="Arial"/>
          <w:sz w:val="18"/>
          <w:szCs w:val="18"/>
          <w:color w:val="242424"/>
        </w:rPr>
        <w:t>Each year, the Compensation Committee may supplement or substitute the APB Plan payout earned by our NEOs with discretionary cash bonuses that are awarded based on our CEO’s recommendations (other than with respect to himself) and the Compensation Committee’s assessment of individual contributions. Discretionary cash bonuses were not awarded to our NEOs for Fiscal Year 2021.</w:t>
      </w:r>
    </w:p>
    <w:p>
      <w:pPr>
        <w:spacing w:after="0" w:line="200" w:lineRule="exact"/>
        <w:rPr>
          <w:sz w:val="20"/>
          <w:szCs w:val="20"/>
          <w:color w:val="auto"/>
        </w:rPr>
      </w:pPr>
    </w:p>
    <w:p>
      <w:pPr>
        <w:spacing w:after="0" w:line="248" w:lineRule="exact"/>
        <w:rPr>
          <w:sz w:val="20"/>
          <w:szCs w:val="20"/>
          <w:color w:val="auto"/>
        </w:rPr>
      </w:pPr>
    </w:p>
    <w:p>
      <w:pPr>
        <w:ind w:left="360" w:hanging="354"/>
        <w:spacing w:after="0"/>
        <w:tabs>
          <w:tab w:leader="none" w:pos="360" w:val="left"/>
        </w:tabs>
        <w:numPr>
          <w:ilvl w:val="0"/>
          <w:numId w:val="64"/>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40"/>
          </w:cols>
          <w:pgMar w:left="320" w:top="181" w:right="339" w:bottom="1440" w:gutter="0" w:footer="0" w:header="0"/>
          <w:type w:val="continuous"/>
        </w:sectPr>
      </w:pPr>
    </w:p>
    <w:bookmarkStart w:id="39" w:name="page40"/>
    <w:bookmarkEnd w:id="39"/>
    <w:p>
      <w:pPr>
        <w:ind w:left="7720"/>
        <w:spacing w:after="0"/>
        <w:rPr>
          <w:sz w:val="20"/>
          <w:szCs w:val="20"/>
          <w:color w:val="auto"/>
        </w:rPr>
      </w:pPr>
      <w:r>
        <w:rPr>
          <w:rFonts w:ascii="Arial" w:cs="Arial" w:eastAsia="Arial" w:hAnsi="Arial"/>
          <w:sz w:val="15"/>
          <w:szCs w:val="15"/>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Long-Term Incentive Compensation</w:t>
      </w:r>
    </w:p>
    <w:p>
      <w:pPr>
        <w:spacing w:after="0" w:line="179"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242424"/>
        </w:rPr>
        <w:t>Our equity awards serve as a long-term retention tool for our executives and are intended to reflect the value we place on their contribution to Broadcom. The philosophy behind our equity awards is to provide each executive with a strong incentive to remain with and build value in Broadcom over an extended period of time.</w:t>
      </w:r>
    </w:p>
    <w:p>
      <w:pPr>
        <w:spacing w:after="0" w:line="15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242424"/>
        </w:rPr>
        <w:t>The Compensation Committee believes that an annual grant of PSU awards for our CEO and a combination of service-based RSU awards and PSU awards for our other executives further the objectives of our philosophy. Because the value of the service-based RSU awards fluctuates based on our stock price and the PSU awards motivate strategic financial performance improvement and maximize our stock price and TSR, our executives’ interests are closely aligned with our stockholders’ interests.</w:t>
      </w:r>
    </w:p>
    <w:p>
      <w:pPr>
        <w:spacing w:after="0" w:line="155"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color w:val="242424"/>
        </w:rPr>
        <w:t>The Compensation Committee has historically granted equity awards under our annual equity program to our NEOs (other than our CEO) in March of each year, with 50% in the form of service-based RSU awards and 50% in the form of PSU awards.</w:t>
      </w:r>
    </w:p>
    <w:p>
      <w:pPr>
        <w:spacing w:after="0" w:line="150"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242424"/>
        </w:rPr>
        <w:t>Because our NEOs (other than our CEO) received the 2019 Multi-Year Equity Awards, they have not received since 2019 regular annual equity awards and will not receive regular annual equity awards until at least 2023. Accordingly, in Fiscal Year 2021, our NEOs (other than our CEO) were not granted regular annual equity awards under our annual equity program. However, our NEOs (other than our CEO) would be eligible to receive equity awards for outside the ordinary course of events related to promotions or retention. As described below</w:t>
      </w:r>
      <w:r>
        <w:rPr>
          <w:rFonts w:ascii="Arial" w:cs="Arial" w:eastAsia="Arial" w:hAnsi="Arial"/>
          <w:sz w:val="17"/>
          <w:szCs w:val="17"/>
          <w:i w:val="1"/>
          <w:iCs w:val="1"/>
          <w:color w:val="242424"/>
        </w:rPr>
        <w:t>,</w:t>
      </w:r>
      <w:r>
        <w:rPr>
          <w:rFonts w:ascii="Arial" w:cs="Arial" w:eastAsia="Arial" w:hAnsi="Arial"/>
          <w:sz w:val="17"/>
          <w:szCs w:val="17"/>
          <w:color w:val="242424"/>
        </w:rPr>
        <w:t xml:space="preserve"> equity awards were granted to Ms. Spears, Dr. Kawwas and Mr. Krause in Fiscal Year 2021 in connection with their promotions, which increased their respective responsibilities. See the “</w:t>
      </w:r>
      <w:r>
        <w:rPr>
          <w:rFonts w:ascii="Arial" w:cs="Arial" w:eastAsia="Arial" w:hAnsi="Arial"/>
          <w:sz w:val="17"/>
          <w:szCs w:val="17"/>
          <w:i w:val="1"/>
          <w:iCs w:val="1"/>
          <w:color w:val="242424"/>
        </w:rPr>
        <w:t>Compensation Discussion and Analysis – Elements of Executive Compensation – Long-Term Incentive</w:t>
      </w:r>
      <w:r>
        <w:rPr>
          <w:rFonts w:ascii="Arial" w:cs="Arial" w:eastAsia="Arial" w:hAnsi="Arial"/>
          <w:sz w:val="17"/>
          <w:szCs w:val="17"/>
          <w:color w:val="242424"/>
        </w:rPr>
        <w:t xml:space="preserve"> </w:t>
      </w:r>
      <w:r>
        <w:rPr>
          <w:rFonts w:ascii="Arial" w:cs="Arial" w:eastAsia="Arial" w:hAnsi="Arial"/>
          <w:sz w:val="17"/>
          <w:szCs w:val="17"/>
          <w:i w:val="1"/>
          <w:iCs w:val="1"/>
          <w:color w:val="242424"/>
        </w:rPr>
        <w:t>Compensation</w:t>
      </w:r>
      <w:r>
        <w:rPr>
          <w:rFonts w:ascii="Arial" w:cs="Arial" w:eastAsia="Arial" w:hAnsi="Arial"/>
          <w:sz w:val="17"/>
          <w:szCs w:val="17"/>
          <w:color w:val="242424"/>
        </w:rPr>
        <w:t>” in our Proxy Statement filed with the SEC on February 18, 2020 for a detailed discussion of the Multi-Year Equity Awards.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Equity Awards Granted in Fiscal Year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242424"/>
        </w:rPr>
        <w:t>Annual Equity Incentive Award Grant to Mr. Tan</w:t>
      </w:r>
    </w:p>
    <w:p>
      <w:pPr>
        <w:spacing w:after="0" w:line="164"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242424"/>
        </w:rPr>
        <w:t>On December 8, 2020, the independent directors, in consultation with Compensia and upon the recommendation of the Compensation Committee, approved an annual PSU award for Mr. Tan (the “Tan Fiscal Year 2021 PSU Award”), contingent upon stockholder approval of our 2012 Plan that was obtained at the 2021 annual meeting on April 5, 2021. Mr. Tan was awarded this PSU award as part of his regular total annual direct compensation to maintain alignment of his interests with our stockholders interests and to encourage his retention, as well as to reflect the competitive talent market. Absent such award, Mr. Tan would no longer have had any unvested equity awards after June 2021.</w:t>
      </w:r>
    </w:p>
    <w:p>
      <w:pPr>
        <w:spacing w:after="0" w:line="140" w:lineRule="exact"/>
        <w:rPr>
          <w:sz w:val="20"/>
          <w:szCs w:val="20"/>
          <w:color w:val="auto"/>
        </w:rPr>
      </w:pPr>
    </w:p>
    <w:p>
      <w:pPr>
        <w:spacing w:after="0" w:line="246" w:lineRule="auto"/>
        <w:rPr>
          <w:sz w:val="20"/>
          <w:szCs w:val="20"/>
          <w:color w:val="auto"/>
        </w:rPr>
      </w:pPr>
      <w:r>
        <w:rPr>
          <w:rFonts w:ascii="Arial" w:cs="Arial" w:eastAsia="Arial" w:hAnsi="Arial"/>
          <w:sz w:val="18"/>
          <w:szCs w:val="18"/>
          <w:color w:val="242424"/>
        </w:rPr>
        <w:t>Mr. Tan may earn up to 300% of the target number of shares based on our TSR performance as compared to the S&amp;P 500 (“Relative TSR”) and our absolute TSR performance measured from November 2, 2020 to October 29, 2023 (the “Performance Period”), subject to his continued employment on the vesting date of October 29, 2023. However, as Mr. Tan has reached the age of 70, if he retires from Broadcom on or after the last day of Fiscal Year 2021, the Performance Period will end on the date of his retirement notice and vest on his retirement date. The number of shares earned will be determined by multiplying the target number of shares by the achievement factor (the “Achievement Factor”). In the event of Mr. Tan’s employment terminates due to his death or permanent disability prior to October 29, 2023, 100% of the Tan Fiscal Year 2021 PSU Award will automatically vest with respect to the target number of shares.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242424"/>
        </w:rPr>
        <w:t>The table below sets forth the Relative TSR and the Achievement Factor for the Tan Fiscal Year 2021 PSU Award.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Borders>
              <w:top w:val="single" w:sz="8" w:color="CC092F"/>
              <w:bottom w:val="single" w:sz="8" w:color="CC092F"/>
            </w:tcBorders>
            <w:shd w:val="clear" w:color="auto" w:fill="B8B8B8"/>
          </w:tcPr>
          <w:p>
            <w:pPr>
              <w:ind w:left="100"/>
              <w:spacing w:after="0"/>
              <w:rPr>
                <w:sz w:val="20"/>
                <w:szCs w:val="20"/>
                <w:color w:val="auto"/>
              </w:rPr>
            </w:pPr>
            <w:r>
              <w:rPr>
                <w:rFonts w:ascii="Arial" w:cs="Arial" w:eastAsia="Arial" w:hAnsi="Arial"/>
                <w:sz w:val="16"/>
                <w:szCs w:val="16"/>
                <w:b w:val="1"/>
                <w:bCs w:val="1"/>
                <w:color w:val="FFFFFF"/>
              </w:rPr>
              <w:t>Relative TSR</w:t>
            </w:r>
          </w:p>
        </w:tc>
        <w:tc>
          <w:tcPr>
            <w:tcW w:w="5760" w:type="dxa"/>
            <w:vAlign w:val="bottom"/>
            <w:tcBorders>
              <w:top w:val="single" w:sz="8" w:color="CC092F"/>
              <w:bottom w:val="single" w:sz="8" w:color="CC092F"/>
            </w:tcBorders>
            <w:shd w:val="clear" w:color="auto" w:fill="B8B8B8"/>
          </w:tcPr>
          <w:p>
            <w:pPr>
              <w:ind w:left="2100"/>
              <w:spacing w:after="0"/>
              <w:rPr>
                <w:sz w:val="20"/>
                <w:szCs w:val="20"/>
                <w:color w:val="auto"/>
              </w:rPr>
            </w:pPr>
            <w:r>
              <w:rPr>
                <w:rFonts w:ascii="Arial" w:cs="Arial" w:eastAsia="Arial" w:hAnsi="Arial"/>
                <w:sz w:val="16"/>
                <w:szCs w:val="16"/>
                <w:b w:val="1"/>
                <w:bCs w:val="1"/>
                <w:color w:val="FFFFFF"/>
              </w:rPr>
              <w:t>Achievement Factor</w:t>
            </w:r>
            <w:r>
              <w:rPr>
                <w:rFonts w:ascii="Arial" w:cs="Arial" w:eastAsia="Arial" w:hAnsi="Arial"/>
                <w:sz w:val="20"/>
                <w:szCs w:val="20"/>
                <w:b w:val="1"/>
                <w:bCs w:val="1"/>
                <w:color w:val="FFFFFF"/>
                <w:vertAlign w:val="superscript"/>
              </w:rPr>
              <w:t>(1)</w:t>
            </w:r>
          </w:p>
        </w:tc>
      </w:tr>
      <w:tr>
        <w:trPr>
          <w:trHeight w:val="218"/>
        </w:trPr>
        <w:tc>
          <w:tcPr>
            <w:tcW w:w="5420" w:type="dxa"/>
            <w:vAlign w:val="bottom"/>
          </w:tcPr>
          <w:p>
            <w:pPr>
              <w:ind w:left="100"/>
              <w:spacing w:after="0" w:line="219" w:lineRule="exact"/>
              <w:rPr>
                <w:sz w:val="20"/>
                <w:szCs w:val="20"/>
                <w:color w:val="auto"/>
              </w:rPr>
            </w:pPr>
            <w:r>
              <w:rPr>
                <w:rFonts w:ascii="Arial" w:cs="Arial" w:eastAsia="Arial" w:hAnsi="Arial"/>
                <w:sz w:val="16"/>
                <w:szCs w:val="16"/>
                <w:color w:val="auto"/>
              </w:rPr>
              <w:t>Below the 25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S&amp;P 500</w:t>
            </w:r>
          </w:p>
        </w:tc>
        <w:tc>
          <w:tcPr>
            <w:tcW w:w="5760" w:type="dxa"/>
            <w:vAlign w:val="bottom"/>
          </w:tcPr>
          <w:p>
            <w:pPr>
              <w:jc w:val="center"/>
              <w:spacing w:after="0"/>
              <w:rPr>
                <w:sz w:val="20"/>
                <w:szCs w:val="20"/>
                <w:color w:val="auto"/>
              </w:rPr>
            </w:pPr>
            <w:r>
              <w:rPr>
                <w:rFonts w:ascii="Arial" w:cs="Arial" w:eastAsia="Arial" w:hAnsi="Arial"/>
                <w:sz w:val="16"/>
                <w:szCs w:val="16"/>
                <w:color w:val="242424"/>
              </w:rPr>
              <w:t>0</w:t>
            </w:r>
          </w:p>
        </w:tc>
      </w:tr>
      <w:tr>
        <w:trPr>
          <w:trHeight w:val="225"/>
        </w:trPr>
        <w:tc>
          <w:tcPr>
            <w:tcW w:w="5420" w:type="dxa"/>
            <w:vAlign w:val="bottom"/>
            <w:shd w:val="clear" w:color="auto" w:fill="EAEAEA"/>
          </w:tcPr>
          <w:p>
            <w:pPr>
              <w:ind w:left="100"/>
              <w:spacing w:after="0" w:line="226" w:lineRule="exact"/>
              <w:rPr>
                <w:sz w:val="20"/>
                <w:szCs w:val="20"/>
                <w:color w:val="auto"/>
              </w:rPr>
            </w:pPr>
            <w:r>
              <w:rPr>
                <w:rFonts w:ascii="Arial" w:cs="Arial" w:eastAsia="Arial" w:hAnsi="Arial"/>
                <w:sz w:val="16"/>
                <w:szCs w:val="16"/>
                <w:color w:val="auto"/>
              </w:rPr>
              <w:t>At the 25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S&amp;P 500</w:t>
            </w:r>
          </w:p>
        </w:tc>
        <w:tc>
          <w:tcPr>
            <w:tcW w:w="576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96"/>
              </w:rPr>
              <w:t>0.25</w:t>
            </w:r>
          </w:p>
        </w:tc>
      </w:tr>
      <w:tr>
        <w:trPr>
          <w:trHeight w:val="225"/>
        </w:trPr>
        <w:tc>
          <w:tcPr>
            <w:tcW w:w="5420" w:type="dxa"/>
            <w:vAlign w:val="bottom"/>
          </w:tcPr>
          <w:p>
            <w:pPr>
              <w:ind w:left="100"/>
              <w:spacing w:after="0" w:line="226" w:lineRule="exact"/>
              <w:rPr>
                <w:sz w:val="20"/>
                <w:szCs w:val="20"/>
                <w:color w:val="auto"/>
              </w:rPr>
            </w:pPr>
            <w:r>
              <w:rPr>
                <w:rFonts w:ascii="Arial" w:cs="Arial" w:eastAsia="Arial" w:hAnsi="Arial"/>
                <w:sz w:val="16"/>
                <w:szCs w:val="16"/>
                <w:color w:val="auto"/>
              </w:rPr>
              <w:t>At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S&amp;P 500</w:t>
            </w:r>
          </w:p>
        </w:tc>
        <w:tc>
          <w:tcPr>
            <w:tcW w:w="5760" w:type="dxa"/>
            <w:vAlign w:val="bottom"/>
          </w:tcPr>
          <w:p>
            <w:pPr>
              <w:jc w:val="center"/>
              <w:spacing w:after="0"/>
              <w:rPr>
                <w:sz w:val="20"/>
                <w:szCs w:val="20"/>
                <w:color w:val="auto"/>
              </w:rPr>
            </w:pPr>
            <w:r>
              <w:rPr>
                <w:rFonts w:ascii="Arial" w:cs="Arial" w:eastAsia="Arial" w:hAnsi="Arial"/>
                <w:sz w:val="16"/>
                <w:szCs w:val="16"/>
                <w:color w:val="auto"/>
                <w:w w:val="98"/>
              </w:rPr>
              <w:t>1.0</w:t>
            </w:r>
          </w:p>
        </w:tc>
      </w:tr>
      <w:tr>
        <w:trPr>
          <w:trHeight w:val="225"/>
        </w:trPr>
        <w:tc>
          <w:tcPr>
            <w:tcW w:w="5420" w:type="dxa"/>
            <w:vAlign w:val="bottom"/>
            <w:shd w:val="clear" w:color="auto" w:fill="EAEAEA"/>
          </w:tcPr>
          <w:p>
            <w:pPr>
              <w:ind w:left="100"/>
              <w:spacing w:after="0" w:line="226" w:lineRule="exact"/>
              <w:rPr>
                <w:sz w:val="20"/>
                <w:szCs w:val="20"/>
                <w:color w:val="auto"/>
              </w:rPr>
            </w:pPr>
            <w:r>
              <w:rPr>
                <w:rFonts w:ascii="Arial" w:cs="Arial" w:eastAsia="Arial" w:hAnsi="Arial"/>
                <w:sz w:val="16"/>
                <w:szCs w:val="16"/>
                <w:color w:val="auto"/>
              </w:rPr>
              <w:t>At or above the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S&amp;P 500</w:t>
            </w:r>
          </w:p>
        </w:tc>
        <w:tc>
          <w:tcPr>
            <w:tcW w:w="576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98"/>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151130</wp:posOffset>
            </wp:positionV>
            <wp:extent cx="1993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89" w:lineRule="exact"/>
        <w:rPr>
          <w:sz w:val="20"/>
          <w:szCs w:val="20"/>
          <w:color w:val="auto"/>
        </w:rPr>
      </w:pPr>
    </w:p>
    <w:p>
      <w:pPr>
        <w:ind w:left="480" w:hanging="315"/>
        <w:spacing w:after="0" w:line="243" w:lineRule="auto"/>
        <w:tabs>
          <w:tab w:leader="none" w:pos="491" w:val="left"/>
        </w:tabs>
        <w:numPr>
          <w:ilvl w:val="0"/>
          <w:numId w:val="65"/>
        </w:numPr>
        <w:rPr>
          <w:rFonts w:ascii="Arial" w:cs="Arial" w:eastAsia="Arial" w:hAnsi="Arial"/>
          <w:sz w:val="14"/>
          <w:szCs w:val="14"/>
          <w:color w:val="242424"/>
        </w:rPr>
      </w:pPr>
      <w:r>
        <w:rPr>
          <w:rFonts w:ascii="Arial" w:cs="Arial" w:eastAsia="Arial" w:hAnsi="Arial"/>
          <w:sz w:val="14"/>
          <w:szCs w:val="14"/>
          <w:color w:val="242424"/>
        </w:rPr>
        <w:t>If the Relative TSR achieved during the applicable performance period is between two of the levels set forth in the table above, the Achievement Factor will be determined using linear interpolation, except if Relative TSR for the performance period is less than the 25th percentile of the S&amp;P 500, the Achievement Factor will be 0. If our absolute TSR is negative, then the maximum number of shares that may be earned is 100% of the target shares.</w:t>
      </w:r>
    </w:p>
    <w:p>
      <w:pPr>
        <w:spacing w:after="0" w:line="200" w:lineRule="exact"/>
        <w:rPr>
          <w:sz w:val="20"/>
          <w:szCs w:val="20"/>
          <w:color w:val="auto"/>
        </w:rPr>
      </w:pPr>
    </w:p>
    <w:p>
      <w:pPr>
        <w:spacing w:after="0" w:line="236"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37</w:t>
      </w:r>
    </w:p>
    <w:p>
      <w:pPr>
        <w:sectPr>
          <w:pgSz w:w="11900" w:h="16838" w:orient="portrait"/>
          <w:cols w:equalWidth="0" w:num="1">
            <w:col w:w="11220"/>
          </w:cols>
          <w:pgMar w:left="320" w:top="181" w:right="359" w:bottom="1440" w:gutter="0" w:footer="0" w:header="0"/>
        </w:sectPr>
      </w:pPr>
    </w:p>
    <w:bookmarkStart w:id="40" w:name="page41"/>
    <w:bookmarkEnd w:id="40"/>
    <w:p>
      <w:pPr>
        <w:ind w:left="20"/>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242424"/>
        </w:rPr>
        <w:t>The award value of the Tan Fiscal Year 2021 PSU Award approved by the independent directors was $25,000,000 and the number of target shares subject to the award was based on the closing stock price on December 15, 2020, the effective date of the award. However, the award value in the “</w:t>
      </w:r>
      <w:r>
        <w:rPr>
          <w:rFonts w:ascii="Arial" w:cs="Arial" w:eastAsia="Arial" w:hAnsi="Arial"/>
          <w:sz w:val="18"/>
          <w:szCs w:val="18"/>
          <w:i w:val="1"/>
          <w:iCs w:val="1"/>
          <w:color w:val="242424"/>
        </w:rPr>
        <w:t>Fiscal Year 2021 Summary Compensation Table</w:t>
      </w:r>
      <w:r>
        <w:rPr>
          <w:rFonts w:ascii="Arial" w:cs="Arial" w:eastAsia="Arial" w:hAnsi="Arial"/>
          <w:sz w:val="18"/>
          <w:szCs w:val="18"/>
          <w:color w:val="242424"/>
        </w:rPr>
        <w:t>” below is $54,056,808, which reflects the accounting grant date fair value under ASC 718 on April 5, 2021, when the stockholders approved the 2012 Plan and the actual grant date for accounting purposes. Several factors generally explain the difference, including: (i) Broadcom’s stock price increased from $418.06 on December 15, 2020, the effective date of the award, to $488.48 on April 5, 2021, the actual grant date; and (ii) Relative TSR is a “market-based measure” that requires the target number of shares to be valued using a Monte Carlo simulation model, which resulted in a higher value of the shares at the then-current price based on the plan design, including the potential achievement above target under the PSU award.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242424"/>
        </w:rPr>
        <w:t>Promotion Equity Incentive Award Grants to Dr. Kawwas and Mr. Krause</w:t>
      </w:r>
    </w:p>
    <w:p>
      <w:pPr>
        <w:spacing w:after="0" w:line="16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242424"/>
        </w:rPr>
        <w:t>On December 8, 2020, the Compensation Committee, in consultation with Compensia, approved promotion equity incentive awards for Dr. Kawwas and Mr. Krause, contingent upon stockholder approval of our 2012 Plan that was obtained at the 2021 annual meeting on April 5, 2021. Dr. Kawwas and Mr. Krause each received promotion equity incentive awards with a target market value of $15,000,000, consisting of 50% service-based RSU awards (the “Kawwas/Krause Promotion RSUs”) and 50% PSU awards at target (the “Kawwas/Krause Promotion PSUs” and, together with the Kawwas/Krause Promotion RSUs, the “Promotion Awards”), effective as of and based on the closing price of our common stock on December 15, 2020. The terms and amounts of the Promotion Awards were designed to align Dr. Kawwas’ and Mr. Krause’s long term equity incentive compensation to the competitive talent market and to reflect their increased responsibilities due to their promotions. The Compensation Committee does not anticipate granting Dr. Kawwas and Mr. Krause regular annual equity awards under our annual equity award program until at least 2023.</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242424"/>
        </w:rPr>
        <w:t>The Kawwas/Krause Promotion RSUs will vest over a three-year period, with one-third of the Kawwas/Krause Promotion RSUs vesting on each anniversary of December 15, 2020, subject to Dr. Kawwas’ or Mr. Krause’s (as applicable) continued employment on the relevant vesting dates. Dr. Kawwas and Mr. Krause may earn up to 200% of the target number of shares under their respective Kawwas/Krause Promotion PSUs based on our Relative TSR and absolute TSR measured over the period beginning on November 2, 2020 and ending on October 29, 2023, as determined by the Compensation Committee. The number of shares earned will be determined by multiplying the target number of shares by the Achievement Factor. Subject to Dr. Kawwas’ or Mr. Krause’s (as applicable) continued employment on the vesting date, the Kawwas/Krause Promotion PSUs will vest on October 29, 2023.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242424"/>
        </w:rPr>
        <w:t>The table below sets forth the Relative TSR and Achievement Factor for the Kawwas/Krause Promotion PSUs.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Borders>
              <w:top w:val="single" w:sz="8" w:color="CC092F"/>
              <w:bottom w:val="single" w:sz="8" w:color="CC092F"/>
            </w:tcBorders>
            <w:shd w:val="clear" w:color="auto" w:fill="B8B8B8"/>
          </w:tcPr>
          <w:p>
            <w:pPr>
              <w:ind w:left="100"/>
              <w:spacing w:after="0"/>
              <w:rPr>
                <w:sz w:val="20"/>
                <w:szCs w:val="20"/>
                <w:color w:val="auto"/>
              </w:rPr>
            </w:pPr>
            <w:r>
              <w:rPr>
                <w:rFonts w:ascii="Arial" w:cs="Arial" w:eastAsia="Arial" w:hAnsi="Arial"/>
                <w:sz w:val="16"/>
                <w:szCs w:val="16"/>
                <w:b w:val="1"/>
                <w:bCs w:val="1"/>
                <w:color w:val="FFFFFF"/>
              </w:rPr>
              <w:t>Relative TSR</w:t>
            </w:r>
          </w:p>
        </w:tc>
        <w:tc>
          <w:tcPr>
            <w:tcW w:w="5760" w:type="dxa"/>
            <w:vAlign w:val="bottom"/>
            <w:tcBorders>
              <w:top w:val="single" w:sz="8" w:color="CC092F"/>
              <w:bottom w:val="single" w:sz="8" w:color="CC092F"/>
            </w:tcBorders>
            <w:shd w:val="clear" w:color="auto" w:fill="B8B8B8"/>
          </w:tcPr>
          <w:p>
            <w:pPr>
              <w:ind w:left="2100"/>
              <w:spacing w:after="0"/>
              <w:rPr>
                <w:sz w:val="20"/>
                <w:szCs w:val="20"/>
                <w:color w:val="auto"/>
              </w:rPr>
            </w:pPr>
            <w:r>
              <w:rPr>
                <w:rFonts w:ascii="Arial" w:cs="Arial" w:eastAsia="Arial" w:hAnsi="Arial"/>
                <w:sz w:val="16"/>
                <w:szCs w:val="16"/>
                <w:b w:val="1"/>
                <w:bCs w:val="1"/>
                <w:color w:val="FFFFFF"/>
              </w:rPr>
              <w:t>Achievement Factor</w:t>
            </w:r>
            <w:r>
              <w:rPr>
                <w:rFonts w:ascii="Arial" w:cs="Arial" w:eastAsia="Arial" w:hAnsi="Arial"/>
                <w:sz w:val="20"/>
                <w:szCs w:val="20"/>
                <w:b w:val="1"/>
                <w:bCs w:val="1"/>
                <w:color w:val="FFFFFF"/>
                <w:vertAlign w:val="superscript"/>
              </w:rPr>
              <w:t>(1)</w:t>
            </w:r>
          </w:p>
        </w:tc>
      </w:tr>
      <w:tr>
        <w:trPr>
          <w:trHeight w:val="218"/>
        </w:trPr>
        <w:tc>
          <w:tcPr>
            <w:tcW w:w="5420" w:type="dxa"/>
            <w:vAlign w:val="bottom"/>
          </w:tcPr>
          <w:p>
            <w:pPr>
              <w:ind w:left="100"/>
              <w:spacing w:after="0" w:line="219" w:lineRule="exact"/>
              <w:rPr>
                <w:sz w:val="20"/>
                <w:szCs w:val="20"/>
                <w:color w:val="auto"/>
              </w:rPr>
            </w:pPr>
            <w:r>
              <w:rPr>
                <w:rFonts w:ascii="Arial" w:cs="Arial" w:eastAsia="Arial" w:hAnsi="Arial"/>
                <w:sz w:val="16"/>
                <w:szCs w:val="16"/>
                <w:color w:val="auto"/>
              </w:rPr>
              <w:t>Below the 25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S&amp;P 500</w:t>
            </w:r>
          </w:p>
        </w:tc>
        <w:tc>
          <w:tcPr>
            <w:tcW w:w="5760" w:type="dxa"/>
            <w:vAlign w:val="bottom"/>
          </w:tcPr>
          <w:p>
            <w:pPr>
              <w:jc w:val="center"/>
              <w:spacing w:after="0"/>
              <w:rPr>
                <w:sz w:val="20"/>
                <w:szCs w:val="20"/>
                <w:color w:val="auto"/>
              </w:rPr>
            </w:pPr>
            <w:r>
              <w:rPr>
                <w:rFonts w:ascii="Arial" w:cs="Arial" w:eastAsia="Arial" w:hAnsi="Arial"/>
                <w:sz w:val="16"/>
                <w:szCs w:val="16"/>
                <w:color w:val="auto"/>
              </w:rPr>
              <w:t>0</w:t>
            </w:r>
          </w:p>
        </w:tc>
      </w:tr>
      <w:tr>
        <w:trPr>
          <w:trHeight w:val="225"/>
        </w:trPr>
        <w:tc>
          <w:tcPr>
            <w:tcW w:w="5420" w:type="dxa"/>
            <w:vAlign w:val="bottom"/>
            <w:shd w:val="clear" w:color="auto" w:fill="EAEAEA"/>
          </w:tcPr>
          <w:p>
            <w:pPr>
              <w:ind w:left="100"/>
              <w:spacing w:after="0" w:line="226" w:lineRule="exact"/>
              <w:rPr>
                <w:sz w:val="20"/>
                <w:szCs w:val="20"/>
                <w:color w:val="auto"/>
              </w:rPr>
            </w:pPr>
            <w:r>
              <w:rPr>
                <w:rFonts w:ascii="Arial" w:cs="Arial" w:eastAsia="Arial" w:hAnsi="Arial"/>
                <w:sz w:val="16"/>
                <w:szCs w:val="16"/>
                <w:color w:val="auto"/>
              </w:rPr>
              <w:t>At the 25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S&amp;P 500</w:t>
            </w:r>
          </w:p>
        </w:tc>
        <w:tc>
          <w:tcPr>
            <w:tcW w:w="576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98"/>
              </w:rPr>
              <w:t>0.5</w:t>
            </w:r>
          </w:p>
        </w:tc>
      </w:tr>
      <w:tr>
        <w:trPr>
          <w:trHeight w:val="225"/>
        </w:trPr>
        <w:tc>
          <w:tcPr>
            <w:tcW w:w="5420" w:type="dxa"/>
            <w:vAlign w:val="bottom"/>
          </w:tcPr>
          <w:p>
            <w:pPr>
              <w:ind w:left="100"/>
              <w:spacing w:after="0" w:line="226" w:lineRule="exact"/>
              <w:rPr>
                <w:sz w:val="20"/>
                <w:szCs w:val="20"/>
                <w:color w:val="auto"/>
              </w:rPr>
            </w:pPr>
            <w:r>
              <w:rPr>
                <w:rFonts w:ascii="Arial" w:cs="Arial" w:eastAsia="Arial" w:hAnsi="Arial"/>
                <w:sz w:val="16"/>
                <w:szCs w:val="16"/>
                <w:color w:val="auto"/>
              </w:rPr>
              <w:t>At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S&amp;P 500</w:t>
            </w:r>
          </w:p>
        </w:tc>
        <w:tc>
          <w:tcPr>
            <w:tcW w:w="5760" w:type="dxa"/>
            <w:vAlign w:val="bottom"/>
          </w:tcPr>
          <w:p>
            <w:pPr>
              <w:jc w:val="center"/>
              <w:spacing w:after="0"/>
              <w:rPr>
                <w:sz w:val="20"/>
                <w:szCs w:val="20"/>
                <w:color w:val="auto"/>
              </w:rPr>
            </w:pPr>
            <w:r>
              <w:rPr>
                <w:rFonts w:ascii="Arial" w:cs="Arial" w:eastAsia="Arial" w:hAnsi="Arial"/>
                <w:sz w:val="16"/>
                <w:szCs w:val="16"/>
                <w:color w:val="auto"/>
                <w:w w:val="98"/>
              </w:rPr>
              <w:t>1.0</w:t>
            </w:r>
          </w:p>
        </w:tc>
      </w:tr>
      <w:tr>
        <w:trPr>
          <w:trHeight w:val="225"/>
        </w:trPr>
        <w:tc>
          <w:tcPr>
            <w:tcW w:w="5420" w:type="dxa"/>
            <w:vAlign w:val="bottom"/>
            <w:shd w:val="clear" w:color="auto" w:fill="EAEAEA"/>
          </w:tcPr>
          <w:p>
            <w:pPr>
              <w:ind w:left="100"/>
              <w:spacing w:after="0" w:line="226" w:lineRule="exact"/>
              <w:rPr>
                <w:sz w:val="20"/>
                <w:szCs w:val="20"/>
                <w:color w:val="auto"/>
              </w:rPr>
            </w:pPr>
            <w:r>
              <w:rPr>
                <w:rFonts w:ascii="Arial" w:cs="Arial" w:eastAsia="Arial" w:hAnsi="Arial"/>
                <w:sz w:val="16"/>
                <w:szCs w:val="16"/>
                <w:color w:val="auto"/>
              </w:rPr>
              <w:t>At or above the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S&amp;P 500</w:t>
            </w:r>
          </w:p>
        </w:tc>
        <w:tc>
          <w:tcPr>
            <w:tcW w:w="576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98"/>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151765</wp:posOffset>
            </wp:positionV>
            <wp:extent cx="1993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89" w:lineRule="exact"/>
        <w:rPr>
          <w:sz w:val="20"/>
          <w:szCs w:val="20"/>
          <w:color w:val="auto"/>
        </w:rPr>
      </w:pPr>
    </w:p>
    <w:p>
      <w:pPr>
        <w:ind w:left="480" w:hanging="315"/>
        <w:spacing w:after="0" w:line="243" w:lineRule="auto"/>
        <w:tabs>
          <w:tab w:leader="none" w:pos="491" w:val="left"/>
        </w:tabs>
        <w:numPr>
          <w:ilvl w:val="0"/>
          <w:numId w:val="66"/>
        </w:numPr>
        <w:rPr>
          <w:rFonts w:ascii="Arial" w:cs="Arial" w:eastAsia="Arial" w:hAnsi="Arial"/>
          <w:sz w:val="14"/>
          <w:szCs w:val="14"/>
          <w:color w:val="242424"/>
        </w:rPr>
      </w:pPr>
      <w:r>
        <w:rPr>
          <w:rFonts w:ascii="Arial" w:cs="Arial" w:eastAsia="Arial" w:hAnsi="Arial"/>
          <w:sz w:val="14"/>
          <w:szCs w:val="14"/>
          <w:color w:val="242424"/>
        </w:rPr>
        <w:t>If the Relative TSR achieved during the applicable performance period is between two of the levels set forth in the table above, the Achievement Factor will be determined using linear interpolation, except if Relative TSR for the performance period is less than the 25th percentile of the S&amp;P 500, the Achievement Factor will be 0. If our absolute TSR is negative, then the maximum number of shares that may be earned is 100% of the target shares.</w:t>
      </w:r>
    </w:p>
    <w:p>
      <w:pPr>
        <w:spacing w:after="0" w:line="1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242424"/>
        </w:rPr>
        <w:t>The value of each of the Promotion Awards in the “</w:t>
      </w:r>
      <w:r>
        <w:rPr>
          <w:rFonts w:ascii="Arial" w:cs="Arial" w:eastAsia="Arial" w:hAnsi="Arial"/>
          <w:sz w:val="18"/>
          <w:szCs w:val="18"/>
          <w:i w:val="1"/>
          <w:iCs w:val="1"/>
          <w:color w:val="242424"/>
        </w:rPr>
        <w:t>Fiscal Year 2021 Summary Compensation Table</w:t>
      </w:r>
      <w:r>
        <w:rPr>
          <w:rFonts w:ascii="Arial" w:cs="Arial" w:eastAsia="Arial" w:hAnsi="Arial"/>
          <w:sz w:val="18"/>
          <w:szCs w:val="18"/>
          <w:color w:val="242424"/>
        </w:rPr>
        <w:t>” below is $20,115,046 because it is the accounting grant date fair value under ASC 718 on April 5, 2021, when the stockholders approved the 2012 Plan and the actual grant date for accounting purposes. The same factors provided above for the Tan Fiscal Year 2021 PSU Award explain the difference between the target market value approved by the Compensation Committee and the accounting grant date fair value.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242424"/>
        </w:rPr>
        <w:t>Promotion Equity Incentive Award Grants to Ms. Spears</w:t>
      </w:r>
    </w:p>
    <w:p>
      <w:pPr>
        <w:spacing w:after="0" w:line="164" w:lineRule="exact"/>
        <w:rPr>
          <w:sz w:val="20"/>
          <w:szCs w:val="20"/>
          <w:color w:val="auto"/>
        </w:rPr>
      </w:pPr>
    </w:p>
    <w:p>
      <w:pPr>
        <w:spacing w:after="0" w:line="247" w:lineRule="auto"/>
        <w:rPr>
          <w:sz w:val="20"/>
          <w:szCs w:val="20"/>
          <w:color w:val="auto"/>
        </w:rPr>
      </w:pPr>
      <w:r>
        <w:rPr>
          <w:rFonts w:ascii="Arial" w:cs="Arial" w:eastAsia="Arial" w:hAnsi="Arial"/>
          <w:sz w:val="18"/>
          <w:szCs w:val="18"/>
          <w:color w:val="242424"/>
        </w:rPr>
        <w:t>On December 8, 2020, the Compensation Committee, in consultation with Compensia, approved promotion equity incentive awards for Ms. Spears. Ms. Spears was granted a service-based RSU award for 13,000 shares (the “Spears Promotion RSUs”) and a PSU award for 13,000 shares (the “Spears Promotion PSUs”) at target on December 15, 2020. The terms and amounts of Ms. Spears’ promotion equity incentive awards were designed to align Ms. Spears long term equity incentive compensation to the competitive talent market and to reflect her increased responsibilities due to her</w:t>
      </w:r>
    </w:p>
    <w:p>
      <w:pPr>
        <w:spacing w:after="0" w:line="200" w:lineRule="exact"/>
        <w:rPr>
          <w:sz w:val="20"/>
          <w:szCs w:val="20"/>
          <w:color w:val="auto"/>
        </w:rPr>
      </w:pPr>
    </w:p>
    <w:p>
      <w:pPr>
        <w:spacing w:after="0" w:line="248" w:lineRule="exact"/>
        <w:rPr>
          <w:sz w:val="20"/>
          <w:szCs w:val="20"/>
          <w:color w:val="auto"/>
        </w:rPr>
      </w:pPr>
    </w:p>
    <w:p>
      <w:pPr>
        <w:ind w:left="360" w:hanging="354"/>
        <w:spacing w:after="0"/>
        <w:tabs>
          <w:tab w:leader="none" w:pos="360" w:val="left"/>
        </w:tabs>
        <w:numPr>
          <w:ilvl w:val="0"/>
          <w:numId w:val="67"/>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20"/>
          </w:cols>
          <w:pgMar w:left="320" w:top="181"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242424"/>
        </w:rPr>
        <w:t>promotion. The Compensation Committee does not anticipate granting Ms. Spears regular annual equity awards under our annual equity award program until at least 2023.</w:t>
      </w:r>
    </w:p>
    <w:p>
      <w:pPr>
        <w:spacing w:after="0" w:line="150" w:lineRule="exact"/>
        <w:rPr>
          <w:sz w:val="20"/>
          <w:szCs w:val="20"/>
          <w:color w:val="auto"/>
        </w:rPr>
      </w:pPr>
    </w:p>
    <w:p>
      <w:pPr>
        <w:spacing w:after="0" w:line="246" w:lineRule="auto"/>
        <w:rPr>
          <w:sz w:val="20"/>
          <w:szCs w:val="20"/>
          <w:color w:val="auto"/>
        </w:rPr>
      </w:pPr>
      <w:r>
        <w:rPr>
          <w:rFonts w:ascii="Arial" w:cs="Arial" w:eastAsia="Arial" w:hAnsi="Arial"/>
          <w:sz w:val="18"/>
          <w:szCs w:val="18"/>
          <w:color w:val="242424"/>
        </w:rPr>
        <w:t>The Spears Promotion RSUs will vest over four years at a rate of 25% per year on each anniversary of the grant date, subject to Ms. Spears’ continued employment on the relevant vesting date. The Spears Promotion PSUs are earned based on our Relative TSR and our absolute TSR over four overlapping performance periods that begin on March 2, 2020 and end on March 1st of 2021, 2022, 2023 and 2024. The number of shares of common stock that may be earned is capped at 25% of the target number of shares for each of the first three performance periods. In the aggregate, Ms. Spears may earn up to 200% of the target number of shares, if at the end of the fourth performance period our Relative TSR is at or above the 75th percentile of the S&amp;P 500 Index and our absolute TSR is not negative. No shares will be earned for a performance period if our Relative TSR is below the 25th percentile of the S&amp;P 500 Index. The Spears Promotion PSUs vest on each anniversary of the grant date, subject to her continued employment on the relevant vesting date.</w:t>
      </w:r>
    </w:p>
    <w:p>
      <w:pPr>
        <w:spacing w:after="0" w:line="15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242424"/>
        </w:rPr>
        <w:t>Within 60 days after the end of each performance period, the Compensation Committee will determine the number of shares by multiplying the target number of shares subject to the performance period (25% of the total target number of shares) by an Achievement Factor . The Achievement Factor is based on our Relative TSR for the performance period. For the fourth performance period the Achievement Factor is based on our Relative TSR, as well as the sum of the Achievement Factors for the first three performance periods (the “Prior Achievement Sum”). However, if our absolute TSR is negative for the fourth performance period, then the maximum number of shares of common stock that may be earned is 100% of the total target number of shares. If the Relative TSR is between two of the percentile levels, the number of shares earned will be determined using linear interpolation.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242424"/>
        </w:rPr>
        <w:t>The table below sets forth the Relative TSR and Achievement Factor for the Spears Promotion PSUs.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tcBorders>
              <w:top w:val="single" w:sz="8" w:color="CC092F"/>
              <w:bottom w:val="single" w:sz="8" w:color="CC092F"/>
            </w:tcBorders>
            <w:shd w:val="clear" w:color="auto" w:fill="B8B8B8"/>
          </w:tcPr>
          <w:p>
            <w:pPr>
              <w:ind w:left="1720"/>
              <w:spacing w:after="0"/>
              <w:rPr>
                <w:sz w:val="20"/>
                <w:szCs w:val="20"/>
                <w:color w:val="auto"/>
              </w:rPr>
            </w:pPr>
            <w:r>
              <w:rPr>
                <w:rFonts w:ascii="Arial" w:cs="Arial" w:eastAsia="Arial" w:hAnsi="Arial"/>
                <w:sz w:val="16"/>
                <w:szCs w:val="16"/>
                <w:color w:val="FFFFFF"/>
              </w:rPr>
              <w:t>Relative TSR</w:t>
            </w:r>
          </w:p>
        </w:tc>
        <w:tc>
          <w:tcPr>
            <w:tcW w:w="6880" w:type="dxa"/>
            <w:vAlign w:val="bottom"/>
            <w:tcBorders>
              <w:top w:val="single" w:sz="8" w:color="CC092F"/>
              <w:bottom w:val="single" w:sz="8" w:color="CC092F"/>
            </w:tcBorders>
            <w:shd w:val="clear" w:color="auto" w:fill="B8B8B8"/>
          </w:tcPr>
          <w:p>
            <w:pPr>
              <w:jc w:val="center"/>
              <w:ind w:left="101"/>
              <w:spacing w:after="0"/>
              <w:rPr>
                <w:sz w:val="20"/>
                <w:szCs w:val="20"/>
                <w:color w:val="auto"/>
              </w:rPr>
            </w:pPr>
            <w:r>
              <w:rPr>
                <w:rFonts w:ascii="Arial" w:cs="Arial" w:eastAsia="Arial" w:hAnsi="Arial"/>
                <w:sz w:val="16"/>
                <w:szCs w:val="16"/>
                <w:color w:val="FFFFFF"/>
                <w:w w:val="99"/>
              </w:rPr>
              <w:t>Achievement Factor</w:t>
            </w:r>
          </w:p>
        </w:tc>
      </w:tr>
      <w:tr>
        <w:trPr>
          <w:trHeight w:val="205"/>
        </w:trPr>
        <w:tc>
          <w:tcPr>
            <w:tcW w:w="4220" w:type="dxa"/>
            <w:vAlign w:val="bottom"/>
          </w:tcPr>
          <w:p>
            <w:pPr>
              <w:ind w:left="20"/>
              <w:spacing w:after="0"/>
              <w:rPr>
                <w:sz w:val="20"/>
                <w:szCs w:val="20"/>
                <w:color w:val="auto"/>
              </w:rPr>
            </w:pPr>
            <w:r>
              <w:rPr>
                <w:rFonts w:ascii="Arial" w:cs="Arial" w:eastAsia="Arial" w:hAnsi="Arial"/>
                <w:sz w:val="16"/>
                <w:szCs w:val="16"/>
                <w:color w:val="242424"/>
              </w:rPr>
              <w:t>Performance Periods 1, 2 and 3</w:t>
            </w:r>
          </w:p>
        </w:tc>
        <w:tc>
          <w:tcPr>
            <w:tcW w:w="6880" w:type="dxa"/>
            <w:vAlign w:val="bottom"/>
          </w:tcPr>
          <w:p>
            <w:pPr>
              <w:spacing w:after="0"/>
              <w:rPr>
                <w:sz w:val="17"/>
                <w:szCs w:val="17"/>
                <w:color w:val="auto"/>
              </w:rPr>
            </w:pPr>
          </w:p>
        </w:tc>
      </w:tr>
      <w:tr>
        <w:trPr>
          <w:trHeight w:val="215"/>
        </w:trPr>
        <w:tc>
          <w:tcPr>
            <w:tcW w:w="4220" w:type="dxa"/>
            <w:vAlign w:val="bottom"/>
            <w:shd w:val="clear" w:color="auto" w:fill="EAEAEA"/>
          </w:tcPr>
          <w:p>
            <w:pPr>
              <w:ind w:left="340"/>
              <w:spacing w:after="0"/>
              <w:rPr>
                <w:sz w:val="20"/>
                <w:szCs w:val="20"/>
                <w:color w:val="auto"/>
              </w:rPr>
            </w:pPr>
            <w:r>
              <w:rPr>
                <w:rFonts w:ascii="Arial" w:cs="Arial" w:eastAsia="Arial" w:hAnsi="Arial"/>
                <w:sz w:val="16"/>
                <w:szCs w:val="16"/>
                <w:color w:val="242424"/>
              </w:rPr>
              <w:t>At the 50th Percentile of the S&amp;P 500</w:t>
            </w:r>
          </w:p>
        </w:tc>
        <w:tc>
          <w:tcPr>
            <w:tcW w:w="6880" w:type="dxa"/>
            <w:vAlign w:val="bottom"/>
            <w:shd w:val="clear" w:color="auto" w:fill="EAEAEA"/>
          </w:tcPr>
          <w:p>
            <w:pPr>
              <w:jc w:val="center"/>
              <w:ind w:left="81"/>
              <w:spacing w:after="0"/>
              <w:rPr>
                <w:sz w:val="20"/>
                <w:szCs w:val="20"/>
                <w:color w:val="auto"/>
              </w:rPr>
            </w:pPr>
            <w:r>
              <w:rPr>
                <w:rFonts w:ascii="Arial" w:cs="Arial" w:eastAsia="Arial" w:hAnsi="Arial"/>
                <w:sz w:val="16"/>
                <w:szCs w:val="16"/>
                <w:color w:val="242424"/>
                <w:w w:val="89"/>
              </w:rPr>
              <w:t>1</w:t>
            </w:r>
          </w:p>
        </w:tc>
      </w:tr>
      <w:tr>
        <w:trPr>
          <w:trHeight w:val="209"/>
        </w:trPr>
        <w:tc>
          <w:tcPr>
            <w:tcW w:w="4220" w:type="dxa"/>
            <w:vAlign w:val="bottom"/>
          </w:tcPr>
          <w:p>
            <w:pPr>
              <w:ind w:left="340"/>
              <w:spacing w:after="0"/>
              <w:rPr>
                <w:sz w:val="20"/>
                <w:szCs w:val="20"/>
                <w:color w:val="auto"/>
              </w:rPr>
            </w:pPr>
            <w:r>
              <w:rPr>
                <w:rFonts w:ascii="Arial" w:cs="Arial" w:eastAsia="Arial" w:hAnsi="Arial"/>
                <w:sz w:val="16"/>
                <w:szCs w:val="16"/>
                <w:color w:val="242424"/>
              </w:rPr>
              <w:t>At the 25th Percentile of the S&amp;P 500</w:t>
            </w:r>
          </w:p>
        </w:tc>
        <w:tc>
          <w:tcPr>
            <w:tcW w:w="6880" w:type="dxa"/>
            <w:vAlign w:val="bottom"/>
          </w:tcPr>
          <w:p>
            <w:pPr>
              <w:jc w:val="center"/>
              <w:ind w:left="101"/>
              <w:spacing w:after="0"/>
              <w:rPr>
                <w:sz w:val="20"/>
                <w:szCs w:val="20"/>
                <w:color w:val="auto"/>
              </w:rPr>
            </w:pPr>
            <w:r>
              <w:rPr>
                <w:rFonts w:ascii="Arial" w:cs="Arial" w:eastAsia="Arial" w:hAnsi="Arial"/>
                <w:sz w:val="16"/>
                <w:szCs w:val="16"/>
                <w:color w:val="242424"/>
                <w:w w:val="98"/>
              </w:rPr>
              <w:t>0.5</w:t>
            </w:r>
          </w:p>
        </w:tc>
      </w:tr>
      <w:tr>
        <w:trPr>
          <w:trHeight w:val="215"/>
        </w:trPr>
        <w:tc>
          <w:tcPr>
            <w:tcW w:w="4220" w:type="dxa"/>
            <w:vAlign w:val="bottom"/>
            <w:shd w:val="clear" w:color="auto" w:fill="EAEAEA"/>
          </w:tcPr>
          <w:p>
            <w:pPr>
              <w:ind w:left="340"/>
              <w:spacing w:after="0"/>
              <w:rPr>
                <w:sz w:val="20"/>
                <w:szCs w:val="20"/>
                <w:color w:val="auto"/>
              </w:rPr>
            </w:pPr>
            <w:r>
              <w:rPr>
                <w:rFonts w:ascii="Arial" w:cs="Arial" w:eastAsia="Arial" w:hAnsi="Arial"/>
                <w:sz w:val="16"/>
                <w:szCs w:val="16"/>
                <w:color w:val="242424"/>
              </w:rPr>
              <w:t>Below the 25th Percentile of the S&amp;P 500</w:t>
            </w:r>
          </w:p>
        </w:tc>
        <w:tc>
          <w:tcPr>
            <w:tcW w:w="6880" w:type="dxa"/>
            <w:vAlign w:val="bottom"/>
            <w:shd w:val="clear" w:color="auto" w:fill="EAEAEA"/>
          </w:tcPr>
          <w:p>
            <w:pPr>
              <w:jc w:val="center"/>
              <w:ind w:left="81"/>
              <w:spacing w:after="0"/>
              <w:rPr>
                <w:sz w:val="20"/>
                <w:szCs w:val="20"/>
                <w:color w:val="auto"/>
              </w:rPr>
            </w:pPr>
            <w:r>
              <w:rPr>
                <w:rFonts w:ascii="Arial" w:cs="Arial" w:eastAsia="Arial" w:hAnsi="Arial"/>
                <w:sz w:val="16"/>
                <w:szCs w:val="16"/>
                <w:color w:val="242424"/>
                <w:w w:val="89"/>
              </w:rPr>
              <w:t>0</w:t>
            </w:r>
          </w:p>
        </w:tc>
      </w:tr>
      <w:tr>
        <w:trPr>
          <w:trHeight w:val="210"/>
        </w:trPr>
        <w:tc>
          <w:tcPr>
            <w:tcW w:w="4220" w:type="dxa"/>
            <w:vAlign w:val="bottom"/>
          </w:tcPr>
          <w:p>
            <w:pPr>
              <w:ind w:left="20"/>
              <w:spacing w:after="0"/>
              <w:rPr>
                <w:sz w:val="20"/>
                <w:szCs w:val="20"/>
                <w:color w:val="auto"/>
              </w:rPr>
            </w:pPr>
            <w:r>
              <w:rPr>
                <w:rFonts w:ascii="Arial" w:cs="Arial" w:eastAsia="Arial" w:hAnsi="Arial"/>
                <w:sz w:val="16"/>
                <w:szCs w:val="16"/>
                <w:color w:val="242424"/>
              </w:rPr>
              <w:t>Performance Period 4</w:t>
            </w:r>
          </w:p>
        </w:tc>
        <w:tc>
          <w:tcPr>
            <w:tcW w:w="6880" w:type="dxa"/>
            <w:vAlign w:val="bottom"/>
          </w:tcPr>
          <w:p>
            <w:pPr>
              <w:spacing w:after="0"/>
              <w:rPr>
                <w:sz w:val="18"/>
                <w:szCs w:val="18"/>
                <w:color w:val="auto"/>
              </w:rPr>
            </w:pPr>
          </w:p>
        </w:tc>
      </w:tr>
      <w:tr>
        <w:trPr>
          <w:trHeight w:val="177"/>
        </w:trPr>
        <w:tc>
          <w:tcPr>
            <w:tcW w:w="4220" w:type="dxa"/>
            <w:vAlign w:val="bottom"/>
            <w:shd w:val="clear" w:color="auto" w:fill="EAEAEA"/>
          </w:tcPr>
          <w:p>
            <w:pPr>
              <w:ind w:left="340"/>
              <w:spacing w:after="0" w:line="177" w:lineRule="exact"/>
              <w:rPr>
                <w:sz w:val="20"/>
                <w:szCs w:val="20"/>
                <w:color w:val="auto"/>
              </w:rPr>
            </w:pPr>
            <w:r>
              <w:rPr>
                <w:rFonts w:ascii="Arial" w:cs="Arial" w:eastAsia="Arial" w:hAnsi="Arial"/>
                <w:sz w:val="16"/>
                <w:szCs w:val="16"/>
                <w:color w:val="242424"/>
              </w:rPr>
              <w:t>At the 75th Percentile of the S&amp;P 500</w:t>
            </w:r>
          </w:p>
        </w:tc>
        <w:tc>
          <w:tcPr>
            <w:tcW w:w="6880" w:type="dxa"/>
            <w:vAlign w:val="bottom"/>
            <w:shd w:val="clear" w:color="auto" w:fill="EAEAEA"/>
          </w:tcPr>
          <w:p>
            <w:pPr>
              <w:jc w:val="center"/>
              <w:ind w:left="81"/>
              <w:spacing w:after="0" w:line="177" w:lineRule="exact"/>
              <w:rPr>
                <w:sz w:val="20"/>
                <w:szCs w:val="20"/>
                <w:color w:val="auto"/>
              </w:rPr>
            </w:pPr>
            <w:r>
              <w:rPr>
                <w:rFonts w:ascii="Arial" w:cs="Arial" w:eastAsia="Arial" w:hAnsi="Arial"/>
                <w:sz w:val="16"/>
                <w:szCs w:val="16"/>
                <w:color w:val="242424"/>
                <w:w w:val="99"/>
              </w:rPr>
              <w:t>Absolute TSR Negative = 4 less the Prior Achievement Sum</w:t>
            </w:r>
          </w:p>
        </w:tc>
      </w:tr>
      <w:tr>
        <w:trPr>
          <w:trHeight w:val="159"/>
        </w:trPr>
        <w:tc>
          <w:tcPr>
            <w:tcW w:w="4220" w:type="dxa"/>
            <w:vAlign w:val="bottom"/>
            <w:shd w:val="clear" w:color="auto" w:fill="EAEAEA"/>
          </w:tcPr>
          <w:p>
            <w:pPr>
              <w:spacing w:after="0"/>
              <w:rPr>
                <w:sz w:val="13"/>
                <w:szCs w:val="13"/>
                <w:color w:val="auto"/>
              </w:rPr>
            </w:pPr>
          </w:p>
        </w:tc>
        <w:tc>
          <w:tcPr>
            <w:tcW w:w="6880" w:type="dxa"/>
            <w:vAlign w:val="bottom"/>
            <w:shd w:val="clear" w:color="auto" w:fill="EAEAEA"/>
          </w:tcPr>
          <w:p>
            <w:pPr>
              <w:jc w:val="center"/>
              <w:ind w:left="61"/>
              <w:spacing w:after="0" w:line="159" w:lineRule="exact"/>
              <w:rPr>
                <w:sz w:val="20"/>
                <w:szCs w:val="20"/>
                <w:color w:val="auto"/>
              </w:rPr>
            </w:pPr>
            <w:r>
              <w:rPr>
                <w:rFonts w:ascii="Arial" w:cs="Arial" w:eastAsia="Arial" w:hAnsi="Arial"/>
                <w:sz w:val="16"/>
                <w:szCs w:val="16"/>
                <w:color w:val="242424"/>
                <w:w w:val="99"/>
              </w:rPr>
              <w:t>Absolute TSR Neutral or Positive = 8 less the Prior Achievement Sum</w:t>
            </w:r>
          </w:p>
        </w:tc>
      </w:tr>
      <w:tr>
        <w:trPr>
          <w:trHeight w:val="197"/>
        </w:trPr>
        <w:tc>
          <w:tcPr>
            <w:tcW w:w="4220" w:type="dxa"/>
            <w:vAlign w:val="bottom"/>
            <w:shd w:val="clear" w:color="auto" w:fill="EAEAEA"/>
          </w:tcPr>
          <w:p>
            <w:pPr>
              <w:spacing w:after="0"/>
              <w:rPr>
                <w:sz w:val="17"/>
                <w:szCs w:val="17"/>
                <w:color w:val="auto"/>
              </w:rPr>
            </w:pPr>
          </w:p>
        </w:tc>
        <w:tc>
          <w:tcPr>
            <w:tcW w:w="6880" w:type="dxa"/>
            <w:vAlign w:val="bottom"/>
            <w:shd w:val="clear" w:color="auto" w:fill="EAEAEA"/>
          </w:tcPr>
          <w:p>
            <w:pPr>
              <w:jc w:val="center"/>
              <w:ind w:left="101"/>
              <w:spacing w:after="0"/>
              <w:rPr>
                <w:sz w:val="20"/>
                <w:szCs w:val="20"/>
                <w:color w:val="auto"/>
              </w:rPr>
            </w:pPr>
            <w:r>
              <w:rPr>
                <w:rFonts w:ascii="Arial" w:cs="Arial" w:eastAsia="Arial" w:hAnsi="Arial"/>
                <w:sz w:val="16"/>
                <w:szCs w:val="16"/>
                <w:color w:val="242424"/>
                <w:w w:val="99"/>
              </w:rPr>
              <w:t>(not to exceed, in aggregate, 200% of the target number of shares)</w:t>
            </w:r>
          </w:p>
        </w:tc>
      </w:tr>
      <w:tr>
        <w:trPr>
          <w:trHeight w:val="210"/>
        </w:trPr>
        <w:tc>
          <w:tcPr>
            <w:tcW w:w="4220" w:type="dxa"/>
            <w:vAlign w:val="bottom"/>
          </w:tcPr>
          <w:p>
            <w:pPr>
              <w:ind w:left="340"/>
              <w:spacing w:after="0"/>
              <w:rPr>
                <w:sz w:val="20"/>
                <w:szCs w:val="20"/>
                <w:color w:val="auto"/>
              </w:rPr>
            </w:pPr>
            <w:r>
              <w:rPr>
                <w:rFonts w:ascii="Arial" w:cs="Arial" w:eastAsia="Arial" w:hAnsi="Arial"/>
                <w:sz w:val="16"/>
                <w:szCs w:val="16"/>
                <w:color w:val="242424"/>
              </w:rPr>
              <w:t>At the 50th Percentile of the S&amp;P 500</w:t>
            </w:r>
          </w:p>
        </w:tc>
        <w:tc>
          <w:tcPr>
            <w:tcW w:w="6880" w:type="dxa"/>
            <w:vAlign w:val="bottom"/>
          </w:tcPr>
          <w:p>
            <w:pPr>
              <w:jc w:val="center"/>
              <w:ind w:left="81"/>
              <w:spacing w:after="0"/>
              <w:rPr>
                <w:sz w:val="20"/>
                <w:szCs w:val="20"/>
                <w:color w:val="auto"/>
              </w:rPr>
            </w:pPr>
            <w:r>
              <w:rPr>
                <w:rFonts w:ascii="Arial" w:cs="Arial" w:eastAsia="Arial" w:hAnsi="Arial"/>
                <w:sz w:val="16"/>
                <w:szCs w:val="16"/>
                <w:color w:val="242424"/>
                <w:w w:val="99"/>
              </w:rPr>
              <w:t>4 less the Prior Achievement Sum</w:t>
            </w:r>
          </w:p>
        </w:tc>
      </w:tr>
      <w:tr>
        <w:trPr>
          <w:trHeight w:val="177"/>
        </w:trPr>
        <w:tc>
          <w:tcPr>
            <w:tcW w:w="4220" w:type="dxa"/>
            <w:vAlign w:val="bottom"/>
            <w:shd w:val="clear" w:color="auto" w:fill="EAEAEA"/>
          </w:tcPr>
          <w:p>
            <w:pPr>
              <w:ind w:left="340"/>
              <w:spacing w:after="0" w:line="177" w:lineRule="exact"/>
              <w:rPr>
                <w:sz w:val="20"/>
                <w:szCs w:val="20"/>
                <w:color w:val="auto"/>
              </w:rPr>
            </w:pPr>
            <w:r>
              <w:rPr>
                <w:rFonts w:ascii="Arial" w:cs="Arial" w:eastAsia="Arial" w:hAnsi="Arial"/>
                <w:sz w:val="16"/>
                <w:szCs w:val="16"/>
                <w:color w:val="242424"/>
              </w:rPr>
              <w:t>At the 25th Percentile of the S&amp;P 500</w:t>
            </w:r>
          </w:p>
        </w:tc>
        <w:tc>
          <w:tcPr>
            <w:tcW w:w="6880" w:type="dxa"/>
            <w:vAlign w:val="bottom"/>
            <w:shd w:val="clear" w:color="auto" w:fill="EAEAEA"/>
          </w:tcPr>
          <w:p>
            <w:pPr>
              <w:jc w:val="center"/>
              <w:ind w:left="101"/>
              <w:spacing w:after="0" w:line="177" w:lineRule="exact"/>
              <w:rPr>
                <w:sz w:val="20"/>
                <w:szCs w:val="20"/>
                <w:color w:val="auto"/>
              </w:rPr>
            </w:pPr>
            <w:r>
              <w:rPr>
                <w:rFonts w:ascii="Arial" w:cs="Arial" w:eastAsia="Arial" w:hAnsi="Arial"/>
                <w:sz w:val="16"/>
                <w:szCs w:val="16"/>
                <w:color w:val="242424"/>
                <w:w w:val="99"/>
              </w:rPr>
              <w:t>Prior Achievement Sum greater than or equal to 1.5=0.5</w:t>
            </w:r>
          </w:p>
        </w:tc>
      </w:tr>
      <w:tr>
        <w:trPr>
          <w:trHeight w:val="197"/>
        </w:trPr>
        <w:tc>
          <w:tcPr>
            <w:tcW w:w="4220" w:type="dxa"/>
            <w:vAlign w:val="bottom"/>
            <w:shd w:val="clear" w:color="auto" w:fill="EAEAEA"/>
          </w:tcPr>
          <w:p>
            <w:pPr>
              <w:spacing w:after="0"/>
              <w:rPr>
                <w:sz w:val="17"/>
                <w:szCs w:val="17"/>
                <w:color w:val="auto"/>
              </w:rPr>
            </w:pPr>
          </w:p>
        </w:tc>
        <w:tc>
          <w:tcPr>
            <w:tcW w:w="6880" w:type="dxa"/>
            <w:vAlign w:val="bottom"/>
            <w:shd w:val="clear" w:color="auto" w:fill="EAEAEA"/>
          </w:tcPr>
          <w:p>
            <w:pPr>
              <w:jc w:val="center"/>
              <w:ind w:left="101"/>
              <w:spacing w:after="0"/>
              <w:rPr>
                <w:sz w:val="20"/>
                <w:szCs w:val="20"/>
                <w:color w:val="auto"/>
              </w:rPr>
            </w:pPr>
            <w:r>
              <w:rPr>
                <w:rFonts w:ascii="Arial" w:cs="Arial" w:eastAsia="Arial" w:hAnsi="Arial"/>
                <w:sz w:val="16"/>
                <w:szCs w:val="16"/>
                <w:color w:val="242424"/>
                <w:w w:val="99"/>
              </w:rPr>
              <w:t>Prior Achievement Sum less than 1.5=2 less the Prior Achievement Sum</w:t>
            </w:r>
          </w:p>
        </w:tc>
      </w:tr>
      <w:tr>
        <w:trPr>
          <w:trHeight w:val="207"/>
        </w:trPr>
        <w:tc>
          <w:tcPr>
            <w:tcW w:w="4220" w:type="dxa"/>
            <w:vAlign w:val="bottom"/>
          </w:tcPr>
          <w:p>
            <w:pPr>
              <w:ind w:left="340"/>
              <w:spacing w:after="0"/>
              <w:rPr>
                <w:sz w:val="20"/>
                <w:szCs w:val="20"/>
                <w:color w:val="auto"/>
              </w:rPr>
            </w:pPr>
            <w:r>
              <w:rPr>
                <w:rFonts w:ascii="Arial" w:cs="Arial" w:eastAsia="Arial" w:hAnsi="Arial"/>
                <w:sz w:val="16"/>
                <w:szCs w:val="16"/>
                <w:color w:val="242424"/>
              </w:rPr>
              <w:t>Below the 25th Percentile of the S&amp;P 500</w:t>
            </w:r>
          </w:p>
        </w:tc>
        <w:tc>
          <w:tcPr>
            <w:tcW w:w="6880" w:type="dxa"/>
            <w:vAlign w:val="bottom"/>
          </w:tcPr>
          <w:p>
            <w:pPr>
              <w:jc w:val="center"/>
              <w:ind w:left="81"/>
              <w:spacing w:after="0"/>
              <w:rPr>
                <w:sz w:val="20"/>
                <w:szCs w:val="20"/>
                <w:color w:val="auto"/>
              </w:rPr>
            </w:pPr>
            <w:r>
              <w:rPr>
                <w:rFonts w:ascii="Arial" w:cs="Arial" w:eastAsia="Arial" w:hAnsi="Arial"/>
                <w:sz w:val="16"/>
                <w:szCs w:val="16"/>
                <w:color w:val="242424"/>
                <w:w w:val="89"/>
              </w:rPr>
              <w:t>0</w:t>
            </w:r>
          </w:p>
        </w:tc>
      </w:tr>
    </w:tbl>
    <w:p>
      <w:pPr>
        <w:spacing w:after="0" w:line="20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242424"/>
        </w:rPr>
        <w:t>The table below sets forth the Relative TSR attainment and the number of shares earned by Ms. Spears under the Spears Promotion PSUs for the performance period ending March 1, 2021, as determined by the Compensation Committee, which vested on the first anniversary of the grant date on December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3049905</wp:posOffset>
            </wp:positionH>
            <wp:positionV relativeFrom="paragraph">
              <wp:posOffset>30480</wp:posOffset>
            </wp:positionV>
            <wp:extent cx="2877185" cy="16154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77185" cy="161544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500" w:type="dxa"/>
            <w:vAlign w:val="bottom"/>
            <w:tcBorders>
              <w:top w:val="single" w:sz="8" w:color="CC092F"/>
            </w:tcBorders>
            <w:shd w:val="clear" w:color="auto" w:fill="B8B8B8"/>
          </w:tcPr>
          <w:p>
            <w:pPr>
              <w:ind w:left="20"/>
              <w:spacing w:after="0"/>
              <w:rPr>
                <w:sz w:val="20"/>
                <w:szCs w:val="20"/>
                <w:color w:val="auto"/>
              </w:rPr>
            </w:pPr>
            <w:r>
              <w:rPr>
                <w:rFonts w:ascii="Arial" w:cs="Arial" w:eastAsia="Arial" w:hAnsi="Arial"/>
                <w:sz w:val="14"/>
                <w:szCs w:val="14"/>
                <w:color w:val="FFFFFF"/>
              </w:rPr>
              <w:t>Performance Period</w:t>
            </w:r>
          </w:p>
        </w:tc>
        <w:tc>
          <w:tcPr>
            <w:tcW w:w="1160" w:type="dxa"/>
            <w:vAlign w:val="bottom"/>
            <w:tcBorders>
              <w:top w:val="single" w:sz="8" w:color="CC092F"/>
            </w:tcBorders>
            <w:shd w:val="clear" w:color="auto" w:fill="B8B8B8"/>
          </w:tcPr>
          <w:p>
            <w:pPr>
              <w:jc w:val="right"/>
              <w:ind w:right="169"/>
              <w:spacing w:after="0"/>
              <w:rPr>
                <w:sz w:val="20"/>
                <w:szCs w:val="20"/>
                <w:color w:val="auto"/>
              </w:rPr>
            </w:pPr>
            <w:r>
              <w:rPr>
                <w:rFonts w:ascii="Arial" w:cs="Arial" w:eastAsia="Arial" w:hAnsi="Arial"/>
                <w:sz w:val="14"/>
                <w:szCs w:val="14"/>
                <w:color w:val="FFFFFF"/>
              </w:rPr>
              <w:t>2020-2021</w:t>
            </w:r>
          </w:p>
        </w:tc>
      </w:tr>
      <w:tr>
        <w:trPr>
          <w:trHeight w:val="307"/>
        </w:trPr>
        <w:tc>
          <w:tcPr>
            <w:tcW w:w="2500" w:type="dxa"/>
            <w:vAlign w:val="bottom"/>
            <w:shd w:val="clear" w:color="auto" w:fill="B8B8B8"/>
          </w:tcPr>
          <w:p>
            <w:pPr>
              <w:ind w:left="20"/>
              <w:spacing w:after="0"/>
              <w:rPr>
                <w:sz w:val="20"/>
                <w:szCs w:val="20"/>
                <w:color w:val="auto"/>
              </w:rPr>
            </w:pPr>
            <w:r>
              <w:rPr>
                <w:rFonts w:ascii="Arial" w:cs="Arial" w:eastAsia="Arial" w:hAnsi="Arial"/>
                <w:sz w:val="14"/>
                <w:szCs w:val="14"/>
                <w:color w:val="FFFFFF"/>
              </w:rPr>
              <w:t>Relative TSR Attainment</w:t>
            </w:r>
          </w:p>
        </w:tc>
        <w:tc>
          <w:tcPr>
            <w:tcW w:w="1160" w:type="dxa"/>
            <w:vAlign w:val="bottom"/>
            <w:shd w:val="clear" w:color="auto" w:fill="B8B8B8"/>
          </w:tcPr>
          <w:p>
            <w:pPr>
              <w:jc w:val="center"/>
              <w:spacing w:after="0"/>
              <w:rPr>
                <w:sz w:val="20"/>
                <w:szCs w:val="20"/>
                <w:color w:val="auto"/>
              </w:rPr>
            </w:pPr>
            <w:r>
              <w:rPr>
                <w:rFonts w:ascii="Arial" w:cs="Arial" w:eastAsia="Arial" w:hAnsi="Arial"/>
                <w:sz w:val="14"/>
                <w:szCs w:val="14"/>
                <w:color w:val="FFFFFF"/>
                <w:w w:val="96"/>
              </w:rPr>
              <w:t>92</w:t>
            </w:r>
            <w:r>
              <w:rPr>
                <w:rFonts w:ascii="Arial" w:cs="Arial" w:eastAsia="Arial" w:hAnsi="Arial"/>
                <w:sz w:val="18"/>
                <w:szCs w:val="18"/>
                <w:color w:val="FFFFFF"/>
                <w:w w:val="96"/>
                <w:vertAlign w:val="superscript"/>
              </w:rPr>
              <w:t>nd</w:t>
            </w:r>
            <w:r>
              <w:rPr>
                <w:rFonts w:ascii="Arial" w:cs="Arial" w:eastAsia="Arial" w:hAnsi="Arial"/>
                <w:sz w:val="14"/>
                <w:szCs w:val="14"/>
                <w:color w:val="FFFFFF"/>
                <w:w w:val="96"/>
              </w:rPr>
              <w:t xml:space="preserve"> Percentile</w:t>
            </w:r>
          </w:p>
        </w:tc>
      </w:tr>
      <w:tr>
        <w:trPr>
          <w:trHeight w:val="209"/>
        </w:trPr>
        <w:tc>
          <w:tcPr>
            <w:tcW w:w="2500" w:type="dxa"/>
            <w:vAlign w:val="bottom"/>
            <w:shd w:val="clear" w:color="auto" w:fill="B8B8B8"/>
          </w:tcPr>
          <w:p>
            <w:pPr>
              <w:ind w:left="20"/>
              <w:spacing w:after="0"/>
              <w:rPr>
                <w:sz w:val="20"/>
                <w:szCs w:val="20"/>
                <w:color w:val="auto"/>
              </w:rPr>
            </w:pPr>
            <w:r>
              <w:rPr>
                <w:rFonts w:ascii="Arial" w:cs="Arial" w:eastAsia="Arial" w:hAnsi="Arial"/>
                <w:sz w:val="14"/>
                <w:szCs w:val="14"/>
                <w:color w:val="FFFFFF"/>
              </w:rPr>
              <w:t>Percentage of Target Shares Earned</w:t>
            </w:r>
          </w:p>
        </w:tc>
        <w:tc>
          <w:tcPr>
            <w:tcW w:w="1160" w:type="dxa"/>
            <w:vAlign w:val="bottom"/>
            <w:shd w:val="clear" w:color="auto" w:fill="B8B8B8"/>
          </w:tcPr>
          <w:p>
            <w:pPr>
              <w:jc w:val="right"/>
              <w:ind w:right="329"/>
              <w:spacing w:after="0"/>
              <w:rPr>
                <w:sz w:val="20"/>
                <w:szCs w:val="20"/>
                <w:color w:val="auto"/>
              </w:rPr>
            </w:pPr>
            <w:r>
              <w:rPr>
                <w:rFonts w:ascii="Arial" w:cs="Arial" w:eastAsia="Arial" w:hAnsi="Arial"/>
                <w:sz w:val="14"/>
                <w:szCs w:val="14"/>
                <w:color w:val="FFFFFF"/>
              </w:rPr>
              <w:t>100%</w:t>
            </w:r>
          </w:p>
        </w:tc>
      </w:tr>
      <w:tr>
        <w:trPr>
          <w:trHeight w:val="77"/>
        </w:trPr>
        <w:tc>
          <w:tcPr>
            <w:tcW w:w="2500" w:type="dxa"/>
            <w:vAlign w:val="bottom"/>
            <w:tcBorders>
              <w:bottom w:val="single" w:sz="8" w:color="CC092F"/>
            </w:tcBorders>
            <w:shd w:val="clear" w:color="auto" w:fill="B8B8B8"/>
          </w:tcPr>
          <w:p>
            <w:pPr>
              <w:spacing w:after="0"/>
              <w:rPr>
                <w:sz w:val="6"/>
                <w:szCs w:val="6"/>
                <w:color w:val="auto"/>
              </w:rPr>
            </w:pPr>
          </w:p>
        </w:tc>
        <w:tc>
          <w:tcPr>
            <w:tcW w:w="1160" w:type="dxa"/>
            <w:vAlign w:val="bottom"/>
            <w:tcBorders>
              <w:bottom w:val="single" w:sz="8" w:color="CC092F"/>
            </w:tcBorders>
            <w:shd w:val="clear" w:color="auto" w:fill="B8B8B8"/>
          </w:tcPr>
          <w:p>
            <w:pPr>
              <w:spacing w:after="0"/>
              <w:rPr>
                <w:sz w:val="6"/>
                <w:szCs w:val="6"/>
                <w:color w:val="auto"/>
              </w:rPr>
            </w:pPr>
          </w:p>
        </w:tc>
      </w:tr>
      <w:tr>
        <w:trPr>
          <w:trHeight w:val="181"/>
        </w:trPr>
        <w:tc>
          <w:tcPr>
            <w:tcW w:w="2500" w:type="dxa"/>
            <w:vAlign w:val="bottom"/>
          </w:tcPr>
          <w:p>
            <w:pPr>
              <w:ind w:left="20"/>
              <w:spacing w:after="0"/>
              <w:rPr>
                <w:sz w:val="20"/>
                <w:szCs w:val="20"/>
                <w:color w:val="auto"/>
              </w:rPr>
            </w:pPr>
            <w:r>
              <w:rPr>
                <w:rFonts w:ascii="Arial" w:cs="Arial" w:eastAsia="Arial" w:hAnsi="Arial"/>
                <w:sz w:val="14"/>
                <w:szCs w:val="14"/>
                <w:color w:val="242424"/>
              </w:rPr>
              <w:t>Shares earned</w:t>
            </w:r>
          </w:p>
        </w:tc>
        <w:tc>
          <w:tcPr>
            <w:tcW w:w="1160" w:type="dxa"/>
            <w:vAlign w:val="bottom"/>
          </w:tcPr>
          <w:p>
            <w:pPr>
              <w:jc w:val="center"/>
              <w:spacing w:after="0"/>
              <w:rPr>
                <w:sz w:val="20"/>
                <w:szCs w:val="20"/>
                <w:color w:val="auto"/>
              </w:rPr>
            </w:pPr>
            <w:r>
              <w:rPr>
                <w:rFonts w:ascii="Arial" w:cs="Arial" w:eastAsia="Arial" w:hAnsi="Arial"/>
                <w:sz w:val="14"/>
                <w:szCs w:val="14"/>
                <w:color w:val="242424"/>
                <w:w w:val="98"/>
              </w:rPr>
              <w:t>3,250 shares</w:t>
            </w:r>
          </w:p>
        </w:tc>
      </w:tr>
    </w:tbl>
    <w:p>
      <w:pPr>
        <w:spacing w:after="0" w:line="200" w:lineRule="exact"/>
        <w:rPr>
          <w:sz w:val="20"/>
          <w:szCs w:val="20"/>
          <w:color w:val="auto"/>
        </w:rPr>
      </w:pPr>
    </w:p>
    <w:p>
      <w:pPr>
        <w:sectPr>
          <w:pgSz w:w="11900" w:h="16838" w:orient="portrait"/>
          <w:cols w:equalWidth="0" w:num="1">
            <w:col w:w="11220"/>
          </w:cols>
          <w:pgMar w:left="320" w:top="1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6240"/>
        <w:spacing w:after="0"/>
        <w:rPr>
          <w:sz w:val="20"/>
          <w:szCs w:val="20"/>
          <w:color w:val="auto"/>
        </w:rPr>
      </w:pPr>
      <w:r>
        <w:rPr>
          <w:rFonts w:ascii="Arial" w:cs="Arial" w:eastAsia="Arial" w:hAnsi="Arial"/>
          <w:sz w:val="12"/>
          <w:szCs w:val="12"/>
          <w:b w:val="1"/>
          <w:bCs w:val="1"/>
          <w:color w:val="53565A"/>
        </w:rPr>
        <w:t>Achievement</w:t>
      </w:r>
    </w:p>
    <w:p>
      <w:pPr>
        <w:jc w:val="center"/>
        <w:ind w:left="6240"/>
        <w:spacing w:after="0"/>
        <w:rPr>
          <w:sz w:val="20"/>
          <w:szCs w:val="20"/>
          <w:color w:val="auto"/>
        </w:rPr>
      </w:pPr>
      <w:r>
        <w:rPr>
          <w:rFonts w:ascii="Arial" w:cs="Arial" w:eastAsia="Arial" w:hAnsi="Arial"/>
          <w:sz w:val="12"/>
          <w:szCs w:val="12"/>
          <w:b w:val="1"/>
          <w:bCs w:val="1"/>
          <w:color w:val="53565A"/>
        </w:rPr>
        <w:t>Factor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260"/>
        <w:spacing w:after="0"/>
        <w:rPr>
          <w:sz w:val="20"/>
          <w:szCs w:val="20"/>
          <w:color w:val="auto"/>
        </w:rPr>
      </w:pPr>
      <w:r>
        <w:rPr>
          <w:rFonts w:ascii="Arial" w:cs="Arial" w:eastAsia="Arial" w:hAnsi="Arial"/>
          <w:sz w:val="12"/>
          <w:szCs w:val="12"/>
          <w:b w:val="1"/>
          <w:bCs w:val="1"/>
          <w:color w:val="53565A"/>
        </w:rPr>
        <w:t>Performance Period</w:t>
      </w:r>
    </w:p>
    <w:p>
      <w:pPr>
        <w:spacing w:after="0" w:line="22" w:lineRule="exact"/>
        <w:rPr>
          <w:sz w:val="20"/>
          <w:szCs w:val="20"/>
          <w:color w:val="auto"/>
        </w:rPr>
      </w:pPr>
    </w:p>
    <w:p>
      <w:pPr>
        <w:jc w:val="center"/>
        <w:ind w:right="2260"/>
        <w:spacing w:after="0"/>
        <w:rPr>
          <w:sz w:val="20"/>
          <w:szCs w:val="20"/>
          <w:color w:val="auto"/>
        </w:rPr>
      </w:pPr>
      <w:r>
        <w:rPr>
          <w:rFonts w:ascii="Arial" w:cs="Arial" w:eastAsia="Arial" w:hAnsi="Arial"/>
          <w:sz w:val="12"/>
          <w:szCs w:val="12"/>
          <w:b w:val="1"/>
          <w:bCs w:val="1"/>
          <w:color w:val="53565A"/>
        </w:rPr>
        <w:t>Relative TSR Achieved</w:t>
      </w:r>
    </w:p>
    <w:p>
      <w:pPr>
        <w:spacing w:after="0" w:line="200" w:lineRule="exact"/>
        <w:rPr>
          <w:sz w:val="20"/>
          <w:szCs w:val="20"/>
          <w:color w:val="auto"/>
        </w:rPr>
      </w:pPr>
    </w:p>
    <w:p>
      <w:pPr>
        <w:sectPr>
          <w:pgSz w:w="11900" w:h="16838" w:orient="portrait"/>
          <w:cols w:equalWidth="0" w:num="2">
            <w:col w:w="7000" w:space="620"/>
            <w:col w:w="3600"/>
          </w:cols>
          <w:pgMar w:left="320" w:top="181" w:right="359" w:bottom="1440" w:gutter="0" w:footer="0" w:header="0"/>
          <w:type w:val="continuous"/>
        </w:sectPr>
      </w:pPr>
    </w:p>
    <w:p>
      <w:pPr>
        <w:spacing w:after="0" w:line="385"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39</w:t>
      </w:r>
    </w:p>
    <w:p>
      <w:pPr>
        <w:sectPr>
          <w:pgSz w:w="11900" w:h="16838" w:orient="portrait"/>
          <w:cols w:equalWidth="0" w:num="1">
            <w:col w:w="11220"/>
          </w:cols>
          <w:pgMar w:left="320" w:top="181" w:right="359" w:bottom="1440" w:gutter="0" w:footer="0" w:header="0"/>
          <w:type w:val="continuous"/>
        </w:sectPr>
      </w:pPr>
    </w:p>
    <w:bookmarkStart w:id="42" w:name="page43"/>
    <w:bookmarkEnd w:id="42"/>
    <w:p>
      <w:pPr>
        <w:ind w:left="20"/>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48" w:lineRule="auto"/>
        <w:rPr>
          <w:sz w:val="20"/>
          <w:szCs w:val="20"/>
          <w:color w:val="auto"/>
        </w:rPr>
      </w:pPr>
      <w:r>
        <w:rPr>
          <w:rFonts w:ascii="Arial" w:cs="Arial" w:eastAsia="Arial" w:hAnsi="Arial"/>
          <w:sz w:val="18"/>
          <w:szCs w:val="18"/>
          <w:color w:val="242424"/>
        </w:rPr>
        <w:t>For information about how the equity awards granted to our NEOs in Fiscal Year 2021 may accelerate in connection with certain terminations of their employment or a change in control of Broadcom, see “</w:t>
      </w:r>
      <w:r>
        <w:rPr>
          <w:rFonts w:ascii="Arial" w:cs="Arial" w:eastAsia="Arial" w:hAnsi="Arial"/>
          <w:sz w:val="18"/>
          <w:szCs w:val="18"/>
          <w:i w:val="1"/>
          <w:iCs w:val="1"/>
          <w:color w:val="242424"/>
        </w:rPr>
        <w:t>Executive Compensation – Severance and Change in Control Agreements with</w:t>
      </w:r>
      <w:r>
        <w:rPr>
          <w:rFonts w:ascii="Arial" w:cs="Arial" w:eastAsia="Arial" w:hAnsi="Arial"/>
          <w:sz w:val="18"/>
          <w:szCs w:val="18"/>
          <w:color w:val="242424"/>
        </w:rPr>
        <w:t xml:space="preserve"> </w:t>
      </w:r>
      <w:r>
        <w:rPr>
          <w:rFonts w:ascii="Arial" w:cs="Arial" w:eastAsia="Arial" w:hAnsi="Arial"/>
          <w:sz w:val="18"/>
          <w:szCs w:val="18"/>
          <w:i w:val="1"/>
          <w:iCs w:val="1"/>
          <w:color w:val="242424"/>
        </w:rPr>
        <w:t>Named Executive Officers; Death and Permanent Disability Policies; Retirement</w:t>
      </w:r>
      <w:r>
        <w:rPr>
          <w:rFonts w:ascii="Arial" w:cs="Arial" w:eastAsia="Arial" w:hAnsi="Arial"/>
          <w:sz w:val="18"/>
          <w:szCs w:val="18"/>
          <w:color w:val="242424"/>
        </w:rPr>
        <w:t>”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PSU Awards Earned for the 2017-2021, 2018-2021, 2019-2021 and 2020-2021 Performance Periods</w:t>
      </w:r>
    </w:p>
    <w:p>
      <w:pPr>
        <w:spacing w:after="0" w:line="18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242424"/>
        </w:rPr>
        <w:t>The PSU award granted to our CEO in Fiscal Year 2017 consisted of an aggregate of 168,000 shares, with the opportunity to earn up to 756,000 shares based on our Relative TSR and our absolute TSR, over two overlapping performance periods, consisting of one three-year performance period that ended in Fiscal Year 2020 (“Performance Period #1”) and one four-year performance period that ended in Fiscal Year 2021 (“Performance Period #2”). Following completion of each performance period, the independent directors confirmed the Relative TSR attained for the completed performance period and the shares earned under the PSU award. The table below sets forth the Relative TSR attainment and the number of shares earned by Mr. Tan under the PSU award for Performance Period #1 and Performance Period #2, as confirmed by the independent directors. Our absolute TSR was positive for both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3024505</wp:posOffset>
            </wp:positionH>
            <wp:positionV relativeFrom="paragraph">
              <wp:posOffset>33655</wp:posOffset>
            </wp:positionV>
            <wp:extent cx="3003550" cy="16154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03550" cy="161544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Borders>
              <w:top w:val="single" w:sz="8" w:color="CC092F"/>
            </w:tcBorders>
            <w:shd w:val="clear" w:color="auto" w:fill="B8B8B8"/>
          </w:tcPr>
          <w:p>
            <w:pPr>
              <w:ind w:left="20"/>
              <w:spacing w:after="0"/>
              <w:rPr>
                <w:sz w:val="20"/>
                <w:szCs w:val="20"/>
                <w:color w:val="auto"/>
              </w:rPr>
            </w:pPr>
            <w:r>
              <w:rPr>
                <w:rFonts w:ascii="Arial" w:cs="Arial" w:eastAsia="Arial" w:hAnsi="Arial"/>
                <w:sz w:val="14"/>
                <w:szCs w:val="14"/>
                <w:color w:val="FFFFFF"/>
              </w:rPr>
              <w:t>Performance Period</w:t>
            </w:r>
          </w:p>
        </w:tc>
        <w:tc>
          <w:tcPr>
            <w:tcW w:w="1160" w:type="dxa"/>
            <w:vAlign w:val="bottom"/>
            <w:tcBorders>
              <w:top w:val="single" w:sz="8" w:color="CC092F"/>
            </w:tcBorders>
            <w:shd w:val="clear" w:color="auto" w:fill="B8B8B8"/>
          </w:tcPr>
          <w:p>
            <w:pPr>
              <w:jc w:val="right"/>
              <w:ind w:right="169"/>
              <w:spacing w:after="0"/>
              <w:rPr>
                <w:sz w:val="20"/>
                <w:szCs w:val="20"/>
                <w:color w:val="auto"/>
              </w:rPr>
            </w:pPr>
            <w:r>
              <w:rPr>
                <w:rFonts w:ascii="Arial" w:cs="Arial" w:eastAsia="Arial" w:hAnsi="Arial"/>
                <w:sz w:val="14"/>
                <w:szCs w:val="14"/>
                <w:color w:val="FFFFFF"/>
              </w:rPr>
              <w:t>2017-2020</w:t>
            </w:r>
          </w:p>
        </w:tc>
        <w:tc>
          <w:tcPr>
            <w:tcW w:w="1180" w:type="dxa"/>
            <w:vAlign w:val="bottom"/>
            <w:tcBorders>
              <w:top w:val="single" w:sz="8" w:color="CC092F"/>
            </w:tcBorders>
            <w:shd w:val="clear" w:color="auto" w:fill="B8B8B8"/>
          </w:tcPr>
          <w:p>
            <w:pPr>
              <w:jc w:val="right"/>
              <w:ind w:right="169"/>
              <w:spacing w:after="0"/>
              <w:rPr>
                <w:sz w:val="20"/>
                <w:szCs w:val="20"/>
                <w:color w:val="auto"/>
              </w:rPr>
            </w:pPr>
            <w:r>
              <w:rPr>
                <w:rFonts w:ascii="Arial" w:cs="Arial" w:eastAsia="Arial" w:hAnsi="Arial"/>
                <w:sz w:val="14"/>
                <w:szCs w:val="14"/>
                <w:color w:val="FFFFFF"/>
              </w:rPr>
              <w:t>2017-2021</w:t>
            </w:r>
          </w:p>
        </w:tc>
      </w:tr>
      <w:tr>
        <w:trPr>
          <w:trHeight w:val="408"/>
        </w:trPr>
        <w:tc>
          <w:tcPr>
            <w:tcW w:w="2420" w:type="dxa"/>
            <w:vAlign w:val="bottom"/>
            <w:shd w:val="clear" w:color="auto" w:fill="B8B8B8"/>
          </w:tcPr>
          <w:p>
            <w:pPr>
              <w:ind w:left="20"/>
              <w:spacing w:after="0"/>
              <w:rPr>
                <w:sz w:val="20"/>
                <w:szCs w:val="20"/>
                <w:color w:val="auto"/>
              </w:rPr>
            </w:pPr>
            <w:r>
              <w:rPr>
                <w:rFonts w:ascii="Arial" w:cs="Arial" w:eastAsia="Arial" w:hAnsi="Arial"/>
                <w:sz w:val="14"/>
                <w:szCs w:val="14"/>
                <w:color w:val="FFFFFF"/>
              </w:rPr>
              <w:t>Relative TSR Attainment</w:t>
            </w:r>
          </w:p>
        </w:tc>
        <w:tc>
          <w:tcPr>
            <w:tcW w:w="1160" w:type="dxa"/>
            <w:vAlign w:val="bottom"/>
            <w:shd w:val="clear" w:color="auto" w:fill="B8B8B8"/>
          </w:tcPr>
          <w:p>
            <w:pPr>
              <w:jc w:val="center"/>
              <w:spacing w:after="0"/>
              <w:rPr>
                <w:sz w:val="20"/>
                <w:szCs w:val="20"/>
                <w:color w:val="auto"/>
              </w:rPr>
            </w:pPr>
            <w:r>
              <w:rPr>
                <w:rFonts w:ascii="Arial" w:cs="Arial" w:eastAsia="Arial" w:hAnsi="Arial"/>
                <w:sz w:val="14"/>
                <w:szCs w:val="14"/>
                <w:color w:val="FFFFFF"/>
                <w:w w:val="98"/>
              </w:rPr>
              <w:t>60</w:t>
            </w:r>
            <w:r>
              <w:rPr>
                <w:rFonts w:ascii="Arial" w:cs="Arial" w:eastAsia="Arial" w:hAnsi="Arial"/>
                <w:sz w:val="18"/>
                <w:szCs w:val="18"/>
                <w:color w:val="FFFFFF"/>
                <w:w w:val="98"/>
                <w:vertAlign w:val="superscript"/>
              </w:rPr>
              <w:t>th</w:t>
            </w:r>
            <w:r>
              <w:rPr>
                <w:rFonts w:ascii="Arial" w:cs="Arial" w:eastAsia="Arial" w:hAnsi="Arial"/>
                <w:sz w:val="14"/>
                <w:szCs w:val="14"/>
                <w:color w:val="FFFFFF"/>
                <w:w w:val="98"/>
              </w:rPr>
              <w:t xml:space="preserve"> Percentile</w:t>
            </w:r>
          </w:p>
        </w:tc>
        <w:tc>
          <w:tcPr>
            <w:tcW w:w="1180" w:type="dxa"/>
            <w:vAlign w:val="bottom"/>
            <w:shd w:val="clear" w:color="auto" w:fill="B8B8B8"/>
          </w:tcPr>
          <w:p>
            <w:pPr>
              <w:ind w:left="140"/>
              <w:spacing w:after="0"/>
              <w:rPr>
                <w:sz w:val="20"/>
                <w:szCs w:val="20"/>
                <w:color w:val="auto"/>
              </w:rPr>
            </w:pPr>
            <w:r>
              <w:rPr>
                <w:rFonts w:ascii="Arial" w:cs="Arial" w:eastAsia="Arial" w:hAnsi="Arial"/>
                <w:sz w:val="14"/>
                <w:szCs w:val="14"/>
                <w:color w:val="FFFFFF"/>
              </w:rPr>
              <w:t>76</w:t>
            </w:r>
            <w:r>
              <w:rPr>
                <w:rFonts w:ascii="Arial" w:cs="Arial" w:eastAsia="Arial" w:hAnsi="Arial"/>
                <w:sz w:val="18"/>
                <w:szCs w:val="18"/>
                <w:color w:val="FFFFFF"/>
                <w:vertAlign w:val="superscript"/>
              </w:rPr>
              <w:t>th</w:t>
            </w:r>
            <w:r>
              <w:rPr>
                <w:rFonts w:ascii="Arial" w:cs="Arial" w:eastAsia="Arial" w:hAnsi="Arial"/>
                <w:sz w:val="14"/>
                <w:szCs w:val="14"/>
                <w:color w:val="FFFFFF"/>
              </w:rPr>
              <w:t xml:space="preserve"> Percentile</w:t>
            </w:r>
          </w:p>
        </w:tc>
      </w:tr>
      <w:tr>
        <w:trPr>
          <w:trHeight w:val="270"/>
        </w:trPr>
        <w:tc>
          <w:tcPr>
            <w:tcW w:w="2420" w:type="dxa"/>
            <w:vAlign w:val="bottom"/>
            <w:tcBorders>
              <w:bottom w:val="single" w:sz="8" w:color="B8B8B8"/>
            </w:tcBorders>
            <w:shd w:val="clear" w:color="auto" w:fill="B8B8B8"/>
          </w:tcPr>
          <w:p>
            <w:pPr>
              <w:ind w:left="20"/>
              <w:spacing w:after="0"/>
              <w:rPr>
                <w:sz w:val="20"/>
                <w:szCs w:val="20"/>
                <w:color w:val="auto"/>
              </w:rPr>
            </w:pPr>
            <w:r>
              <w:rPr>
                <w:rFonts w:ascii="Arial" w:cs="Arial" w:eastAsia="Arial" w:hAnsi="Arial"/>
                <w:sz w:val="14"/>
                <w:szCs w:val="14"/>
                <w:color w:val="FFFFFF"/>
              </w:rPr>
              <w:t>Percentage of Target Shares Earned</w:t>
            </w:r>
          </w:p>
        </w:tc>
        <w:tc>
          <w:tcPr>
            <w:tcW w:w="1160" w:type="dxa"/>
            <w:vAlign w:val="bottom"/>
            <w:tcBorders>
              <w:bottom w:val="single" w:sz="8" w:color="B8B8B8"/>
            </w:tcBorders>
            <w:shd w:val="clear" w:color="auto" w:fill="B8B8B8"/>
          </w:tcPr>
          <w:p>
            <w:pPr>
              <w:jc w:val="right"/>
              <w:ind w:right="229"/>
              <w:spacing w:after="0"/>
              <w:rPr>
                <w:sz w:val="20"/>
                <w:szCs w:val="20"/>
                <w:color w:val="auto"/>
              </w:rPr>
            </w:pPr>
            <w:r>
              <w:rPr>
                <w:rFonts w:ascii="Arial" w:cs="Arial" w:eastAsia="Arial" w:hAnsi="Arial"/>
                <w:sz w:val="14"/>
                <w:szCs w:val="14"/>
                <w:color w:val="FFFFFF"/>
              </w:rPr>
              <w:t>181.95%</w:t>
            </w:r>
          </w:p>
        </w:tc>
        <w:tc>
          <w:tcPr>
            <w:tcW w:w="1180" w:type="dxa"/>
            <w:vAlign w:val="bottom"/>
            <w:tcBorders>
              <w:bottom w:val="single" w:sz="8" w:color="B8B8B8"/>
            </w:tcBorders>
            <w:shd w:val="clear" w:color="auto" w:fill="B8B8B8"/>
          </w:tcPr>
          <w:p>
            <w:pPr>
              <w:jc w:val="right"/>
              <w:ind w:right="229"/>
              <w:spacing w:after="0"/>
              <w:rPr>
                <w:sz w:val="20"/>
                <w:szCs w:val="20"/>
                <w:color w:val="auto"/>
              </w:rPr>
            </w:pPr>
            <w:r>
              <w:rPr>
                <w:rFonts w:ascii="Arial" w:cs="Arial" w:eastAsia="Arial" w:hAnsi="Arial"/>
                <w:sz w:val="14"/>
                <w:szCs w:val="14"/>
                <w:color w:val="FFFFFF"/>
              </w:rPr>
              <w:t>307.64%</w:t>
            </w:r>
          </w:p>
        </w:tc>
      </w:tr>
      <w:tr>
        <w:trPr>
          <w:trHeight w:val="194"/>
        </w:trPr>
        <w:tc>
          <w:tcPr>
            <w:tcW w:w="2420" w:type="dxa"/>
            <w:vAlign w:val="bottom"/>
            <w:tcBorders>
              <w:top w:val="single" w:sz="8" w:color="CC092F"/>
            </w:tcBorders>
          </w:tcPr>
          <w:p>
            <w:pPr>
              <w:ind w:left="20"/>
              <w:spacing w:after="0"/>
              <w:rPr>
                <w:sz w:val="20"/>
                <w:szCs w:val="20"/>
                <w:color w:val="auto"/>
              </w:rPr>
            </w:pPr>
            <w:r>
              <w:rPr>
                <w:rFonts w:ascii="Arial" w:cs="Arial" w:eastAsia="Arial" w:hAnsi="Arial"/>
                <w:sz w:val="14"/>
                <w:szCs w:val="14"/>
                <w:color w:val="242424"/>
              </w:rPr>
              <w:t>Shares Earned</w:t>
            </w:r>
          </w:p>
        </w:tc>
        <w:tc>
          <w:tcPr>
            <w:tcW w:w="1160" w:type="dxa"/>
            <w:vAlign w:val="bottom"/>
            <w:tcBorders>
              <w:top w:val="single" w:sz="8" w:color="CC092F"/>
            </w:tcBorders>
          </w:tcPr>
          <w:p>
            <w:pPr>
              <w:jc w:val="center"/>
              <w:spacing w:after="0"/>
              <w:rPr>
                <w:sz w:val="20"/>
                <w:szCs w:val="20"/>
                <w:color w:val="auto"/>
              </w:rPr>
            </w:pPr>
            <w:r>
              <w:rPr>
                <w:rFonts w:ascii="Arial" w:cs="Arial" w:eastAsia="Arial" w:hAnsi="Arial"/>
                <w:sz w:val="14"/>
                <w:szCs w:val="14"/>
                <w:color w:val="242424"/>
                <w:w w:val="99"/>
              </w:rPr>
              <w:t>152,838 shares</w:t>
            </w:r>
          </w:p>
        </w:tc>
        <w:tc>
          <w:tcPr>
            <w:tcW w:w="1180" w:type="dxa"/>
            <w:vAlign w:val="bottom"/>
            <w:tcBorders>
              <w:top w:val="single" w:sz="8" w:color="CC092F"/>
            </w:tcBorders>
          </w:tcPr>
          <w:p>
            <w:pPr>
              <w:ind w:left="20"/>
              <w:spacing w:after="0"/>
              <w:rPr>
                <w:sz w:val="20"/>
                <w:szCs w:val="20"/>
                <w:color w:val="auto"/>
              </w:rPr>
            </w:pPr>
            <w:r>
              <w:rPr>
                <w:rFonts w:ascii="Arial" w:cs="Arial" w:eastAsia="Arial" w:hAnsi="Arial"/>
                <w:sz w:val="14"/>
                <w:szCs w:val="14"/>
                <w:color w:val="242424"/>
              </w:rPr>
              <w:t>363,996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220" w:type="dxa"/>
        <w:tblCellMar>
          <w:top w:w="0" w:type="dxa"/>
          <w:left w:w="0" w:type="dxa"/>
          <w:bottom w:w="0" w:type="dxa"/>
          <w:right w:w="0" w:type="dxa"/>
        </w:tblCellMar>
      </w:tblPr>
      <w:tr>
        <w:trPr>
          <w:trHeight w:val="139"/>
        </w:trPr>
        <w:tc>
          <w:tcPr>
            <w:tcW w:w="1240" w:type="dxa"/>
            <w:vAlign w:val="bottom"/>
          </w:tcPr>
          <w:p>
            <w:pPr>
              <w:ind w:left="80"/>
              <w:spacing w:after="0"/>
              <w:rPr>
                <w:sz w:val="20"/>
                <w:szCs w:val="20"/>
                <w:color w:val="auto"/>
              </w:rPr>
            </w:pPr>
            <w:r>
              <w:rPr>
                <w:rFonts w:ascii="Arial" w:cs="Arial" w:eastAsia="Arial" w:hAnsi="Arial"/>
                <w:sz w:val="12"/>
                <w:szCs w:val="12"/>
                <w:b w:val="1"/>
                <w:bCs w:val="1"/>
                <w:color w:val="53565A"/>
              </w:rPr>
              <w:t>Percent of</w:t>
            </w:r>
          </w:p>
        </w:tc>
        <w:tc>
          <w:tcPr>
            <w:tcW w:w="1760" w:type="dxa"/>
            <w:vAlign w:val="bottom"/>
          </w:tcPr>
          <w:p>
            <w:pPr>
              <w:jc w:val="center"/>
              <w:ind w:left="358"/>
              <w:spacing w:after="0"/>
              <w:rPr>
                <w:sz w:val="20"/>
                <w:szCs w:val="20"/>
                <w:color w:val="auto"/>
              </w:rPr>
            </w:pPr>
            <w:r>
              <w:rPr>
                <w:rFonts w:ascii="Arial" w:cs="Arial" w:eastAsia="Arial" w:hAnsi="Arial"/>
                <w:sz w:val="12"/>
                <w:szCs w:val="12"/>
                <w:b w:val="1"/>
                <w:bCs w:val="1"/>
                <w:color w:val="53565A"/>
              </w:rPr>
              <w:t>Performance Period</w:t>
            </w:r>
          </w:p>
        </w:tc>
      </w:tr>
      <w:tr>
        <w:trPr>
          <w:trHeight w:val="182"/>
        </w:trPr>
        <w:tc>
          <w:tcPr>
            <w:tcW w:w="1240" w:type="dxa"/>
            <w:vAlign w:val="bottom"/>
          </w:tcPr>
          <w:p>
            <w:pPr>
              <w:spacing w:after="0"/>
              <w:rPr>
                <w:sz w:val="20"/>
                <w:szCs w:val="20"/>
                <w:color w:val="auto"/>
              </w:rPr>
            </w:pPr>
            <w:r>
              <w:rPr>
                <w:rFonts w:ascii="Arial" w:cs="Arial" w:eastAsia="Arial" w:hAnsi="Arial"/>
                <w:sz w:val="12"/>
                <w:szCs w:val="12"/>
                <w:b w:val="1"/>
                <w:bCs w:val="1"/>
                <w:color w:val="53565A"/>
              </w:rPr>
              <w:t>Target Shares</w:t>
            </w:r>
          </w:p>
        </w:tc>
        <w:tc>
          <w:tcPr>
            <w:tcW w:w="1760" w:type="dxa"/>
            <w:vAlign w:val="bottom"/>
          </w:tcPr>
          <w:p>
            <w:pPr>
              <w:jc w:val="center"/>
              <w:ind w:left="358"/>
              <w:spacing w:after="0"/>
              <w:rPr>
                <w:sz w:val="20"/>
                <w:szCs w:val="20"/>
                <w:color w:val="auto"/>
              </w:rPr>
            </w:pPr>
            <w:r>
              <w:rPr>
                <w:rFonts w:ascii="Arial" w:cs="Arial" w:eastAsia="Arial" w:hAnsi="Arial"/>
                <w:sz w:val="12"/>
                <w:szCs w:val="12"/>
                <w:b w:val="1"/>
                <w:bCs w:val="1"/>
                <w:color w:val="53565A"/>
              </w:rPr>
              <w:t>Relative TSR Achieved</w:t>
            </w:r>
          </w:p>
        </w:tc>
      </w:tr>
    </w:tbl>
    <w:p>
      <w:pPr>
        <w:spacing w:after="0" w:line="268"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242424"/>
        </w:rPr>
        <w:t>The PSU awards granted to our NEOs (other than our CEO) in Fiscal Years 2017, 2018 and 2019 are subject to four overlapping performance periods. Following completion of each performance period, the Compensation Committee confirms the Relative TSR attained, and the shares earned under the applicable PSU award pursuant to the following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-2540</wp:posOffset>
            </wp:positionV>
            <wp:extent cx="2524125" cy="622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24125" cy="62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color w:val="242424"/>
        </w:rPr>
        <w:t>The Fiscal Year 2017 PSU awards were subject to four overlapping performance periods that ended on each March 14th of 2018, 2019, 2020 and 2021. The table below sets forth the Relative TSR attainment and the number of shares earned under the PSU award for each completed performance period, as confirmed by the Compensation Committee. Our absolute TSR was positive for the fourth performance period.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40" w:type="dxa"/>
            <w:vAlign w:val="bottom"/>
            <w:tcBorders>
              <w:top w:val="single" w:sz="8" w:color="CC092F"/>
            </w:tcBorders>
            <w:shd w:val="clear" w:color="auto" w:fill="B8B8B8"/>
          </w:tcPr>
          <w:p>
            <w:pPr>
              <w:ind w:left="20"/>
              <w:spacing w:after="0"/>
              <w:rPr>
                <w:sz w:val="20"/>
                <w:szCs w:val="20"/>
                <w:color w:val="auto"/>
              </w:rPr>
            </w:pPr>
            <w:r>
              <w:rPr>
                <w:rFonts w:ascii="Arial" w:cs="Arial" w:eastAsia="Arial" w:hAnsi="Arial"/>
                <w:sz w:val="14"/>
                <w:szCs w:val="14"/>
                <w:color w:val="FFFFFF"/>
              </w:rPr>
              <w:t>Performance Period</w:t>
            </w:r>
          </w:p>
        </w:tc>
        <w:tc>
          <w:tcPr>
            <w:tcW w:w="1040" w:type="dxa"/>
            <w:vAlign w:val="bottom"/>
            <w:tcBorders>
              <w:top w:val="single" w:sz="8" w:color="CC092F"/>
            </w:tcBorders>
            <w:shd w:val="clear" w:color="auto" w:fill="B8B8B8"/>
          </w:tcPr>
          <w:p>
            <w:pPr>
              <w:jc w:val="right"/>
              <w:ind w:right="109"/>
              <w:spacing w:after="0"/>
              <w:rPr>
                <w:sz w:val="20"/>
                <w:szCs w:val="20"/>
                <w:color w:val="auto"/>
              </w:rPr>
            </w:pPr>
            <w:r>
              <w:rPr>
                <w:rFonts w:ascii="Arial" w:cs="Arial" w:eastAsia="Arial" w:hAnsi="Arial"/>
                <w:sz w:val="14"/>
                <w:szCs w:val="14"/>
                <w:color w:val="FFFFFF"/>
              </w:rPr>
              <w:t>2017-2018</w:t>
            </w:r>
          </w:p>
        </w:tc>
        <w:tc>
          <w:tcPr>
            <w:tcW w:w="1060" w:type="dxa"/>
            <w:vAlign w:val="bottom"/>
            <w:tcBorders>
              <w:top w:val="single" w:sz="8" w:color="CC092F"/>
            </w:tcBorders>
            <w:shd w:val="clear" w:color="auto" w:fill="B8B8B8"/>
          </w:tcPr>
          <w:p>
            <w:pPr>
              <w:jc w:val="right"/>
              <w:ind w:right="129"/>
              <w:spacing w:after="0"/>
              <w:rPr>
                <w:sz w:val="20"/>
                <w:szCs w:val="20"/>
                <w:color w:val="auto"/>
              </w:rPr>
            </w:pPr>
            <w:r>
              <w:rPr>
                <w:rFonts w:ascii="Arial" w:cs="Arial" w:eastAsia="Arial" w:hAnsi="Arial"/>
                <w:sz w:val="14"/>
                <w:szCs w:val="14"/>
                <w:color w:val="FFFFFF"/>
              </w:rPr>
              <w:t>2017-2019</w:t>
            </w:r>
          </w:p>
        </w:tc>
        <w:tc>
          <w:tcPr>
            <w:tcW w:w="1100" w:type="dxa"/>
            <w:vAlign w:val="bottom"/>
            <w:tcBorders>
              <w:top w:val="single" w:sz="8" w:color="CC092F"/>
            </w:tcBorders>
            <w:shd w:val="clear" w:color="auto" w:fill="B8B8B8"/>
          </w:tcPr>
          <w:p>
            <w:pPr>
              <w:jc w:val="right"/>
              <w:ind w:right="149"/>
              <w:spacing w:after="0"/>
              <w:rPr>
                <w:sz w:val="20"/>
                <w:szCs w:val="20"/>
                <w:color w:val="auto"/>
              </w:rPr>
            </w:pPr>
            <w:r>
              <w:rPr>
                <w:rFonts w:ascii="Arial" w:cs="Arial" w:eastAsia="Arial" w:hAnsi="Arial"/>
                <w:sz w:val="14"/>
                <w:szCs w:val="14"/>
                <w:color w:val="FFFFFF"/>
              </w:rPr>
              <w:t>2017-2020</w:t>
            </w:r>
          </w:p>
        </w:tc>
        <w:tc>
          <w:tcPr>
            <w:tcW w:w="1120" w:type="dxa"/>
            <w:vAlign w:val="bottom"/>
            <w:tcBorders>
              <w:top w:val="single" w:sz="8" w:color="CC092F"/>
            </w:tcBorders>
            <w:shd w:val="clear" w:color="auto" w:fill="B8B8B8"/>
          </w:tcPr>
          <w:p>
            <w:pPr>
              <w:jc w:val="right"/>
              <w:ind w:right="149"/>
              <w:spacing w:after="0"/>
              <w:rPr>
                <w:sz w:val="20"/>
                <w:szCs w:val="20"/>
                <w:color w:val="auto"/>
              </w:rPr>
            </w:pPr>
            <w:r>
              <w:rPr>
                <w:rFonts w:ascii="Arial" w:cs="Arial" w:eastAsia="Arial" w:hAnsi="Arial"/>
                <w:sz w:val="14"/>
                <w:szCs w:val="14"/>
                <w:color w:val="FFFFFF"/>
              </w:rPr>
              <w:t>2017-2021</w:t>
            </w:r>
          </w:p>
        </w:tc>
      </w:tr>
      <w:tr>
        <w:trPr>
          <w:trHeight w:val="382"/>
        </w:trPr>
        <w:tc>
          <w:tcPr>
            <w:tcW w:w="1840" w:type="dxa"/>
            <w:vAlign w:val="bottom"/>
            <w:shd w:val="clear" w:color="auto" w:fill="B8B8B8"/>
          </w:tcPr>
          <w:p>
            <w:pPr>
              <w:ind w:left="20"/>
              <w:spacing w:after="0"/>
              <w:rPr>
                <w:sz w:val="20"/>
                <w:szCs w:val="20"/>
                <w:color w:val="auto"/>
              </w:rPr>
            </w:pPr>
            <w:r>
              <w:rPr>
                <w:rFonts w:ascii="Arial" w:cs="Arial" w:eastAsia="Arial" w:hAnsi="Arial"/>
                <w:sz w:val="14"/>
                <w:szCs w:val="14"/>
                <w:color w:val="FFFFFF"/>
              </w:rPr>
              <w:t>Relative TSR Attainment</w:t>
            </w:r>
          </w:p>
        </w:tc>
        <w:tc>
          <w:tcPr>
            <w:tcW w:w="1040" w:type="dxa"/>
            <w:vAlign w:val="bottom"/>
            <w:shd w:val="clear" w:color="auto" w:fill="B8B8B8"/>
          </w:tcPr>
          <w:p>
            <w:pPr>
              <w:jc w:val="center"/>
              <w:spacing w:after="0"/>
              <w:rPr>
                <w:sz w:val="20"/>
                <w:szCs w:val="20"/>
                <w:color w:val="auto"/>
              </w:rPr>
            </w:pPr>
            <w:r>
              <w:rPr>
                <w:rFonts w:ascii="Arial" w:cs="Arial" w:eastAsia="Arial" w:hAnsi="Arial"/>
                <w:sz w:val="14"/>
                <w:szCs w:val="14"/>
                <w:color w:val="FFFFFF"/>
                <w:w w:val="98"/>
              </w:rPr>
              <w:t>57</w:t>
            </w:r>
            <w:r>
              <w:rPr>
                <w:rFonts w:ascii="Arial" w:cs="Arial" w:eastAsia="Arial" w:hAnsi="Arial"/>
                <w:sz w:val="18"/>
                <w:szCs w:val="18"/>
                <w:color w:val="FFFFFF"/>
                <w:w w:val="98"/>
                <w:vertAlign w:val="superscript"/>
              </w:rPr>
              <w:t>th</w:t>
            </w:r>
            <w:r>
              <w:rPr>
                <w:rFonts w:ascii="Arial" w:cs="Arial" w:eastAsia="Arial" w:hAnsi="Arial"/>
                <w:sz w:val="14"/>
                <w:szCs w:val="14"/>
                <w:color w:val="FFFFFF"/>
                <w:w w:val="98"/>
              </w:rPr>
              <w:t xml:space="preserve"> Percentile</w:t>
            </w:r>
          </w:p>
        </w:tc>
        <w:tc>
          <w:tcPr>
            <w:tcW w:w="1060" w:type="dxa"/>
            <w:vAlign w:val="bottom"/>
            <w:shd w:val="clear" w:color="auto" w:fill="B8B8B8"/>
          </w:tcPr>
          <w:p>
            <w:pPr>
              <w:jc w:val="center"/>
              <w:spacing w:after="0"/>
              <w:rPr>
                <w:sz w:val="20"/>
                <w:szCs w:val="20"/>
                <w:color w:val="auto"/>
              </w:rPr>
            </w:pPr>
            <w:r>
              <w:rPr>
                <w:rFonts w:ascii="Arial" w:cs="Arial" w:eastAsia="Arial" w:hAnsi="Arial"/>
                <w:sz w:val="14"/>
                <w:szCs w:val="14"/>
                <w:color w:val="FFFFFF"/>
                <w:w w:val="98"/>
              </w:rPr>
              <w:t>67</w:t>
            </w:r>
            <w:r>
              <w:rPr>
                <w:rFonts w:ascii="Arial" w:cs="Arial" w:eastAsia="Arial" w:hAnsi="Arial"/>
                <w:sz w:val="18"/>
                <w:szCs w:val="18"/>
                <w:color w:val="FFFFFF"/>
                <w:w w:val="98"/>
                <w:vertAlign w:val="superscript"/>
              </w:rPr>
              <w:t>th</w:t>
            </w:r>
            <w:r>
              <w:rPr>
                <w:rFonts w:ascii="Arial" w:cs="Arial" w:eastAsia="Arial" w:hAnsi="Arial"/>
                <w:sz w:val="14"/>
                <w:szCs w:val="14"/>
                <w:color w:val="FFFFFF"/>
                <w:w w:val="98"/>
              </w:rPr>
              <w:t xml:space="preserve"> Percentile</w:t>
            </w:r>
          </w:p>
        </w:tc>
        <w:tc>
          <w:tcPr>
            <w:tcW w:w="1100" w:type="dxa"/>
            <w:vAlign w:val="bottom"/>
            <w:shd w:val="clear" w:color="auto" w:fill="B8B8B8"/>
          </w:tcPr>
          <w:p>
            <w:pPr>
              <w:jc w:val="center"/>
              <w:spacing w:after="0"/>
              <w:rPr>
                <w:sz w:val="20"/>
                <w:szCs w:val="20"/>
                <w:color w:val="auto"/>
              </w:rPr>
            </w:pPr>
            <w:r>
              <w:rPr>
                <w:rFonts w:ascii="Arial" w:cs="Arial" w:eastAsia="Arial" w:hAnsi="Arial"/>
                <w:sz w:val="14"/>
                <w:szCs w:val="14"/>
                <w:color w:val="FFFFFF"/>
                <w:w w:val="98"/>
              </w:rPr>
              <w:t>59</w:t>
            </w:r>
            <w:r>
              <w:rPr>
                <w:rFonts w:ascii="Arial" w:cs="Arial" w:eastAsia="Arial" w:hAnsi="Arial"/>
                <w:sz w:val="18"/>
                <w:szCs w:val="18"/>
                <w:color w:val="FFFFFF"/>
                <w:w w:val="98"/>
                <w:vertAlign w:val="superscript"/>
              </w:rPr>
              <w:t>th</w:t>
            </w:r>
            <w:r>
              <w:rPr>
                <w:rFonts w:ascii="Arial" w:cs="Arial" w:eastAsia="Arial" w:hAnsi="Arial"/>
                <w:sz w:val="14"/>
                <w:szCs w:val="14"/>
                <w:color w:val="FFFFFF"/>
                <w:w w:val="98"/>
              </w:rPr>
              <w:t xml:space="preserve"> Percentile</w:t>
            </w:r>
          </w:p>
        </w:tc>
        <w:tc>
          <w:tcPr>
            <w:tcW w:w="1120" w:type="dxa"/>
            <w:vAlign w:val="bottom"/>
            <w:shd w:val="clear" w:color="auto" w:fill="B8B8B8"/>
          </w:tcPr>
          <w:p>
            <w:pPr>
              <w:ind w:left="120"/>
              <w:spacing w:after="0"/>
              <w:rPr>
                <w:sz w:val="20"/>
                <w:szCs w:val="20"/>
                <w:color w:val="auto"/>
              </w:rPr>
            </w:pPr>
            <w:r>
              <w:rPr>
                <w:rFonts w:ascii="Arial" w:cs="Arial" w:eastAsia="Arial" w:hAnsi="Arial"/>
                <w:sz w:val="14"/>
                <w:szCs w:val="14"/>
                <w:color w:val="FFFFFF"/>
              </w:rPr>
              <w:t>83</w:t>
            </w:r>
            <w:r>
              <w:rPr>
                <w:rFonts w:ascii="Arial" w:cs="Arial" w:eastAsia="Arial" w:hAnsi="Arial"/>
                <w:sz w:val="18"/>
                <w:szCs w:val="18"/>
                <w:color w:val="FFFFFF"/>
                <w:vertAlign w:val="superscript"/>
              </w:rPr>
              <w:t>rd</w:t>
            </w:r>
            <w:r>
              <w:rPr>
                <w:rFonts w:ascii="Arial" w:cs="Arial" w:eastAsia="Arial" w:hAnsi="Arial"/>
                <w:sz w:val="14"/>
                <w:szCs w:val="14"/>
                <w:color w:val="FFFFFF"/>
              </w:rPr>
              <w:t xml:space="preserve"> Percentile</w:t>
            </w:r>
          </w:p>
        </w:tc>
      </w:tr>
      <w:tr>
        <w:trPr>
          <w:trHeight w:val="150"/>
        </w:trPr>
        <w:tc>
          <w:tcPr>
            <w:tcW w:w="1840" w:type="dxa"/>
            <w:vAlign w:val="bottom"/>
            <w:shd w:val="clear" w:color="auto" w:fill="B8B8B8"/>
          </w:tcPr>
          <w:p>
            <w:pPr>
              <w:ind w:left="20"/>
              <w:spacing w:after="0" w:line="151" w:lineRule="exact"/>
              <w:rPr>
                <w:sz w:val="20"/>
                <w:szCs w:val="20"/>
                <w:color w:val="auto"/>
              </w:rPr>
            </w:pPr>
            <w:r>
              <w:rPr>
                <w:rFonts w:ascii="Arial" w:cs="Arial" w:eastAsia="Arial" w:hAnsi="Arial"/>
                <w:sz w:val="14"/>
                <w:szCs w:val="14"/>
                <w:color w:val="FFFFFF"/>
              </w:rPr>
              <w:t>Percentage of Target Shares</w:t>
            </w:r>
          </w:p>
        </w:tc>
        <w:tc>
          <w:tcPr>
            <w:tcW w:w="1040" w:type="dxa"/>
            <w:vAlign w:val="bottom"/>
            <w:shd w:val="clear" w:color="auto" w:fill="B8B8B8"/>
          </w:tcPr>
          <w:p>
            <w:pPr>
              <w:jc w:val="right"/>
              <w:ind w:right="269"/>
              <w:spacing w:after="0" w:line="151" w:lineRule="exact"/>
              <w:rPr>
                <w:sz w:val="20"/>
                <w:szCs w:val="20"/>
                <w:color w:val="auto"/>
              </w:rPr>
            </w:pPr>
            <w:r>
              <w:rPr>
                <w:rFonts w:ascii="Arial" w:cs="Arial" w:eastAsia="Arial" w:hAnsi="Arial"/>
                <w:sz w:val="14"/>
                <w:szCs w:val="14"/>
                <w:color w:val="FFFFFF"/>
              </w:rPr>
              <w:t>100%</w:t>
            </w:r>
          </w:p>
        </w:tc>
        <w:tc>
          <w:tcPr>
            <w:tcW w:w="1060" w:type="dxa"/>
            <w:vAlign w:val="bottom"/>
            <w:shd w:val="clear" w:color="auto" w:fill="B8B8B8"/>
          </w:tcPr>
          <w:p>
            <w:pPr>
              <w:jc w:val="right"/>
              <w:ind w:right="289"/>
              <w:spacing w:after="0" w:line="151" w:lineRule="exact"/>
              <w:rPr>
                <w:sz w:val="20"/>
                <w:szCs w:val="20"/>
                <w:color w:val="auto"/>
              </w:rPr>
            </w:pPr>
            <w:r>
              <w:rPr>
                <w:rFonts w:ascii="Arial" w:cs="Arial" w:eastAsia="Arial" w:hAnsi="Arial"/>
                <w:sz w:val="14"/>
                <w:szCs w:val="14"/>
                <w:color w:val="FFFFFF"/>
              </w:rPr>
              <w:t>100%</w:t>
            </w:r>
          </w:p>
        </w:tc>
        <w:tc>
          <w:tcPr>
            <w:tcW w:w="1100" w:type="dxa"/>
            <w:vAlign w:val="bottom"/>
            <w:shd w:val="clear" w:color="auto" w:fill="B8B8B8"/>
          </w:tcPr>
          <w:p>
            <w:pPr>
              <w:jc w:val="right"/>
              <w:ind w:right="309"/>
              <w:spacing w:after="0" w:line="151" w:lineRule="exact"/>
              <w:rPr>
                <w:sz w:val="20"/>
                <w:szCs w:val="20"/>
                <w:color w:val="auto"/>
              </w:rPr>
            </w:pPr>
            <w:r>
              <w:rPr>
                <w:rFonts w:ascii="Arial" w:cs="Arial" w:eastAsia="Arial" w:hAnsi="Arial"/>
                <w:sz w:val="14"/>
                <w:szCs w:val="14"/>
                <w:color w:val="FFFFFF"/>
              </w:rPr>
              <w:t>100%</w:t>
            </w:r>
          </w:p>
        </w:tc>
        <w:tc>
          <w:tcPr>
            <w:tcW w:w="1120" w:type="dxa"/>
            <w:vAlign w:val="bottom"/>
            <w:shd w:val="clear" w:color="auto" w:fill="B8B8B8"/>
          </w:tcPr>
          <w:p>
            <w:pPr>
              <w:jc w:val="right"/>
              <w:ind w:right="309"/>
              <w:spacing w:after="0" w:line="151" w:lineRule="exact"/>
              <w:rPr>
                <w:sz w:val="20"/>
                <w:szCs w:val="20"/>
                <w:color w:val="auto"/>
              </w:rPr>
            </w:pPr>
            <w:r>
              <w:rPr>
                <w:rFonts w:ascii="Arial" w:cs="Arial" w:eastAsia="Arial" w:hAnsi="Arial"/>
                <w:sz w:val="14"/>
                <w:szCs w:val="14"/>
                <w:color w:val="FFFFFF"/>
              </w:rPr>
              <w:t>200%</w:t>
            </w:r>
          </w:p>
        </w:tc>
      </w:tr>
      <w:tr>
        <w:trPr>
          <w:trHeight w:val="212"/>
        </w:trPr>
        <w:tc>
          <w:tcPr>
            <w:tcW w:w="1840" w:type="dxa"/>
            <w:vAlign w:val="bottom"/>
            <w:tcBorders>
              <w:bottom w:val="single" w:sz="8" w:color="B8B8B8"/>
            </w:tcBorders>
            <w:shd w:val="clear" w:color="auto" w:fill="B8B8B8"/>
          </w:tcPr>
          <w:p>
            <w:pPr>
              <w:ind w:left="20"/>
              <w:spacing w:after="0"/>
              <w:rPr>
                <w:sz w:val="20"/>
                <w:szCs w:val="20"/>
                <w:color w:val="auto"/>
              </w:rPr>
            </w:pPr>
            <w:r>
              <w:rPr>
                <w:rFonts w:ascii="Arial" w:cs="Arial" w:eastAsia="Arial" w:hAnsi="Arial"/>
                <w:sz w:val="14"/>
                <w:szCs w:val="14"/>
                <w:color w:val="FFFFFF"/>
              </w:rPr>
              <w:t>Earned</w:t>
            </w:r>
          </w:p>
        </w:tc>
        <w:tc>
          <w:tcPr>
            <w:tcW w:w="1040" w:type="dxa"/>
            <w:vAlign w:val="bottom"/>
            <w:tcBorders>
              <w:bottom w:val="single" w:sz="8" w:color="B8B8B8"/>
            </w:tcBorders>
            <w:shd w:val="clear" w:color="auto" w:fill="B8B8B8"/>
          </w:tcPr>
          <w:p>
            <w:pPr>
              <w:spacing w:after="0"/>
              <w:rPr>
                <w:sz w:val="18"/>
                <w:szCs w:val="18"/>
                <w:color w:val="auto"/>
              </w:rPr>
            </w:pPr>
          </w:p>
        </w:tc>
        <w:tc>
          <w:tcPr>
            <w:tcW w:w="1060" w:type="dxa"/>
            <w:vAlign w:val="bottom"/>
            <w:tcBorders>
              <w:bottom w:val="single" w:sz="8" w:color="B8B8B8"/>
            </w:tcBorders>
            <w:shd w:val="clear" w:color="auto" w:fill="B8B8B8"/>
          </w:tcPr>
          <w:p>
            <w:pPr>
              <w:spacing w:after="0"/>
              <w:rPr>
                <w:sz w:val="18"/>
                <w:szCs w:val="18"/>
                <w:color w:val="auto"/>
              </w:rPr>
            </w:pPr>
          </w:p>
        </w:tc>
        <w:tc>
          <w:tcPr>
            <w:tcW w:w="1100" w:type="dxa"/>
            <w:vAlign w:val="bottom"/>
            <w:tcBorders>
              <w:bottom w:val="single" w:sz="8" w:color="B8B8B8"/>
            </w:tcBorders>
            <w:shd w:val="clear" w:color="auto" w:fill="B8B8B8"/>
          </w:tcPr>
          <w:p>
            <w:pPr>
              <w:spacing w:after="0"/>
              <w:rPr>
                <w:sz w:val="18"/>
                <w:szCs w:val="18"/>
                <w:color w:val="auto"/>
              </w:rPr>
            </w:pPr>
          </w:p>
        </w:tc>
        <w:tc>
          <w:tcPr>
            <w:tcW w:w="1120" w:type="dxa"/>
            <w:vAlign w:val="bottom"/>
            <w:tcBorders>
              <w:bottom w:val="single" w:sz="8" w:color="B8B8B8"/>
            </w:tcBorders>
            <w:shd w:val="clear" w:color="auto" w:fill="B8B8B8"/>
          </w:tcPr>
          <w:p>
            <w:pPr>
              <w:spacing w:after="0"/>
              <w:rPr>
                <w:sz w:val="18"/>
                <w:szCs w:val="18"/>
                <w:color w:val="auto"/>
              </w:rPr>
            </w:pPr>
          </w:p>
        </w:tc>
      </w:tr>
      <w:tr>
        <w:trPr>
          <w:trHeight w:val="208"/>
        </w:trPr>
        <w:tc>
          <w:tcPr>
            <w:tcW w:w="1840" w:type="dxa"/>
            <w:vAlign w:val="bottom"/>
            <w:tcBorders>
              <w:top w:val="single" w:sz="8" w:color="CC092F"/>
            </w:tcBorders>
          </w:tcPr>
          <w:p>
            <w:pPr>
              <w:ind w:left="20"/>
              <w:spacing w:after="0"/>
              <w:rPr>
                <w:sz w:val="20"/>
                <w:szCs w:val="20"/>
                <w:color w:val="auto"/>
              </w:rPr>
            </w:pPr>
            <w:r>
              <w:rPr>
                <w:rFonts w:ascii="Arial" w:cs="Arial" w:eastAsia="Arial" w:hAnsi="Arial"/>
                <w:sz w:val="14"/>
                <w:szCs w:val="14"/>
                <w:color w:val="242424"/>
              </w:rPr>
              <w:t>Kirsten M. Spears</w:t>
            </w:r>
          </w:p>
        </w:tc>
        <w:tc>
          <w:tcPr>
            <w:tcW w:w="1040" w:type="dxa"/>
            <w:vAlign w:val="bottom"/>
            <w:tcBorders>
              <w:top w:val="single" w:sz="8" w:color="CC092F"/>
            </w:tcBorders>
          </w:tcPr>
          <w:p>
            <w:pPr>
              <w:jc w:val="center"/>
              <w:spacing w:after="0"/>
              <w:rPr>
                <w:sz w:val="20"/>
                <w:szCs w:val="20"/>
                <w:color w:val="auto"/>
              </w:rPr>
            </w:pPr>
            <w:r>
              <w:rPr>
                <w:rFonts w:ascii="Arial" w:cs="Arial" w:eastAsia="Arial" w:hAnsi="Arial"/>
                <w:sz w:val="14"/>
                <w:szCs w:val="14"/>
                <w:color w:val="242424"/>
              </w:rPr>
              <w:t>1,875 shares</w:t>
            </w:r>
          </w:p>
        </w:tc>
        <w:tc>
          <w:tcPr>
            <w:tcW w:w="1060" w:type="dxa"/>
            <w:vAlign w:val="bottom"/>
            <w:tcBorders>
              <w:top w:val="single" w:sz="8" w:color="CC092F"/>
            </w:tcBorders>
          </w:tcPr>
          <w:p>
            <w:pPr>
              <w:jc w:val="center"/>
              <w:spacing w:after="0"/>
              <w:rPr>
                <w:sz w:val="20"/>
                <w:szCs w:val="20"/>
                <w:color w:val="auto"/>
              </w:rPr>
            </w:pPr>
            <w:r>
              <w:rPr>
                <w:rFonts w:ascii="Arial" w:cs="Arial" w:eastAsia="Arial" w:hAnsi="Arial"/>
                <w:sz w:val="14"/>
                <w:szCs w:val="14"/>
                <w:color w:val="242424"/>
              </w:rPr>
              <w:t>1,875 shares</w:t>
            </w:r>
          </w:p>
        </w:tc>
        <w:tc>
          <w:tcPr>
            <w:tcW w:w="1100" w:type="dxa"/>
            <w:vAlign w:val="bottom"/>
            <w:tcBorders>
              <w:top w:val="single" w:sz="8" w:color="CC092F"/>
            </w:tcBorders>
          </w:tcPr>
          <w:p>
            <w:pPr>
              <w:jc w:val="center"/>
              <w:spacing w:after="0"/>
              <w:rPr>
                <w:sz w:val="20"/>
                <w:szCs w:val="20"/>
                <w:color w:val="auto"/>
              </w:rPr>
            </w:pPr>
            <w:r>
              <w:rPr>
                <w:rFonts w:ascii="Arial" w:cs="Arial" w:eastAsia="Arial" w:hAnsi="Arial"/>
                <w:sz w:val="14"/>
                <w:szCs w:val="14"/>
                <w:color w:val="242424"/>
              </w:rPr>
              <w:t>1,875 shares</w:t>
            </w:r>
          </w:p>
        </w:tc>
        <w:tc>
          <w:tcPr>
            <w:tcW w:w="1120" w:type="dxa"/>
            <w:vAlign w:val="bottom"/>
            <w:tcBorders>
              <w:top w:val="single" w:sz="8" w:color="CC092F"/>
            </w:tcBorders>
          </w:tcPr>
          <w:p>
            <w:pPr>
              <w:ind w:left="220"/>
              <w:spacing w:after="0"/>
              <w:rPr>
                <w:sz w:val="20"/>
                <w:szCs w:val="20"/>
                <w:color w:val="auto"/>
              </w:rPr>
            </w:pPr>
            <w:r>
              <w:rPr>
                <w:rFonts w:ascii="Arial" w:cs="Arial" w:eastAsia="Arial" w:hAnsi="Arial"/>
                <w:sz w:val="14"/>
                <w:szCs w:val="14"/>
                <w:color w:val="242424"/>
              </w:rPr>
              <w:t>9,375 shares</w:t>
            </w:r>
          </w:p>
        </w:tc>
      </w:tr>
      <w:tr>
        <w:trPr>
          <w:trHeight w:val="38"/>
        </w:trPr>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5"/>
        </w:trPr>
        <w:tc>
          <w:tcPr>
            <w:tcW w:w="184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4"/>
                <w:szCs w:val="14"/>
                <w:color w:val="242424"/>
              </w:rPr>
              <w:t>Mark D. Brazeal</w:t>
            </w:r>
          </w:p>
        </w:tc>
        <w:tc>
          <w:tcPr>
            <w:tcW w:w="104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242424"/>
              </w:rPr>
              <w:t>3,125 shares</w:t>
            </w:r>
          </w:p>
        </w:tc>
        <w:tc>
          <w:tcPr>
            <w:tcW w:w="106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242424"/>
              </w:rPr>
              <w:t>3,125 shares</w:t>
            </w:r>
          </w:p>
        </w:tc>
        <w:tc>
          <w:tcPr>
            <w:tcW w:w="11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242424"/>
              </w:rPr>
              <w:t>3,125 shares</w:t>
            </w:r>
          </w:p>
        </w:tc>
        <w:tc>
          <w:tcPr>
            <w:tcW w:w="112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4"/>
                <w:szCs w:val="14"/>
                <w:color w:val="242424"/>
              </w:rPr>
              <w:t>15,625 shares</w:t>
            </w:r>
          </w:p>
        </w:tc>
      </w:tr>
      <w:tr>
        <w:trPr>
          <w:trHeight w:val="228"/>
        </w:trPr>
        <w:tc>
          <w:tcPr>
            <w:tcW w:w="1840" w:type="dxa"/>
            <w:vAlign w:val="bottom"/>
          </w:tcPr>
          <w:p>
            <w:pPr>
              <w:ind w:left="20"/>
              <w:spacing w:after="0"/>
              <w:rPr>
                <w:sz w:val="20"/>
                <w:szCs w:val="20"/>
                <w:color w:val="auto"/>
              </w:rPr>
            </w:pPr>
            <w:r>
              <w:rPr>
                <w:rFonts w:ascii="Arial" w:cs="Arial" w:eastAsia="Arial" w:hAnsi="Arial"/>
                <w:sz w:val="14"/>
                <w:szCs w:val="14"/>
                <w:color w:val="242424"/>
              </w:rPr>
              <w:t>Charlie B. Kawwas, Ph.D.</w:t>
            </w:r>
          </w:p>
        </w:tc>
        <w:tc>
          <w:tcPr>
            <w:tcW w:w="1040" w:type="dxa"/>
            <w:vAlign w:val="bottom"/>
          </w:tcPr>
          <w:p>
            <w:pPr>
              <w:jc w:val="center"/>
              <w:spacing w:after="0"/>
              <w:rPr>
                <w:sz w:val="20"/>
                <w:szCs w:val="20"/>
                <w:color w:val="auto"/>
              </w:rPr>
            </w:pPr>
            <w:r>
              <w:rPr>
                <w:rFonts w:ascii="Arial" w:cs="Arial" w:eastAsia="Arial" w:hAnsi="Arial"/>
                <w:sz w:val="14"/>
                <w:szCs w:val="14"/>
                <w:color w:val="242424"/>
              </w:rPr>
              <w:t>3,125 shares</w:t>
            </w:r>
          </w:p>
        </w:tc>
        <w:tc>
          <w:tcPr>
            <w:tcW w:w="1060" w:type="dxa"/>
            <w:vAlign w:val="bottom"/>
          </w:tcPr>
          <w:p>
            <w:pPr>
              <w:jc w:val="center"/>
              <w:spacing w:after="0"/>
              <w:rPr>
                <w:sz w:val="20"/>
                <w:szCs w:val="20"/>
                <w:color w:val="auto"/>
              </w:rPr>
            </w:pPr>
            <w:r>
              <w:rPr>
                <w:rFonts w:ascii="Arial" w:cs="Arial" w:eastAsia="Arial" w:hAnsi="Arial"/>
                <w:sz w:val="14"/>
                <w:szCs w:val="14"/>
                <w:color w:val="242424"/>
              </w:rPr>
              <w:t>3,125 shares</w:t>
            </w:r>
          </w:p>
        </w:tc>
        <w:tc>
          <w:tcPr>
            <w:tcW w:w="1100" w:type="dxa"/>
            <w:vAlign w:val="bottom"/>
          </w:tcPr>
          <w:p>
            <w:pPr>
              <w:jc w:val="center"/>
              <w:spacing w:after="0"/>
              <w:rPr>
                <w:sz w:val="20"/>
                <w:szCs w:val="20"/>
                <w:color w:val="auto"/>
              </w:rPr>
            </w:pPr>
            <w:r>
              <w:rPr>
                <w:rFonts w:ascii="Arial" w:cs="Arial" w:eastAsia="Arial" w:hAnsi="Arial"/>
                <w:sz w:val="14"/>
                <w:szCs w:val="14"/>
                <w:color w:val="242424"/>
              </w:rPr>
              <w:t>3,125 shares</w:t>
            </w:r>
          </w:p>
        </w:tc>
        <w:tc>
          <w:tcPr>
            <w:tcW w:w="1120" w:type="dxa"/>
            <w:vAlign w:val="bottom"/>
          </w:tcPr>
          <w:p>
            <w:pPr>
              <w:ind w:left="140"/>
              <w:spacing w:after="0"/>
              <w:rPr>
                <w:sz w:val="20"/>
                <w:szCs w:val="20"/>
                <w:color w:val="auto"/>
              </w:rPr>
            </w:pPr>
            <w:r>
              <w:rPr>
                <w:rFonts w:ascii="Arial" w:cs="Arial" w:eastAsia="Arial" w:hAnsi="Arial"/>
                <w:sz w:val="14"/>
                <w:szCs w:val="14"/>
                <w:color w:val="242424"/>
              </w:rPr>
              <w:t>15,625 shares</w:t>
            </w:r>
          </w:p>
        </w:tc>
      </w:tr>
      <w:tr>
        <w:trPr>
          <w:trHeight w:val="38"/>
        </w:trPr>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8"/>
        </w:trPr>
        <w:tc>
          <w:tcPr>
            <w:tcW w:w="1840" w:type="dxa"/>
            <w:vAlign w:val="bottom"/>
            <w:shd w:val="clear" w:color="auto" w:fill="EAEAEA"/>
          </w:tcPr>
          <w:p>
            <w:pPr>
              <w:ind w:left="20"/>
              <w:spacing w:after="0"/>
              <w:rPr>
                <w:sz w:val="20"/>
                <w:szCs w:val="20"/>
                <w:color w:val="auto"/>
              </w:rPr>
            </w:pPr>
            <w:r>
              <w:rPr>
                <w:rFonts w:ascii="Arial" w:cs="Arial" w:eastAsia="Arial" w:hAnsi="Arial"/>
                <w:sz w:val="14"/>
                <w:szCs w:val="14"/>
                <w:color w:val="242424"/>
              </w:rPr>
              <w:t>Thomas H. Krause, Jr.</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242424"/>
              </w:rPr>
              <w:t>3,125 shares</w:t>
            </w:r>
          </w:p>
        </w:tc>
        <w:tc>
          <w:tcPr>
            <w:tcW w:w="1060" w:type="dxa"/>
            <w:vAlign w:val="bottom"/>
            <w:shd w:val="clear" w:color="auto" w:fill="EAEAEA"/>
          </w:tcPr>
          <w:p>
            <w:pPr>
              <w:jc w:val="center"/>
              <w:spacing w:after="0"/>
              <w:rPr>
                <w:sz w:val="20"/>
                <w:szCs w:val="20"/>
                <w:color w:val="auto"/>
              </w:rPr>
            </w:pPr>
            <w:r>
              <w:rPr>
                <w:rFonts w:ascii="Arial" w:cs="Arial" w:eastAsia="Arial" w:hAnsi="Arial"/>
                <w:sz w:val="14"/>
                <w:szCs w:val="14"/>
                <w:color w:val="242424"/>
              </w:rPr>
              <w:t>3,125 shares</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242424"/>
              </w:rPr>
              <w:t>3,125 shares</w:t>
            </w:r>
          </w:p>
        </w:tc>
        <w:tc>
          <w:tcPr>
            <w:tcW w:w="1120" w:type="dxa"/>
            <w:vAlign w:val="bottom"/>
            <w:shd w:val="clear" w:color="auto" w:fill="EAEAEA"/>
          </w:tcPr>
          <w:p>
            <w:pPr>
              <w:ind w:left="120"/>
              <w:spacing w:after="0"/>
              <w:rPr>
                <w:sz w:val="20"/>
                <w:szCs w:val="20"/>
                <w:color w:val="auto"/>
              </w:rPr>
            </w:pPr>
            <w:r>
              <w:rPr>
                <w:rFonts w:ascii="Arial" w:cs="Arial" w:eastAsia="Arial" w:hAnsi="Arial"/>
                <w:sz w:val="14"/>
                <w:szCs w:val="14"/>
                <w:color w:val="242424"/>
              </w:rPr>
              <w:t>15,625 shares</w:t>
            </w:r>
          </w:p>
        </w:tc>
      </w:tr>
      <w:tr>
        <w:trPr>
          <w:trHeight w:val="37"/>
        </w:trPr>
        <w:tc>
          <w:tcPr>
            <w:tcW w:w="1840" w:type="dxa"/>
            <w:vAlign w:val="bottom"/>
            <w:shd w:val="clear" w:color="auto" w:fill="EAEAEA"/>
          </w:tcPr>
          <w:p>
            <w:pPr>
              <w:spacing w:after="0"/>
              <w:rPr>
                <w:sz w:val="3"/>
                <w:szCs w:val="3"/>
                <w:color w:val="auto"/>
              </w:rPr>
            </w:pPr>
          </w:p>
        </w:tc>
        <w:tc>
          <w:tcPr>
            <w:tcW w:w="1040" w:type="dxa"/>
            <w:vAlign w:val="bottom"/>
            <w:shd w:val="clear" w:color="auto" w:fill="EAEAEA"/>
          </w:tcPr>
          <w:p>
            <w:pPr>
              <w:spacing w:after="0"/>
              <w:rPr>
                <w:sz w:val="3"/>
                <w:szCs w:val="3"/>
                <w:color w:val="auto"/>
              </w:rPr>
            </w:pPr>
          </w:p>
        </w:tc>
        <w:tc>
          <w:tcPr>
            <w:tcW w:w="1060" w:type="dxa"/>
            <w:vAlign w:val="bottom"/>
            <w:shd w:val="clear" w:color="auto" w:fill="EAEAEA"/>
          </w:tcPr>
          <w:p>
            <w:pPr>
              <w:spacing w:after="0"/>
              <w:rPr>
                <w:sz w:val="3"/>
                <w:szCs w:val="3"/>
                <w:color w:val="auto"/>
              </w:rPr>
            </w:pPr>
          </w:p>
        </w:tc>
        <w:tc>
          <w:tcPr>
            <w:tcW w:w="1100" w:type="dxa"/>
            <w:vAlign w:val="bottom"/>
            <w:shd w:val="clear" w:color="auto" w:fill="EAEAEA"/>
          </w:tcPr>
          <w:p>
            <w:pPr>
              <w:spacing w:after="0"/>
              <w:rPr>
                <w:sz w:val="3"/>
                <w:szCs w:val="3"/>
                <w:color w:val="auto"/>
              </w:rPr>
            </w:pPr>
          </w:p>
        </w:tc>
        <w:tc>
          <w:tcPr>
            <w:tcW w:w="1120" w:type="dxa"/>
            <w:vAlign w:val="bottom"/>
            <w:shd w:val="clear" w:color="auto" w:fill="EAEAEA"/>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-1252855</wp:posOffset>
            </wp:positionV>
            <wp:extent cx="2136775" cy="16154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36775" cy="161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900"/>
        <w:spacing w:after="0"/>
        <w:tabs>
          <w:tab w:leader="none" w:pos="8200" w:val="left"/>
        </w:tabs>
        <w:rPr>
          <w:sz w:val="20"/>
          <w:szCs w:val="20"/>
          <w:color w:val="auto"/>
        </w:rPr>
      </w:pPr>
      <w:r>
        <w:rPr>
          <w:rFonts w:ascii="Arial" w:cs="Arial" w:eastAsia="Arial" w:hAnsi="Arial"/>
          <w:sz w:val="12"/>
          <w:szCs w:val="12"/>
          <w:b w:val="1"/>
          <w:bCs w:val="1"/>
          <w:color w:val="53565A"/>
        </w:rPr>
        <w:t>Achievement</w:t>
      </w:r>
      <w:r>
        <w:rPr>
          <w:sz w:val="20"/>
          <w:szCs w:val="20"/>
          <w:color w:val="auto"/>
        </w:rPr>
        <w:tab/>
      </w:r>
      <w:r>
        <w:rPr>
          <w:rFonts w:ascii="Arial" w:cs="Arial" w:eastAsia="Arial" w:hAnsi="Arial"/>
          <w:sz w:val="12"/>
          <w:szCs w:val="12"/>
          <w:b w:val="1"/>
          <w:bCs w:val="1"/>
          <w:color w:val="53565A"/>
        </w:rPr>
        <w:t>Performance Period</w:t>
      </w:r>
    </w:p>
    <w:p>
      <w:pPr>
        <w:ind w:left="7100"/>
        <w:spacing w:after="0" w:line="182" w:lineRule="auto"/>
        <w:tabs>
          <w:tab w:leader="none" w:pos="8100" w:val="left"/>
        </w:tabs>
        <w:rPr>
          <w:sz w:val="20"/>
          <w:szCs w:val="20"/>
          <w:color w:val="auto"/>
        </w:rPr>
      </w:pPr>
      <w:r>
        <w:rPr>
          <w:rFonts w:ascii="Arial" w:cs="Arial" w:eastAsia="Arial" w:hAnsi="Arial"/>
          <w:sz w:val="20"/>
          <w:szCs w:val="20"/>
          <w:b w:val="1"/>
          <w:bCs w:val="1"/>
          <w:color w:val="53565A"/>
          <w:vertAlign w:val="superscript"/>
        </w:rPr>
        <w:t>Factor</w:t>
      </w:r>
      <w:r>
        <w:rPr>
          <w:sz w:val="20"/>
          <w:szCs w:val="20"/>
          <w:color w:val="auto"/>
        </w:rPr>
        <w:tab/>
      </w:r>
      <w:r>
        <w:rPr>
          <w:rFonts w:ascii="Arial" w:cs="Arial" w:eastAsia="Arial" w:hAnsi="Arial"/>
          <w:sz w:val="11"/>
          <w:szCs w:val="11"/>
          <w:b w:val="1"/>
          <w:bCs w:val="1"/>
          <w:color w:val="53565A"/>
        </w:rPr>
        <w:t>Relative TSR Achieved</w:t>
      </w:r>
    </w:p>
    <w:p>
      <w:pPr>
        <w:sectPr>
          <w:pgSz w:w="11900" w:h="16838" w:orient="portrait"/>
          <w:cols w:equalWidth="0" w:num="1">
            <w:col w:w="11200"/>
          </w:cols>
          <w:pgMar w:left="320" w:top="181" w:right="37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360" w:hanging="354"/>
        <w:spacing w:after="0"/>
        <w:tabs>
          <w:tab w:leader="none" w:pos="360" w:val="left"/>
        </w:tabs>
        <w:numPr>
          <w:ilvl w:val="0"/>
          <w:numId w:val="68"/>
        </w:numPr>
        <w:rPr>
          <w:rFonts w:ascii="Arial" w:cs="Arial" w:eastAsia="Arial" w:hAnsi="Arial"/>
          <w:sz w:val="15"/>
          <w:szCs w:val="15"/>
          <w:color w:val="242424"/>
        </w:rPr>
      </w:pPr>
      <w:r>
        <w:rPr>
          <w:rFonts w:ascii="Arial" w:cs="Arial" w:eastAsia="Arial" w:hAnsi="Arial"/>
          <w:sz w:val="15"/>
          <w:szCs w:val="15"/>
          <w:color w:val="CC092F"/>
        </w:rPr>
        <w:t>2022 Proxy Statement</w:t>
      </w:r>
    </w:p>
    <w:p>
      <w:pPr>
        <w:sectPr>
          <w:pgSz w:w="11900" w:h="16838" w:orient="portrait"/>
          <w:cols w:equalWidth="0" w:num="1">
            <w:col w:w="11200"/>
          </w:cols>
          <w:pgMar w:left="320" w:top="181" w:right="37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242424"/>
        </w:rPr>
        <w:t>The Fiscal Year 2018 PSU awards are subject to four overlapping performance periods ending on each March 1st of 2019, 2020, 2021 and 2022. The table below sets forth the Relative TSR attainment and the number of shares earned for each complete performance period, as confirmed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3343910</wp:posOffset>
            </wp:positionH>
            <wp:positionV relativeFrom="paragraph">
              <wp:posOffset>47625</wp:posOffset>
            </wp:positionV>
            <wp:extent cx="2692400" cy="16827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92400" cy="168275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40" w:type="dxa"/>
            <w:vAlign w:val="bottom"/>
            <w:tcBorders>
              <w:top w:val="single" w:sz="8" w:color="CC092F"/>
            </w:tcBorders>
            <w:shd w:val="clear" w:color="auto" w:fill="B8B8B8"/>
          </w:tcPr>
          <w:p>
            <w:pPr>
              <w:ind w:left="20"/>
              <w:spacing w:after="0"/>
              <w:rPr>
                <w:sz w:val="20"/>
                <w:szCs w:val="20"/>
                <w:color w:val="auto"/>
              </w:rPr>
            </w:pPr>
            <w:r>
              <w:rPr>
                <w:rFonts w:ascii="Arial" w:cs="Arial" w:eastAsia="Arial" w:hAnsi="Arial"/>
                <w:sz w:val="14"/>
                <w:szCs w:val="14"/>
                <w:color w:val="FFFFFF"/>
              </w:rPr>
              <w:t>Performance Period</w:t>
            </w:r>
          </w:p>
        </w:tc>
        <w:tc>
          <w:tcPr>
            <w:tcW w:w="1100" w:type="dxa"/>
            <w:vAlign w:val="bottom"/>
            <w:tcBorders>
              <w:top w:val="single" w:sz="8" w:color="CC092F"/>
            </w:tcBorders>
            <w:shd w:val="clear" w:color="auto" w:fill="B8B8B8"/>
          </w:tcPr>
          <w:p>
            <w:pPr>
              <w:jc w:val="right"/>
              <w:ind w:right="149"/>
              <w:spacing w:after="0"/>
              <w:rPr>
                <w:sz w:val="20"/>
                <w:szCs w:val="20"/>
                <w:color w:val="auto"/>
              </w:rPr>
            </w:pPr>
            <w:r>
              <w:rPr>
                <w:rFonts w:ascii="Arial" w:cs="Arial" w:eastAsia="Arial" w:hAnsi="Arial"/>
                <w:sz w:val="14"/>
                <w:szCs w:val="14"/>
                <w:color w:val="FFFFFF"/>
              </w:rPr>
              <w:t>2018-2019</w:t>
            </w:r>
          </w:p>
        </w:tc>
        <w:tc>
          <w:tcPr>
            <w:tcW w:w="1100" w:type="dxa"/>
            <w:vAlign w:val="bottom"/>
            <w:tcBorders>
              <w:top w:val="single" w:sz="8" w:color="CC092F"/>
            </w:tcBorders>
            <w:shd w:val="clear" w:color="auto" w:fill="B8B8B8"/>
          </w:tcPr>
          <w:p>
            <w:pPr>
              <w:jc w:val="right"/>
              <w:ind w:right="149"/>
              <w:spacing w:after="0"/>
              <w:rPr>
                <w:sz w:val="20"/>
                <w:szCs w:val="20"/>
                <w:color w:val="auto"/>
              </w:rPr>
            </w:pPr>
            <w:r>
              <w:rPr>
                <w:rFonts w:ascii="Arial" w:cs="Arial" w:eastAsia="Arial" w:hAnsi="Arial"/>
                <w:sz w:val="14"/>
                <w:szCs w:val="14"/>
                <w:color w:val="FFFFFF"/>
              </w:rPr>
              <w:t>2018-2020</w:t>
            </w:r>
          </w:p>
        </w:tc>
        <w:tc>
          <w:tcPr>
            <w:tcW w:w="1120" w:type="dxa"/>
            <w:vAlign w:val="bottom"/>
            <w:tcBorders>
              <w:top w:val="single" w:sz="8" w:color="CC092F"/>
            </w:tcBorders>
            <w:shd w:val="clear" w:color="auto" w:fill="B8B8B8"/>
          </w:tcPr>
          <w:p>
            <w:pPr>
              <w:jc w:val="right"/>
              <w:ind w:right="149"/>
              <w:spacing w:after="0"/>
              <w:rPr>
                <w:sz w:val="20"/>
                <w:szCs w:val="20"/>
                <w:color w:val="auto"/>
              </w:rPr>
            </w:pPr>
            <w:r>
              <w:rPr>
                <w:rFonts w:ascii="Arial" w:cs="Arial" w:eastAsia="Arial" w:hAnsi="Arial"/>
                <w:sz w:val="14"/>
                <w:szCs w:val="14"/>
                <w:color w:val="FFFFFF"/>
              </w:rPr>
              <w:t>2018-2021</w:t>
            </w:r>
          </w:p>
        </w:tc>
      </w:tr>
      <w:tr>
        <w:trPr>
          <w:trHeight w:val="382"/>
        </w:trPr>
        <w:tc>
          <w:tcPr>
            <w:tcW w:w="1940" w:type="dxa"/>
            <w:vAlign w:val="bottom"/>
            <w:shd w:val="clear" w:color="auto" w:fill="B8B8B8"/>
          </w:tcPr>
          <w:p>
            <w:pPr>
              <w:ind w:left="20"/>
              <w:spacing w:after="0"/>
              <w:rPr>
                <w:sz w:val="20"/>
                <w:szCs w:val="20"/>
                <w:color w:val="auto"/>
              </w:rPr>
            </w:pPr>
            <w:r>
              <w:rPr>
                <w:rFonts w:ascii="Arial" w:cs="Arial" w:eastAsia="Arial" w:hAnsi="Arial"/>
                <w:sz w:val="14"/>
                <w:szCs w:val="14"/>
                <w:color w:val="FFFFFF"/>
              </w:rPr>
              <w:t>Relative TSR Attainment</w:t>
            </w:r>
          </w:p>
        </w:tc>
        <w:tc>
          <w:tcPr>
            <w:tcW w:w="1100" w:type="dxa"/>
            <w:vAlign w:val="bottom"/>
            <w:shd w:val="clear" w:color="auto" w:fill="B8B8B8"/>
          </w:tcPr>
          <w:p>
            <w:pPr>
              <w:jc w:val="center"/>
              <w:spacing w:after="0"/>
              <w:rPr>
                <w:sz w:val="20"/>
                <w:szCs w:val="20"/>
                <w:color w:val="auto"/>
              </w:rPr>
            </w:pPr>
            <w:r>
              <w:rPr>
                <w:rFonts w:ascii="Arial" w:cs="Arial" w:eastAsia="Arial" w:hAnsi="Arial"/>
                <w:sz w:val="14"/>
                <w:szCs w:val="14"/>
                <w:color w:val="FFFFFF"/>
                <w:w w:val="98"/>
              </w:rPr>
              <w:t>71</w:t>
            </w:r>
            <w:r>
              <w:rPr>
                <w:rFonts w:ascii="Arial" w:cs="Arial" w:eastAsia="Arial" w:hAnsi="Arial"/>
                <w:sz w:val="18"/>
                <w:szCs w:val="18"/>
                <w:color w:val="FFFFFF"/>
                <w:w w:val="98"/>
                <w:vertAlign w:val="superscript"/>
              </w:rPr>
              <w:t>st</w:t>
            </w:r>
            <w:r>
              <w:rPr>
                <w:rFonts w:ascii="Arial" w:cs="Arial" w:eastAsia="Arial" w:hAnsi="Arial"/>
                <w:sz w:val="14"/>
                <w:szCs w:val="14"/>
                <w:color w:val="FFFFFF"/>
                <w:w w:val="98"/>
              </w:rPr>
              <w:t xml:space="preserve"> Percentile</w:t>
            </w:r>
          </w:p>
        </w:tc>
        <w:tc>
          <w:tcPr>
            <w:tcW w:w="1100" w:type="dxa"/>
            <w:vAlign w:val="bottom"/>
            <w:shd w:val="clear" w:color="auto" w:fill="B8B8B8"/>
          </w:tcPr>
          <w:p>
            <w:pPr>
              <w:jc w:val="center"/>
              <w:spacing w:after="0"/>
              <w:rPr>
                <w:sz w:val="20"/>
                <w:szCs w:val="20"/>
                <w:color w:val="auto"/>
              </w:rPr>
            </w:pPr>
            <w:r>
              <w:rPr>
                <w:rFonts w:ascii="Arial" w:cs="Arial" w:eastAsia="Arial" w:hAnsi="Arial"/>
                <w:sz w:val="14"/>
                <w:szCs w:val="14"/>
                <w:color w:val="FFFFFF"/>
                <w:w w:val="98"/>
              </w:rPr>
              <w:t>64</w:t>
            </w:r>
            <w:r>
              <w:rPr>
                <w:rFonts w:ascii="Arial" w:cs="Arial" w:eastAsia="Arial" w:hAnsi="Arial"/>
                <w:sz w:val="18"/>
                <w:szCs w:val="18"/>
                <w:color w:val="FFFFFF"/>
                <w:w w:val="98"/>
                <w:vertAlign w:val="superscript"/>
              </w:rPr>
              <w:t>th</w:t>
            </w:r>
            <w:r>
              <w:rPr>
                <w:rFonts w:ascii="Arial" w:cs="Arial" w:eastAsia="Arial" w:hAnsi="Arial"/>
                <w:sz w:val="14"/>
                <w:szCs w:val="14"/>
                <w:color w:val="FFFFFF"/>
                <w:w w:val="98"/>
              </w:rPr>
              <w:t xml:space="preserve"> Percentile</w:t>
            </w:r>
          </w:p>
        </w:tc>
        <w:tc>
          <w:tcPr>
            <w:tcW w:w="1120" w:type="dxa"/>
            <w:vAlign w:val="bottom"/>
            <w:shd w:val="clear" w:color="auto" w:fill="B8B8B8"/>
          </w:tcPr>
          <w:p>
            <w:pPr>
              <w:jc w:val="center"/>
              <w:spacing w:after="0"/>
              <w:rPr>
                <w:sz w:val="20"/>
                <w:szCs w:val="20"/>
                <w:color w:val="auto"/>
              </w:rPr>
            </w:pPr>
            <w:r>
              <w:rPr>
                <w:rFonts w:ascii="Arial" w:cs="Arial" w:eastAsia="Arial" w:hAnsi="Arial"/>
                <w:sz w:val="14"/>
                <w:szCs w:val="14"/>
                <w:color w:val="FFFFFF"/>
                <w:w w:val="98"/>
              </w:rPr>
              <w:t>91</w:t>
            </w:r>
            <w:r>
              <w:rPr>
                <w:rFonts w:ascii="Arial" w:cs="Arial" w:eastAsia="Arial" w:hAnsi="Arial"/>
                <w:sz w:val="18"/>
                <w:szCs w:val="18"/>
                <w:color w:val="FFFFFF"/>
                <w:w w:val="98"/>
                <w:vertAlign w:val="superscript"/>
              </w:rPr>
              <w:t>st</w:t>
            </w:r>
            <w:r>
              <w:rPr>
                <w:rFonts w:ascii="Arial" w:cs="Arial" w:eastAsia="Arial" w:hAnsi="Arial"/>
                <w:sz w:val="14"/>
                <w:szCs w:val="14"/>
                <w:color w:val="FFFFFF"/>
                <w:w w:val="98"/>
              </w:rPr>
              <w:t xml:space="preserve"> Percentile</w:t>
            </w:r>
          </w:p>
        </w:tc>
      </w:tr>
      <w:tr>
        <w:trPr>
          <w:trHeight w:val="150"/>
        </w:trPr>
        <w:tc>
          <w:tcPr>
            <w:tcW w:w="1940" w:type="dxa"/>
            <w:vAlign w:val="bottom"/>
            <w:shd w:val="clear" w:color="auto" w:fill="B8B8B8"/>
          </w:tcPr>
          <w:p>
            <w:pPr>
              <w:ind w:left="20"/>
              <w:spacing w:after="0" w:line="151" w:lineRule="exact"/>
              <w:rPr>
                <w:sz w:val="20"/>
                <w:szCs w:val="20"/>
                <w:color w:val="auto"/>
              </w:rPr>
            </w:pPr>
            <w:r>
              <w:rPr>
                <w:rFonts w:ascii="Arial" w:cs="Arial" w:eastAsia="Arial" w:hAnsi="Arial"/>
                <w:sz w:val="14"/>
                <w:szCs w:val="14"/>
                <w:color w:val="FFFFFF"/>
              </w:rPr>
              <w:t>Percentage of Target Shares</w:t>
            </w:r>
          </w:p>
        </w:tc>
        <w:tc>
          <w:tcPr>
            <w:tcW w:w="1100" w:type="dxa"/>
            <w:vAlign w:val="bottom"/>
            <w:shd w:val="clear" w:color="auto" w:fill="B8B8B8"/>
          </w:tcPr>
          <w:p>
            <w:pPr>
              <w:jc w:val="right"/>
              <w:ind w:right="289"/>
              <w:spacing w:after="0" w:line="151" w:lineRule="exact"/>
              <w:rPr>
                <w:sz w:val="20"/>
                <w:szCs w:val="20"/>
                <w:color w:val="auto"/>
              </w:rPr>
            </w:pPr>
            <w:r>
              <w:rPr>
                <w:rFonts w:ascii="Arial" w:cs="Arial" w:eastAsia="Arial" w:hAnsi="Arial"/>
                <w:sz w:val="14"/>
                <w:szCs w:val="14"/>
                <w:color w:val="FFFFFF"/>
              </w:rPr>
              <w:t>100%</w:t>
            </w:r>
          </w:p>
        </w:tc>
        <w:tc>
          <w:tcPr>
            <w:tcW w:w="1100" w:type="dxa"/>
            <w:vAlign w:val="bottom"/>
            <w:shd w:val="clear" w:color="auto" w:fill="B8B8B8"/>
          </w:tcPr>
          <w:p>
            <w:pPr>
              <w:jc w:val="right"/>
              <w:ind w:right="309"/>
              <w:spacing w:after="0" w:line="151" w:lineRule="exact"/>
              <w:rPr>
                <w:sz w:val="20"/>
                <w:szCs w:val="20"/>
                <w:color w:val="auto"/>
              </w:rPr>
            </w:pPr>
            <w:r>
              <w:rPr>
                <w:rFonts w:ascii="Arial" w:cs="Arial" w:eastAsia="Arial" w:hAnsi="Arial"/>
                <w:sz w:val="14"/>
                <w:szCs w:val="14"/>
                <w:color w:val="FFFFFF"/>
              </w:rPr>
              <w:t>100%</w:t>
            </w:r>
          </w:p>
        </w:tc>
        <w:tc>
          <w:tcPr>
            <w:tcW w:w="1120" w:type="dxa"/>
            <w:vAlign w:val="bottom"/>
            <w:shd w:val="clear" w:color="auto" w:fill="B8B8B8"/>
          </w:tcPr>
          <w:p>
            <w:pPr>
              <w:jc w:val="right"/>
              <w:ind w:right="309"/>
              <w:spacing w:after="0" w:line="151" w:lineRule="exact"/>
              <w:rPr>
                <w:sz w:val="20"/>
                <w:szCs w:val="20"/>
                <w:color w:val="auto"/>
              </w:rPr>
            </w:pPr>
            <w:r>
              <w:rPr>
                <w:rFonts w:ascii="Arial" w:cs="Arial" w:eastAsia="Arial" w:hAnsi="Arial"/>
                <w:sz w:val="14"/>
                <w:szCs w:val="14"/>
                <w:color w:val="FFFFFF"/>
              </w:rPr>
              <w:t>100%</w:t>
            </w:r>
          </w:p>
        </w:tc>
      </w:tr>
      <w:tr>
        <w:trPr>
          <w:trHeight w:val="212"/>
        </w:trPr>
        <w:tc>
          <w:tcPr>
            <w:tcW w:w="1940" w:type="dxa"/>
            <w:vAlign w:val="bottom"/>
            <w:tcBorders>
              <w:bottom w:val="single" w:sz="8" w:color="B8B8B8"/>
            </w:tcBorders>
            <w:shd w:val="clear" w:color="auto" w:fill="B8B8B8"/>
          </w:tcPr>
          <w:p>
            <w:pPr>
              <w:ind w:left="20"/>
              <w:spacing w:after="0"/>
              <w:rPr>
                <w:sz w:val="20"/>
                <w:szCs w:val="20"/>
                <w:color w:val="auto"/>
              </w:rPr>
            </w:pPr>
            <w:r>
              <w:rPr>
                <w:rFonts w:ascii="Arial" w:cs="Arial" w:eastAsia="Arial" w:hAnsi="Arial"/>
                <w:sz w:val="14"/>
                <w:szCs w:val="14"/>
                <w:color w:val="FFFFFF"/>
              </w:rPr>
              <w:t>Earned</w:t>
            </w:r>
          </w:p>
        </w:tc>
        <w:tc>
          <w:tcPr>
            <w:tcW w:w="1100" w:type="dxa"/>
            <w:vAlign w:val="bottom"/>
            <w:tcBorders>
              <w:bottom w:val="single" w:sz="8" w:color="B8B8B8"/>
            </w:tcBorders>
            <w:shd w:val="clear" w:color="auto" w:fill="B8B8B8"/>
          </w:tcPr>
          <w:p>
            <w:pPr>
              <w:spacing w:after="0"/>
              <w:rPr>
                <w:sz w:val="18"/>
                <w:szCs w:val="18"/>
                <w:color w:val="auto"/>
              </w:rPr>
            </w:pPr>
          </w:p>
        </w:tc>
        <w:tc>
          <w:tcPr>
            <w:tcW w:w="1100" w:type="dxa"/>
            <w:vAlign w:val="bottom"/>
            <w:tcBorders>
              <w:bottom w:val="single" w:sz="8" w:color="B8B8B8"/>
            </w:tcBorders>
            <w:shd w:val="clear" w:color="auto" w:fill="B8B8B8"/>
          </w:tcPr>
          <w:p>
            <w:pPr>
              <w:spacing w:after="0"/>
              <w:rPr>
                <w:sz w:val="18"/>
                <w:szCs w:val="18"/>
                <w:color w:val="auto"/>
              </w:rPr>
            </w:pPr>
          </w:p>
        </w:tc>
        <w:tc>
          <w:tcPr>
            <w:tcW w:w="1120" w:type="dxa"/>
            <w:vAlign w:val="bottom"/>
            <w:tcBorders>
              <w:bottom w:val="single" w:sz="8" w:color="B8B8B8"/>
            </w:tcBorders>
            <w:shd w:val="clear" w:color="auto" w:fill="B8B8B8"/>
          </w:tcPr>
          <w:p>
            <w:pPr>
              <w:spacing w:after="0"/>
              <w:rPr>
                <w:sz w:val="18"/>
                <w:szCs w:val="18"/>
                <w:color w:val="auto"/>
              </w:rPr>
            </w:pPr>
          </w:p>
        </w:tc>
      </w:tr>
      <w:tr>
        <w:trPr>
          <w:trHeight w:val="208"/>
        </w:trPr>
        <w:tc>
          <w:tcPr>
            <w:tcW w:w="1940" w:type="dxa"/>
            <w:vAlign w:val="bottom"/>
            <w:tcBorders>
              <w:top w:val="single" w:sz="8" w:color="CC092F"/>
            </w:tcBorders>
          </w:tcPr>
          <w:p>
            <w:pPr>
              <w:ind w:left="20"/>
              <w:spacing w:after="0"/>
              <w:rPr>
                <w:sz w:val="20"/>
                <w:szCs w:val="20"/>
                <w:color w:val="auto"/>
              </w:rPr>
            </w:pPr>
            <w:r>
              <w:rPr>
                <w:rFonts w:ascii="Arial" w:cs="Arial" w:eastAsia="Arial" w:hAnsi="Arial"/>
                <w:sz w:val="14"/>
                <w:szCs w:val="14"/>
                <w:color w:val="242424"/>
              </w:rPr>
              <w:t>Kirsten M. Spears</w:t>
            </w:r>
          </w:p>
        </w:tc>
        <w:tc>
          <w:tcPr>
            <w:tcW w:w="1100" w:type="dxa"/>
            <w:vAlign w:val="bottom"/>
            <w:tcBorders>
              <w:top w:val="single" w:sz="8" w:color="CC092F"/>
            </w:tcBorders>
          </w:tcPr>
          <w:p>
            <w:pPr>
              <w:jc w:val="center"/>
              <w:spacing w:after="0"/>
              <w:rPr>
                <w:sz w:val="20"/>
                <w:szCs w:val="20"/>
                <w:color w:val="auto"/>
              </w:rPr>
            </w:pPr>
            <w:r>
              <w:rPr>
                <w:rFonts w:ascii="Arial" w:cs="Arial" w:eastAsia="Arial" w:hAnsi="Arial"/>
                <w:sz w:val="14"/>
                <w:szCs w:val="14"/>
                <w:color w:val="242424"/>
              </w:rPr>
              <w:t>1,250 shares</w:t>
            </w:r>
          </w:p>
        </w:tc>
        <w:tc>
          <w:tcPr>
            <w:tcW w:w="1100" w:type="dxa"/>
            <w:vAlign w:val="bottom"/>
            <w:tcBorders>
              <w:top w:val="single" w:sz="8" w:color="CC092F"/>
            </w:tcBorders>
          </w:tcPr>
          <w:p>
            <w:pPr>
              <w:jc w:val="center"/>
              <w:spacing w:after="0"/>
              <w:rPr>
                <w:sz w:val="20"/>
                <w:szCs w:val="20"/>
                <w:color w:val="auto"/>
              </w:rPr>
            </w:pPr>
            <w:r>
              <w:rPr>
                <w:rFonts w:ascii="Arial" w:cs="Arial" w:eastAsia="Arial" w:hAnsi="Arial"/>
                <w:sz w:val="14"/>
                <w:szCs w:val="14"/>
                <w:color w:val="242424"/>
              </w:rPr>
              <w:t>1,250 shares</w:t>
            </w:r>
          </w:p>
        </w:tc>
        <w:tc>
          <w:tcPr>
            <w:tcW w:w="1120" w:type="dxa"/>
            <w:vAlign w:val="bottom"/>
            <w:tcBorders>
              <w:top w:val="single" w:sz="8" w:color="CC092F"/>
            </w:tcBorders>
          </w:tcPr>
          <w:p>
            <w:pPr>
              <w:jc w:val="center"/>
              <w:spacing w:after="0"/>
              <w:rPr>
                <w:sz w:val="20"/>
                <w:szCs w:val="20"/>
                <w:color w:val="auto"/>
              </w:rPr>
            </w:pPr>
            <w:r>
              <w:rPr>
                <w:rFonts w:ascii="Arial" w:cs="Arial" w:eastAsia="Arial" w:hAnsi="Arial"/>
                <w:sz w:val="14"/>
                <w:szCs w:val="14"/>
                <w:color w:val="242424"/>
              </w:rPr>
              <w:t>1,250 shares</w:t>
            </w:r>
          </w:p>
        </w:tc>
      </w:tr>
      <w:tr>
        <w:trPr>
          <w:trHeight w:val="38"/>
        </w:trPr>
        <w:tc>
          <w:tcPr>
            <w:tcW w:w="1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5"/>
        </w:trPr>
        <w:tc>
          <w:tcPr>
            <w:tcW w:w="194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4"/>
                <w:szCs w:val="14"/>
                <w:color w:val="242424"/>
              </w:rPr>
              <w:t>Mark D. Brazeal</w:t>
            </w:r>
          </w:p>
        </w:tc>
        <w:tc>
          <w:tcPr>
            <w:tcW w:w="11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242424"/>
              </w:rPr>
              <w:t>1,625 shares</w:t>
            </w:r>
          </w:p>
        </w:tc>
        <w:tc>
          <w:tcPr>
            <w:tcW w:w="11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242424"/>
              </w:rPr>
              <w:t>1,625 shares</w:t>
            </w:r>
          </w:p>
        </w:tc>
        <w:tc>
          <w:tcPr>
            <w:tcW w:w="112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242424"/>
              </w:rPr>
              <w:t>1,625 shares</w:t>
            </w:r>
          </w:p>
        </w:tc>
      </w:tr>
      <w:tr>
        <w:trPr>
          <w:trHeight w:val="228"/>
        </w:trPr>
        <w:tc>
          <w:tcPr>
            <w:tcW w:w="1940" w:type="dxa"/>
            <w:vAlign w:val="bottom"/>
          </w:tcPr>
          <w:p>
            <w:pPr>
              <w:ind w:left="20"/>
              <w:spacing w:after="0"/>
              <w:rPr>
                <w:sz w:val="20"/>
                <w:szCs w:val="20"/>
                <w:color w:val="auto"/>
              </w:rPr>
            </w:pPr>
            <w:r>
              <w:rPr>
                <w:rFonts w:ascii="Arial" w:cs="Arial" w:eastAsia="Arial" w:hAnsi="Arial"/>
                <w:sz w:val="14"/>
                <w:szCs w:val="14"/>
                <w:color w:val="242424"/>
              </w:rPr>
              <w:t>Charlie B. Kawwas, Ph.D.</w:t>
            </w:r>
          </w:p>
        </w:tc>
        <w:tc>
          <w:tcPr>
            <w:tcW w:w="1100" w:type="dxa"/>
            <w:vAlign w:val="bottom"/>
          </w:tcPr>
          <w:p>
            <w:pPr>
              <w:jc w:val="center"/>
              <w:spacing w:after="0"/>
              <w:rPr>
                <w:sz w:val="20"/>
                <w:szCs w:val="20"/>
                <w:color w:val="auto"/>
              </w:rPr>
            </w:pPr>
            <w:r>
              <w:rPr>
                <w:rFonts w:ascii="Arial" w:cs="Arial" w:eastAsia="Arial" w:hAnsi="Arial"/>
                <w:sz w:val="14"/>
                <w:szCs w:val="14"/>
                <w:color w:val="242424"/>
              </w:rPr>
              <w:t>1,875 shares</w:t>
            </w:r>
          </w:p>
        </w:tc>
        <w:tc>
          <w:tcPr>
            <w:tcW w:w="1100" w:type="dxa"/>
            <w:vAlign w:val="bottom"/>
          </w:tcPr>
          <w:p>
            <w:pPr>
              <w:jc w:val="center"/>
              <w:spacing w:after="0"/>
              <w:rPr>
                <w:sz w:val="20"/>
                <w:szCs w:val="20"/>
                <w:color w:val="auto"/>
              </w:rPr>
            </w:pPr>
            <w:r>
              <w:rPr>
                <w:rFonts w:ascii="Arial" w:cs="Arial" w:eastAsia="Arial" w:hAnsi="Arial"/>
                <w:sz w:val="14"/>
                <w:szCs w:val="14"/>
                <w:color w:val="242424"/>
              </w:rPr>
              <w:t>1,875 shares</w:t>
            </w:r>
          </w:p>
        </w:tc>
        <w:tc>
          <w:tcPr>
            <w:tcW w:w="1120" w:type="dxa"/>
            <w:vAlign w:val="bottom"/>
          </w:tcPr>
          <w:p>
            <w:pPr>
              <w:jc w:val="center"/>
              <w:spacing w:after="0"/>
              <w:rPr>
                <w:sz w:val="20"/>
                <w:szCs w:val="20"/>
                <w:color w:val="auto"/>
              </w:rPr>
            </w:pPr>
            <w:r>
              <w:rPr>
                <w:rFonts w:ascii="Arial" w:cs="Arial" w:eastAsia="Arial" w:hAnsi="Arial"/>
                <w:sz w:val="14"/>
                <w:szCs w:val="14"/>
                <w:color w:val="242424"/>
              </w:rPr>
              <w:t>1,875 shares</w:t>
            </w:r>
          </w:p>
        </w:tc>
      </w:tr>
      <w:tr>
        <w:trPr>
          <w:trHeight w:val="38"/>
        </w:trPr>
        <w:tc>
          <w:tcPr>
            <w:tcW w:w="1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8"/>
        </w:trPr>
        <w:tc>
          <w:tcPr>
            <w:tcW w:w="1940" w:type="dxa"/>
            <w:vAlign w:val="bottom"/>
            <w:shd w:val="clear" w:color="auto" w:fill="EAEAEA"/>
          </w:tcPr>
          <w:p>
            <w:pPr>
              <w:ind w:left="20"/>
              <w:spacing w:after="0"/>
              <w:rPr>
                <w:sz w:val="20"/>
                <w:szCs w:val="20"/>
                <w:color w:val="auto"/>
              </w:rPr>
            </w:pPr>
            <w:r>
              <w:rPr>
                <w:rFonts w:ascii="Arial" w:cs="Arial" w:eastAsia="Arial" w:hAnsi="Arial"/>
                <w:sz w:val="14"/>
                <w:szCs w:val="14"/>
                <w:color w:val="242424"/>
              </w:rPr>
              <w:t>Thomas H. Krause, Jr.</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242424"/>
              </w:rPr>
              <w:t>2,000 shares</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242424"/>
              </w:rPr>
              <w:t>2,000 shares</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242424"/>
              </w:rPr>
              <w:t>2,000 shares</w:t>
            </w:r>
          </w:p>
        </w:tc>
      </w:tr>
      <w:tr>
        <w:trPr>
          <w:trHeight w:val="38"/>
        </w:trPr>
        <w:tc>
          <w:tcPr>
            <w:tcW w:w="1940" w:type="dxa"/>
            <w:vAlign w:val="bottom"/>
            <w:shd w:val="clear" w:color="auto" w:fill="EAEAEA"/>
          </w:tcPr>
          <w:p>
            <w:pPr>
              <w:spacing w:after="0"/>
              <w:rPr>
                <w:sz w:val="3"/>
                <w:szCs w:val="3"/>
                <w:color w:val="auto"/>
              </w:rPr>
            </w:pPr>
          </w:p>
        </w:tc>
        <w:tc>
          <w:tcPr>
            <w:tcW w:w="1100" w:type="dxa"/>
            <w:vAlign w:val="bottom"/>
            <w:shd w:val="clear" w:color="auto" w:fill="EAEAEA"/>
          </w:tcPr>
          <w:p>
            <w:pPr>
              <w:spacing w:after="0"/>
              <w:rPr>
                <w:sz w:val="3"/>
                <w:szCs w:val="3"/>
                <w:color w:val="auto"/>
              </w:rPr>
            </w:pPr>
          </w:p>
        </w:tc>
        <w:tc>
          <w:tcPr>
            <w:tcW w:w="1100" w:type="dxa"/>
            <w:vAlign w:val="bottom"/>
            <w:shd w:val="clear" w:color="auto" w:fill="EAEAEA"/>
          </w:tcPr>
          <w:p>
            <w:pPr>
              <w:spacing w:after="0"/>
              <w:rPr>
                <w:sz w:val="3"/>
                <w:szCs w:val="3"/>
                <w:color w:val="auto"/>
              </w:rPr>
            </w:pPr>
          </w:p>
        </w:tc>
        <w:tc>
          <w:tcPr>
            <w:tcW w:w="1120" w:type="dxa"/>
            <w:vAlign w:val="bottom"/>
            <w:shd w:val="clear" w:color="auto" w:fill="EAEAEA"/>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280"/>
        <w:spacing w:after="0"/>
        <w:tabs>
          <w:tab w:leader="none" w:pos="7780" w:val="left"/>
        </w:tabs>
        <w:rPr>
          <w:sz w:val="20"/>
          <w:szCs w:val="20"/>
          <w:color w:val="auto"/>
        </w:rPr>
      </w:pPr>
      <w:r>
        <w:rPr>
          <w:rFonts w:ascii="Arial" w:cs="Arial" w:eastAsia="Arial" w:hAnsi="Arial"/>
          <w:sz w:val="12"/>
          <w:szCs w:val="12"/>
          <w:b w:val="1"/>
          <w:bCs w:val="1"/>
          <w:color w:val="53565A"/>
        </w:rPr>
        <w:t>Achievement</w:t>
      </w:r>
      <w:r>
        <w:rPr>
          <w:sz w:val="20"/>
          <w:szCs w:val="20"/>
          <w:color w:val="auto"/>
        </w:rPr>
        <w:tab/>
      </w:r>
      <w:r>
        <w:rPr>
          <w:rFonts w:ascii="Arial" w:cs="Arial" w:eastAsia="Arial" w:hAnsi="Arial"/>
          <w:sz w:val="12"/>
          <w:szCs w:val="12"/>
          <w:b w:val="1"/>
          <w:bCs w:val="1"/>
          <w:color w:val="53565A"/>
        </w:rPr>
        <w:t>Performance Period</w:t>
      </w:r>
    </w:p>
    <w:p>
      <w:pPr>
        <w:ind w:left="6480"/>
        <w:spacing w:after="0" w:line="182" w:lineRule="auto"/>
        <w:tabs>
          <w:tab w:leader="none" w:pos="7700" w:val="left"/>
        </w:tabs>
        <w:rPr>
          <w:sz w:val="20"/>
          <w:szCs w:val="20"/>
          <w:color w:val="auto"/>
        </w:rPr>
      </w:pPr>
      <w:r>
        <w:rPr>
          <w:rFonts w:ascii="Arial" w:cs="Arial" w:eastAsia="Arial" w:hAnsi="Arial"/>
          <w:sz w:val="20"/>
          <w:szCs w:val="20"/>
          <w:b w:val="1"/>
          <w:bCs w:val="1"/>
          <w:color w:val="53565A"/>
          <w:vertAlign w:val="superscript"/>
        </w:rPr>
        <w:t>Factor</w:t>
      </w:r>
      <w:r>
        <w:rPr>
          <w:sz w:val="20"/>
          <w:szCs w:val="20"/>
          <w:color w:val="auto"/>
        </w:rPr>
        <w:tab/>
      </w:r>
      <w:r>
        <w:rPr>
          <w:rFonts w:ascii="Arial" w:cs="Arial" w:eastAsia="Arial" w:hAnsi="Arial"/>
          <w:sz w:val="11"/>
          <w:szCs w:val="11"/>
          <w:b w:val="1"/>
          <w:bCs w:val="1"/>
          <w:color w:val="53565A"/>
        </w:rPr>
        <w:t>Relative TSR Achieved</w:t>
      </w:r>
    </w:p>
    <w:p>
      <w:pPr>
        <w:spacing w:after="0" w:line="294"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242424"/>
        </w:rPr>
        <w:t>The PSU Multi-Year Awards that commenced vesting in Fiscal Year 2019 are subject to four overlapping performance periods ending on each March 1st of 2020, 2021, 2022 and 2023. The table below sets forth the Relative TSR attainment and the number of shares earned for the completed performance period, as confirmed by the Compensation Committee.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60" w:type="dxa"/>
            <w:vAlign w:val="bottom"/>
            <w:tcBorders>
              <w:top w:val="single" w:sz="8" w:color="CC092F"/>
            </w:tcBorders>
            <w:shd w:val="clear" w:color="auto" w:fill="B8B8B8"/>
          </w:tcPr>
          <w:p>
            <w:pPr>
              <w:ind w:left="20"/>
              <w:spacing w:after="0"/>
              <w:rPr>
                <w:sz w:val="20"/>
                <w:szCs w:val="20"/>
                <w:color w:val="auto"/>
              </w:rPr>
            </w:pPr>
            <w:r>
              <w:rPr>
                <w:rFonts w:ascii="Arial" w:cs="Arial" w:eastAsia="Arial" w:hAnsi="Arial"/>
                <w:sz w:val="14"/>
                <w:szCs w:val="14"/>
                <w:color w:val="FFFFFF"/>
              </w:rPr>
              <w:t>Performance Period</w:t>
            </w:r>
          </w:p>
        </w:tc>
        <w:tc>
          <w:tcPr>
            <w:tcW w:w="1100" w:type="dxa"/>
            <w:vAlign w:val="bottom"/>
            <w:tcBorders>
              <w:top w:val="single" w:sz="8" w:color="CC092F"/>
            </w:tcBorders>
            <w:shd w:val="clear" w:color="auto" w:fill="B8B8B8"/>
          </w:tcPr>
          <w:p>
            <w:pPr>
              <w:jc w:val="right"/>
              <w:ind w:right="129"/>
              <w:spacing w:after="0"/>
              <w:rPr>
                <w:sz w:val="20"/>
                <w:szCs w:val="20"/>
                <w:color w:val="auto"/>
              </w:rPr>
            </w:pPr>
            <w:r>
              <w:rPr>
                <w:rFonts w:ascii="Arial" w:cs="Arial" w:eastAsia="Arial" w:hAnsi="Arial"/>
                <w:sz w:val="14"/>
                <w:szCs w:val="14"/>
                <w:color w:val="FFFFFF"/>
              </w:rPr>
              <w:t>2019-2020</w:t>
            </w:r>
          </w:p>
        </w:tc>
        <w:tc>
          <w:tcPr>
            <w:tcW w:w="1100" w:type="dxa"/>
            <w:vAlign w:val="bottom"/>
            <w:tcBorders>
              <w:top w:val="single" w:sz="8" w:color="CC092F"/>
            </w:tcBorders>
            <w:shd w:val="clear" w:color="auto" w:fill="B8B8B8"/>
          </w:tcPr>
          <w:p>
            <w:pPr>
              <w:jc w:val="right"/>
              <w:ind w:right="129"/>
              <w:spacing w:after="0"/>
              <w:rPr>
                <w:sz w:val="20"/>
                <w:szCs w:val="20"/>
                <w:color w:val="auto"/>
              </w:rPr>
            </w:pPr>
            <w:r>
              <w:rPr>
                <w:rFonts w:ascii="Arial" w:cs="Arial" w:eastAsia="Arial" w:hAnsi="Arial"/>
                <w:sz w:val="14"/>
                <w:szCs w:val="14"/>
                <w:color w:val="FFFFFF"/>
              </w:rPr>
              <w:t>2019-2021</w:t>
            </w:r>
          </w:p>
        </w:tc>
        <w:tc>
          <w:tcPr>
            <w:tcW w:w="0" w:type="dxa"/>
            <w:vAlign w:val="bottom"/>
          </w:tcPr>
          <w:p>
            <w:pPr>
              <w:spacing w:after="0"/>
              <w:rPr>
                <w:sz w:val="1"/>
                <w:szCs w:val="1"/>
                <w:color w:val="auto"/>
              </w:rPr>
            </w:pPr>
          </w:p>
        </w:tc>
      </w:tr>
      <w:tr>
        <w:trPr>
          <w:trHeight w:val="305"/>
        </w:trPr>
        <w:tc>
          <w:tcPr>
            <w:tcW w:w="1960" w:type="dxa"/>
            <w:vAlign w:val="bottom"/>
            <w:shd w:val="clear" w:color="auto" w:fill="B8B8B8"/>
          </w:tcPr>
          <w:p>
            <w:pPr>
              <w:ind w:left="20"/>
              <w:spacing w:after="0"/>
              <w:rPr>
                <w:sz w:val="20"/>
                <w:szCs w:val="20"/>
                <w:color w:val="auto"/>
              </w:rPr>
            </w:pPr>
            <w:r>
              <w:rPr>
                <w:rFonts w:ascii="Arial" w:cs="Arial" w:eastAsia="Arial" w:hAnsi="Arial"/>
                <w:sz w:val="14"/>
                <w:szCs w:val="14"/>
                <w:color w:val="FFFFFF"/>
              </w:rPr>
              <w:t>Relative TSR Attainment</w:t>
            </w:r>
          </w:p>
        </w:tc>
        <w:tc>
          <w:tcPr>
            <w:tcW w:w="1100" w:type="dxa"/>
            <w:vAlign w:val="bottom"/>
            <w:vMerge w:val="restart"/>
            <w:shd w:val="clear" w:color="auto" w:fill="B8B8B8"/>
          </w:tcPr>
          <w:p>
            <w:pPr>
              <w:jc w:val="center"/>
              <w:spacing w:after="0"/>
              <w:rPr>
                <w:sz w:val="20"/>
                <w:szCs w:val="20"/>
                <w:color w:val="auto"/>
              </w:rPr>
            </w:pPr>
            <w:r>
              <w:rPr>
                <w:rFonts w:ascii="Arial" w:cs="Arial" w:eastAsia="Arial" w:hAnsi="Arial"/>
                <w:sz w:val="14"/>
                <w:szCs w:val="14"/>
                <w:color w:val="FFFFFF"/>
              </w:rPr>
              <w:t>48</w:t>
            </w:r>
            <w:r>
              <w:rPr>
                <w:rFonts w:ascii="Arial" w:cs="Arial" w:eastAsia="Arial" w:hAnsi="Arial"/>
                <w:sz w:val="9"/>
                <w:szCs w:val="9"/>
                <w:color w:val="FFFFFF"/>
              </w:rPr>
              <w:t>th</w:t>
            </w:r>
            <w:r>
              <w:rPr>
                <w:rFonts w:ascii="Arial" w:cs="Arial" w:eastAsia="Arial" w:hAnsi="Arial"/>
                <w:sz w:val="14"/>
                <w:szCs w:val="14"/>
                <w:color w:val="FFFFFF"/>
              </w:rPr>
              <w:t xml:space="preserve"> Percentile</w:t>
            </w:r>
          </w:p>
        </w:tc>
        <w:tc>
          <w:tcPr>
            <w:tcW w:w="1100" w:type="dxa"/>
            <w:vAlign w:val="bottom"/>
            <w:vMerge w:val="restart"/>
            <w:shd w:val="clear" w:color="auto" w:fill="B8B8B8"/>
          </w:tcPr>
          <w:p>
            <w:pPr>
              <w:jc w:val="center"/>
              <w:spacing w:after="0"/>
              <w:rPr>
                <w:sz w:val="20"/>
                <w:szCs w:val="20"/>
                <w:color w:val="auto"/>
              </w:rPr>
            </w:pPr>
            <w:r>
              <w:rPr>
                <w:rFonts w:ascii="Arial" w:cs="Arial" w:eastAsia="Arial" w:hAnsi="Arial"/>
                <w:sz w:val="14"/>
                <w:szCs w:val="14"/>
                <w:color w:val="FFFFFF"/>
              </w:rPr>
              <w:t>90</w:t>
            </w:r>
            <w:r>
              <w:rPr>
                <w:rFonts w:ascii="Arial" w:cs="Arial" w:eastAsia="Arial" w:hAnsi="Arial"/>
                <w:sz w:val="9"/>
                <w:szCs w:val="9"/>
                <w:color w:val="FFFFFF"/>
              </w:rPr>
              <w:t>th</w:t>
            </w:r>
            <w:r>
              <w:rPr>
                <w:rFonts w:ascii="Arial" w:cs="Arial" w:eastAsia="Arial" w:hAnsi="Arial"/>
                <w:sz w:val="14"/>
                <w:szCs w:val="14"/>
                <w:color w:val="FFFFFF"/>
              </w:rPr>
              <w:t xml:space="preserve"> Percentile</w:t>
            </w:r>
          </w:p>
        </w:tc>
        <w:tc>
          <w:tcPr>
            <w:tcW w:w="0" w:type="dxa"/>
            <w:vAlign w:val="bottom"/>
          </w:tcPr>
          <w:p>
            <w:pPr>
              <w:spacing w:after="0"/>
              <w:rPr>
                <w:sz w:val="1"/>
                <w:szCs w:val="1"/>
                <w:color w:val="auto"/>
              </w:rPr>
            </w:pPr>
          </w:p>
        </w:tc>
      </w:tr>
      <w:tr>
        <w:trPr>
          <w:trHeight w:val="77"/>
        </w:trPr>
        <w:tc>
          <w:tcPr>
            <w:tcW w:w="1960" w:type="dxa"/>
            <w:vAlign w:val="bottom"/>
            <w:shd w:val="clear" w:color="auto" w:fill="B8B8B8"/>
          </w:tcPr>
          <w:p>
            <w:pPr>
              <w:spacing w:after="0"/>
              <w:rPr>
                <w:sz w:val="6"/>
                <w:szCs w:val="6"/>
                <w:color w:val="auto"/>
              </w:rPr>
            </w:pPr>
          </w:p>
        </w:tc>
        <w:tc>
          <w:tcPr>
            <w:tcW w:w="1100" w:type="dxa"/>
            <w:vAlign w:val="bottom"/>
            <w:vMerge w:val="continue"/>
            <w:shd w:val="clear" w:color="auto" w:fill="B8B8B8"/>
          </w:tcPr>
          <w:p>
            <w:pPr>
              <w:spacing w:after="0"/>
              <w:rPr>
                <w:sz w:val="6"/>
                <w:szCs w:val="6"/>
                <w:color w:val="auto"/>
              </w:rPr>
            </w:pPr>
          </w:p>
        </w:tc>
        <w:tc>
          <w:tcPr>
            <w:tcW w:w="1100" w:type="dxa"/>
            <w:vAlign w:val="bottom"/>
            <w:vMerge w:val="continue"/>
            <w:shd w:val="clear" w:color="auto" w:fill="B8B8B8"/>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960" w:type="dxa"/>
            <w:vAlign w:val="bottom"/>
            <w:shd w:val="clear" w:color="auto" w:fill="B8B8B8"/>
          </w:tcPr>
          <w:p>
            <w:pPr>
              <w:ind w:left="20"/>
              <w:spacing w:after="0" w:line="151" w:lineRule="exact"/>
              <w:rPr>
                <w:sz w:val="20"/>
                <w:szCs w:val="20"/>
                <w:color w:val="auto"/>
              </w:rPr>
            </w:pPr>
            <w:r>
              <w:rPr>
                <w:rFonts w:ascii="Arial" w:cs="Arial" w:eastAsia="Arial" w:hAnsi="Arial"/>
                <w:sz w:val="14"/>
                <w:szCs w:val="14"/>
                <w:color w:val="FFFFFF"/>
              </w:rPr>
              <w:t>Percentage of Target Shares</w:t>
            </w:r>
          </w:p>
        </w:tc>
        <w:tc>
          <w:tcPr>
            <w:tcW w:w="1100" w:type="dxa"/>
            <w:vAlign w:val="bottom"/>
            <w:shd w:val="clear" w:color="auto" w:fill="B8B8B8"/>
          </w:tcPr>
          <w:p>
            <w:pPr>
              <w:jc w:val="right"/>
              <w:ind w:right="229"/>
              <w:spacing w:after="0" w:line="151" w:lineRule="exact"/>
              <w:rPr>
                <w:sz w:val="20"/>
                <w:szCs w:val="20"/>
                <w:color w:val="auto"/>
              </w:rPr>
            </w:pPr>
            <w:r>
              <w:rPr>
                <w:rFonts w:ascii="Arial" w:cs="Arial" w:eastAsia="Arial" w:hAnsi="Arial"/>
                <w:sz w:val="14"/>
                <w:szCs w:val="14"/>
                <w:color w:val="FFFFFF"/>
              </w:rPr>
              <w:t>95.76%</w:t>
            </w:r>
          </w:p>
        </w:tc>
        <w:tc>
          <w:tcPr>
            <w:tcW w:w="1100" w:type="dxa"/>
            <w:vAlign w:val="bottom"/>
            <w:shd w:val="clear" w:color="auto" w:fill="B8B8B8"/>
          </w:tcPr>
          <w:p>
            <w:pPr>
              <w:jc w:val="right"/>
              <w:ind w:right="289"/>
              <w:spacing w:after="0" w:line="151" w:lineRule="exact"/>
              <w:rPr>
                <w:sz w:val="20"/>
                <w:szCs w:val="20"/>
                <w:color w:val="auto"/>
              </w:rPr>
            </w:pPr>
            <w:r>
              <w:rPr>
                <w:rFonts w:ascii="Arial" w:cs="Arial" w:eastAsia="Arial" w:hAnsi="Arial"/>
                <w:sz w:val="14"/>
                <w:szCs w:val="14"/>
                <w:color w:val="FFFFFF"/>
              </w:rPr>
              <w:t>100%</w:t>
            </w:r>
          </w:p>
        </w:tc>
        <w:tc>
          <w:tcPr>
            <w:tcW w:w="0" w:type="dxa"/>
            <w:vAlign w:val="bottom"/>
          </w:tcPr>
          <w:p>
            <w:pPr>
              <w:spacing w:after="0"/>
              <w:rPr>
                <w:sz w:val="1"/>
                <w:szCs w:val="1"/>
                <w:color w:val="auto"/>
              </w:rPr>
            </w:pPr>
          </w:p>
        </w:tc>
      </w:tr>
      <w:tr>
        <w:trPr>
          <w:trHeight w:val="212"/>
        </w:trPr>
        <w:tc>
          <w:tcPr>
            <w:tcW w:w="1960" w:type="dxa"/>
            <w:vAlign w:val="bottom"/>
            <w:tcBorders>
              <w:bottom w:val="single" w:sz="8" w:color="B8B8B8"/>
            </w:tcBorders>
            <w:shd w:val="clear" w:color="auto" w:fill="B8B8B8"/>
          </w:tcPr>
          <w:p>
            <w:pPr>
              <w:ind w:left="20"/>
              <w:spacing w:after="0"/>
              <w:rPr>
                <w:sz w:val="20"/>
                <w:szCs w:val="20"/>
                <w:color w:val="auto"/>
              </w:rPr>
            </w:pPr>
            <w:r>
              <w:rPr>
                <w:rFonts w:ascii="Arial" w:cs="Arial" w:eastAsia="Arial" w:hAnsi="Arial"/>
                <w:sz w:val="14"/>
                <w:szCs w:val="14"/>
                <w:color w:val="FFFFFF"/>
              </w:rPr>
              <w:t>Earned</w:t>
            </w:r>
          </w:p>
        </w:tc>
        <w:tc>
          <w:tcPr>
            <w:tcW w:w="1100" w:type="dxa"/>
            <w:vAlign w:val="bottom"/>
            <w:tcBorders>
              <w:bottom w:val="single" w:sz="8" w:color="B8B8B8"/>
            </w:tcBorders>
            <w:shd w:val="clear" w:color="auto" w:fill="B8B8B8"/>
          </w:tcPr>
          <w:p>
            <w:pPr>
              <w:spacing w:after="0"/>
              <w:rPr>
                <w:sz w:val="18"/>
                <w:szCs w:val="18"/>
                <w:color w:val="auto"/>
              </w:rPr>
            </w:pPr>
          </w:p>
        </w:tc>
        <w:tc>
          <w:tcPr>
            <w:tcW w:w="1100" w:type="dxa"/>
            <w:vAlign w:val="bottom"/>
            <w:tcBorders>
              <w:bottom w:val="single" w:sz="8" w:color="B8B8B8"/>
            </w:tcBorders>
            <w:shd w:val="clear" w:color="auto" w:fill="B8B8B8"/>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960" w:type="dxa"/>
            <w:vAlign w:val="bottom"/>
            <w:tcBorders>
              <w:top w:val="single" w:sz="8" w:color="CC092F"/>
            </w:tcBorders>
          </w:tcPr>
          <w:p>
            <w:pPr>
              <w:ind w:left="20"/>
              <w:spacing w:after="0"/>
              <w:rPr>
                <w:sz w:val="20"/>
                <w:szCs w:val="20"/>
                <w:color w:val="auto"/>
              </w:rPr>
            </w:pPr>
            <w:r>
              <w:rPr>
                <w:rFonts w:ascii="Arial" w:cs="Arial" w:eastAsia="Arial" w:hAnsi="Arial"/>
                <w:sz w:val="14"/>
                <w:szCs w:val="14"/>
                <w:color w:val="242424"/>
              </w:rPr>
              <w:t>Kirsten M. Spears</w:t>
            </w:r>
          </w:p>
        </w:tc>
        <w:tc>
          <w:tcPr>
            <w:tcW w:w="1100" w:type="dxa"/>
            <w:vAlign w:val="bottom"/>
            <w:tcBorders>
              <w:top w:val="single" w:sz="8" w:color="CC092F"/>
            </w:tcBorders>
          </w:tcPr>
          <w:p>
            <w:pPr>
              <w:jc w:val="center"/>
              <w:spacing w:after="0"/>
              <w:rPr>
                <w:sz w:val="20"/>
                <w:szCs w:val="20"/>
                <w:color w:val="auto"/>
              </w:rPr>
            </w:pPr>
            <w:r>
              <w:rPr>
                <w:rFonts w:ascii="Arial" w:cs="Arial" w:eastAsia="Arial" w:hAnsi="Arial"/>
                <w:sz w:val="14"/>
                <w:szCs w:val="14"/>
                <w:color w:val="242424"/>
              </w:rPr>
              <w:t>1,495 shares</w:t>
            </w:r>
          </w:p>
        </w:tc>
        <w:tc>
          <w:tcPr>
            <w:tcW w:w="1100" w:type="dxa"/>
            <w:vAlign w:val="bottom"/>
            <w:tcBorders>
              <w:top w:val="single" w:sz="8" w:color="CC092F"/>
            </w:tcBorders>
          </w:tcPr>
          <w:p>
            <w:pPr>
              <w:jc w:val="center"/>
              <w:spacing w:after="0"/>
              <w:rPr>
                <w:sz w:val="20"/>
                <w:szCs w:val="20"/>
                <w:color w:val="auto"/>
              </w:rPr>
            </w:pPr>
            <w:r>
              <w:rPr>
                <w:rFonts w:ascii="Arial" w:cs="Arial" w:eastAsia="Arial" w:hAnsi="Arial"/>
                <w:sz w:val="14"/>
                <w:szCs w:val="14"/>
                <w:color w:val="242424"/>
              </w:rPr>
              <w:t>1,562 shares</w:t>
            </w:r>
          </w:p>
        </w:tc>
        <w:tc>
          <w:tcPr>
            <w:tcW w:w="0" w:type="dxa"/>
            <w:vAlign w:val="bottom"/>
          </w:tcPr>
          <w:p>
            <w:pPr>
              <w:spacing w:after="0"/>
              <w:rPr>
                <w:sz w:val="1"/>
                <w:szCs w:val="1"/>
                <w:color w:val="auto"/>
              </w:rPr>
            </w:pPr>
          </w:p>
        </w:tc>
      </w:tr>
      <w:tr>
        <w:trPr>
          <w:trHeight w:val="245"/>
        </w:trPr>
        <w:tc>
          <w:tcPr>
            <w:tcW w:w="196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4"/>
                <w:szCs w:val="14"/>
                <w:color w:val="242424"/>
              </w:rPr>
              <w:t>Mark D. Brazeal</w:t>
            </w:r>
          </w:p>
        </w:tc>
        <w:tc>
          <w:tcPr>
            <w:tcW w:w="11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242424"/>
              </w:rPr>
              <w:t>1,795 shares</w:t>
            </w:r>
          </w:p>
        </w:tc>
        <w:tc>
          <w:tcPr>
            <w:tcW w:w="11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242424"/>
              </w:rPr>
              <w:t>1,875 shares</w:t>
            </w:r>
          </w:p>
        </w:tc>
        <w:tc>
          <w:tcPr>
            <w:tcW w:w="0" w:type="dxa"/>
            <w:vAlign w:val="bottom"/>
          </w:tcPr>
          <w:p>
            <w:pPr>
              <w:spacing w:after="0"/>
              <w:rPr>
                <w:sz w:val="1"/>
                <w:szCs w:val="1"/>
                <w:color w:val="auto"/>
              </w:rPr>
            </w:pPr>
          </w:p>
        </w:tc>
      </w:tr>
      <w:tr>
        <w:trPr>
          <w:trHeight w:val="265"/>
        </w:trPr>
        <w:tc>
          <w:tcPr>
            <w:tcW w:w="1960" w:type="dxa"/>
            <w:vAlign w:val="bottom"/>
          </w:tcPr>
          <w:p>
            <w:pPr>
              <w:ind w:left="20"/>
              <w:spacing w:after="0"/>
              <w:rPr>
                <w:sz w:val="20"/>
                <w:szCs w:val="20"/>
                <w:color w:val="auto"/>
              </w:rPr>
            </w:pPr>
            <w:r>
              <w:rPr>
                <w:rFonts w:ascii="Arial" w:cs="Arial" w:eastAsia="Arial" w:hAnsi="Arial"/>
                <w:sz w:val="14"/>
                <w:szCs w:val="14"/>
                <w:color w:val="242424"/>
              </w:rPr>
              <w:t>Charlie B. Kawwas, Ph.D.</w:t>
            </w:r>
          </w:p>
        </w:tc>
        <w:tc>
          <w:tcPr>
            <w:tcW w:w="1100" w:type="dxa"/>
            <w:vAlign w:val="bottom"/>
          </w:tcPr>
          <w:p>
            <w:pPr>
              <w:jc w:val="center"/>
              <w:spacing w:after="0"/>
              <w:rPr>
                <w:sz w:val="20"/>
                <w:szCs w:val="20"/>
                <w:color w:val="auto"/>
              </w:rPr>
            </w:pPr>
            <w:r>
              <w:rPr>
                <w:rFonts w:ascii="Arial" w:cs="Arial" w:eastAsia="Arial" w:hAnsi="Arial"/>
                <w:sz w:val="14"/>
                <w:szCs w:val="14"/>
                <w:color w:val="242424"/>
              </w:rPr>
              <w:t>2,394 shares</w:t>
            </w:r>
          </w:p>
        </w:tc>
        <w:tc>
          <w:tcPr>
            <w:tcW w:w="1100" w:type="dxa"/>
            <w:vAlign w:val="bottom"/>
          </w:tcPr>
          <w:p>
            <w:pPr>
              <w:jc w:val="center"/>
              <w:spacing w:after="0"/>
              <w:rPr>
                <w:sz w:val="20"/>
                <w:szCs w:val="20"/>
                <w:color w:val="auto"/>
              </w:rPr>
            </w:pPr>
            <w:r>
              <w:rPr>
                <w:rFonts w:ascii="Arial" w:cs="Arial" w:eastAsia="Arial" w:hAnsi="Arial"/>
                <w:sz w:val="14"/>
                <w:szCs w:val="14"/>
                <w:color w:val="242424"/>
              </w:rPr>
              <w:t>2,500 shares</w:t>
            </w:r>
          </w:p>
        </w:tc>
        <w:tc>
          <w:tcPr>
            <w:tcW w:w="0" w:type="dxa"/>
            <w:vAlign w:val="bottom"/>
          </w:tcPr>
          <w:p>
            <w:pPr>
              <w:spacing w:after="0"/>
              <w:rPr>
                <w:sz w:val="1"/>
                <w:szCs w:val="1"/>
                <w:color w:val="auto"/>
              </w:rPr>
            </w:pPr>
          </w:p>
        </w:tc>
      </w:tr>
      <w:tr>
        <w:trPr>
          <w:trHeight w:val="228"/>
        </w:trPr>
        <w:tc>
          <w:tcPr>
            <w:tcW w:w="1960" w:type="dxa"/>
            <w:vAlign w:val="bottom"/>
            <w:shd w:val="clear" w:color="auto" w:fill="EAEAEA"/>
          </w:tcPr>
          <w:p>
            <w:pPr>
              <w:ind w:left="20"/>
              <w:spacing w:after="0"/>
              <w:rPr>
                <w:sz w:val="20"/>
                <w:szCs w:val="20"/>
                <w:color w:val="auto"/>
              </w:rPr>
            </w:pPr>
            <w:r>
              <w:rPr>
                <w:rFonts w:ascii="Arial" w:cs="Arial" w:eastAsia="Arial" w:hAnsi="Arial"/>
                <w:sz w:val="14"/>
                <w:szCs w:val="14"/>
                <w:color w:val="242424"/>
              </w:rPr>
              <w:t>Thomas H. Krause, Jr.</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242424"/>
              </w:rPr>
              <w:t>2,394 shares</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242424"/>
              </w:rPr>
              <w:t>2,500 shares</w:t>
            </w:r>
          </w:p>
        </w:tc>
        <w:tc>
          <w:tcPr>
            <w:tcW w:w="0" w:type="dxa"/>
            <w:vAlign w:val="bottom"/>
          </w:tcPr>
          <w:p>
            <w:pPr>
              <w:spacing w:after="0"/>
              <w:rPr>
                <w:sz w:val="1"/>
                <w:szCs w:val="1"/>
                <w:color w:val="auto"/>
              </w:rPr>
            </w:pPr>
          </w:p>
        </w:tc>
      </w:tr>
      <w:tr>
        <w:trPr>
          <w:trHeight w:val="38"/>
        </w:trPr>
        <w:tc>
          <w:tcPr>
            <w:tcW w:w="1960" w:type="dxa"/>
            <w:vAlign w:val="bottom"/>
            <w:shd w:val="clear" w:color="auto" w:fill="EAEAEA"/>
          </w:tcPr>
          <w:p>
            <w:pPr>
              <w:spacing w:after="0"/>
              <w:rPr>
                <w:sz w:val="3"/>
                <w:szCs w:val="3"/>
                <w:color w:val="auto"/>
              </w:rPr>
            </w:pPr>
          </w:p>
        </w:tc>
        <w:tc>
          <w:tcPr>
            <w:tcW w:w="1100" w:type="dxa"/>
            <w:vAlign w:val="bottom"/>
            <w:shd w:val="clear" w:color="auto" w:fill="EAEAEA"/>
          </w:tcPr>
          <w:p>
            <w:pPr>
              <w:spacing w:after="0"/>
              <w:rPr>
                <w:sz w:val="3"/>
                <w:szCs w:val="3"/>
                <w:color w:val="auto"/>
              </w:rPr>
            </w:pPr>
          </w:p>
        </w:tc>
        <w:tc>
          <w:tcPr>
            <w:tcW w:w="1100" w:type="dxa"/>
            <w:vAlign w:val="bottom"/>
            <w:shd w:val="clear" w:color="auto" w:fill="EAEAEA"/>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3343910</wp:posOffset>
            </wp:positionH>
            <wp:positionV relativeFrom="paragraph">
              <wp:posOffset>-1286510</wp:posOffset>
            </wp:positionV>
            <wp:extent cx="2692400" cy="16827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92400" cy="168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480"/>
        <w:spacing w:after="0"/>
        <w:tabs>
          <w:tab w:leader="none" w:pos="7880" w:val="left"/>
        </w:tabs>
        <w:rPr>
          <w:sz w:val="20"/>
          <w:szCs w:val="20"/>
          <w:color w:val="auto"/>
        </w:rPr>
      </w:pPr>
      <w:r>
        <w:rPr>
          <w:rFonts w:ascii="Arial" w:cs="Arial" w:eastAsia="Arial" w:hAnsi="Arial"/>
          <w:sz w:val="12"/>
          <w:szCs w:val="12"/>
          <w:b w:val="1"/>
          <w:bCs w:val="1"/>
          <w:color w:val="53565A"/>
        </w:rPr>
        <w:t>Achievement</w:t>
      </w:r>
      <w:r>
        <w:rPr>
          <w:sz w:val="20"/>
          <w:szCs w:val="20"/>
          <w:color w:val="auto"/>
        </w:rPr>
        <w:tab/>
      </w:r>
      <w:r>
        <w:rPr>
          <w:rFonts w:ascii="Arial" w:cs="Arial" w:eastAsia="Arial" w:hAnsi="Arial"/>
          <w:sz w:val="12"/>
          <w:szCs w:val="12"/>
          <w:b w:val="1"/>
          <w:bCs w:val="1"/>
          <w:color w:val="53565A"/>
        </w:rPr>
        <w:t>Performance Period</w:t>
      </w:r>
    </w:p>
    <w:p>
      <w:pPr>
        <w:ind w:left="6700"/>
        <w:spacing w:after="0" w:line="182" w:lineRule="auto"/>
        <w:tabs>
          <w:tab w:leader="none" w:pos="7800" w:val="left"/>
        </w:tabs>
        <w:rPr>
          <w:sz w:val="20"/>
          <w:szCs w:val="20"/>
          <w:color w:val="auto"/>
        </w:rPr>
      </w:pPr>
      <w:r>
        <w:rPr>
          <w:rFonts w:ascii="Arial" w:cs="Arial" w:eastAsia="Arial" w:hAnsi="Arial"/>
          <w:sz w:val="20"/>
          <w:szCs w:val="20"/>
          <w:b w:val="1"/>
          <w:bCs w:val="1"/>
          <w:color w:val="53565A"/>
          <w:vertAlign w:val="superscript"/>
        </w:rPr>
        <w:t>Factor</w:t>
      </w:r>
      <w:r>
        <w:rPr>
          <w:sz w:val="20"/>
          <w:szCs w:val="20"/>
          <w:color w:val="auto"/>
        </w:rPr>
        <w:tab/>
      </w:r>
      <w:r>
        <w:rPr>
          <w:rFonts w:ascii="Arial" w:cs="Arial" w:eastAsia="Arial" w:hAnsi="Arial"/>
          <w:sz w:val="11"/>
          <w:szCs w:val="11"/>
          <w:b w:val="1"/>
          <w:bCs w:val="1"/>
          <w:color w:val="53565A"/>
        </w:rPr>
        <w:t>Relative TSR Achieved</w:t>
      </w:r>
    </w:p>
    <w:p>
      <w:pPr>
        <w:spacing w:after="0" w:line="25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242424"/>
        </w:rPr>
        <w:t>The PSU Multi-Year Awards that commenced vesting in Fiscal Year 2020 are subject to four overlapping performance periods ending on each March 1st of 2021, 2022, 2023 and 2024. The table below sets forth the Relative TSR attainment and the number of shares earned for the completed performance period, as confirmed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3343910</wp:posOffset>
            </wp:positionH>
            <wp:positionV relativeFrom="paragraph">
              <wp:posOffset>30480</wp:posOffset>
            </wp:positionV>
            <wp:extent cx="2692400" cy="16827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92400" cy="168275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80" w:type="dxa"/>
            <w:vAlign w:val="bottom"/>
            <w:tcBorders>
              <w:top w:val="single" w:sz="8" w:color="CC092F"/>
            </w:tcBorders>
            <w:shd w:val="clear" w:color="auto" w:fill="B8B8B8"/>
          </w:tcPr>
          <w:p>
            <w:pPr>
              <w:ind w:left="20"/>
              <w:spacing w:after="0"/>
              <w:rPr>
                <w:sz w:val="20"/>
                <w:szCs w:val="20"/>
                <w:color w:val="auto"/>
              </w:rPr>
            </w:pPr>
            <w:r>
              <w:rPr>
                <w:rFonts w:ascii="Arial" w:cs="Arial" w:eastAsia="Arial" w:hAnsi="Arial"/>
                <w:sz w:val="14"/>
                <w:szCs w:val="14"/>
                <w:color w:val="FFFFFF"/>
              </w:rPr>
              <w:t>Performance Period</w:t>
            </w:r>
          </w:p>
        </w:tc>
        <w:tc>
          <w:tcPr>
            <w:tcW w:w="1120" w:type="dxa"/>
            <w:vAlign w:val="bottom"/>
            <w:tcBorders>
              <w:top w:val="single" w:sz="8" w:color="CC092F"/>
            </w:tcBorders>
            <w:shd w:val="clear" w:color="auto" w:fill="B8B8B8"/>
          </w:tcPr>
          <w:p>
            <w:pPr>
              <w:jc w:val="right"/>
              <w:ind w:right="149"/>
              <w:spacing w:after="0"/>
              <w:rPr>
                <w:sz w:val="20"/>
                <w:szCs w:val="20"/>
                <w:color w:val="auto"/>
              </w:rPr>
            </w:pPr>
            <w:r>
              <w:rPr>
                <w:rFonts w:ascii="Arial" w:cs="Arial" w:eastAsia="Arial" w:hAnsi="Arial"/>
                <w:sz w:val="14"/>
                <w:szCs w:val="14"/>
                <w:color w:val="FFFFFF"/>
              </w:rPr>
              <w:t>2020-2021</w:t>
            </w:r>
          </w:p>
        </w:tc>
      </w:tr>
      <w:tr>
        <w:trPr>
          <w:trHeight w:val="400"/>
        </w:trPr>
        <w:tc>
          <w:tcPr>
            <w:tcW w:w="1980" w:type="dxa"/>
            <w:vAlign w:val="bottom"/>
            <w:shd w:val="clear" w:color="auto" w:fill="B8B8B8"/>
          </w:tcPr>
          <w:p>
            <w:pPr>
              <w:ind w:left="180"/>
              <w:spacing w:after="0"/>
              <w:rPr>
                <w:sz w:val="20"/>
                <w:szCs w:val="20"/>
                <w:color w:val="auto"/>
              </w:rPr>
            </w:pPr>
            <w:r>
              <w:rPr>
                <w:rFonts w:ascii="Arial" w:cs="Arial" w:eastAsia="Arial" w:hAnsi="Arial"/>
                <w:sz w:val="14"/>
                <w:szCs w:val="14"/>
                <w:color w:val="FFFFFF"/>
              </w:rPr>
              <w:t>Relative TSR Attainment</w:t>
            </w:r>
          </w:p>
        </w:tc>
        <w:tc>
          <w:tcPr>
            <w:tcW w:w="1120" w:type="dxa"/>
            <w:vAlign w:val="bottom"/>
            <w:shd w:val="clear" w:color="auto" w:fill="B8B8B8"/>
          </w:tcPr>
          <w:p>
            <w:pPr>
              <w:jc w:val="center"/>
              <w:spacing w:after="0"/>
              <w:rPr>
                <w:sz w:val="20"/>
                <w:szCs w:val="20"/>
                <w:color w:val="auto"/>
              </w:rPr>
            </w:pPr>
            <w:r>
              <w:rPr>
                <w:rFonts w:ascii="Arial" w:cs="Arial" w:eastAsia="Arial" w:hAnsi="Arial"/>
                <w:sz w:val="14"/>
                <w:szCs w:val="14"/>
                <w:color w:val="FFFFFF"/>
                <w:w w:val="96"/>
              </w:rPr>
              <w:t>92</w:t>
            </w:r>
            <w:r>
              <w:rPr>
                <w:rFonts w:ascii="Arial" w:cs="Arial" w:eastAsia="Arial" w:hAnsi="Arial"/>
                <w:sz w:val="18"/>
                <w:szCs w:val="18"/>
                <w:color w:val="FFFFFF"/>
                <w:w w:val="96"/>
                <w:vertAlign w:val="superscript"/>
              </w:rPr>
              <w:t>nd</w:t>
            </w:r>
            <w:r>
              <w:rPr>
                <w:rFonts w:ascii="Arial" w:cs="Arial" w:eastAsia="Arial" w:hAnsi="Arial"/>
                <w:sz w:val="14"/>
                <w:szCs w:val="14"/>
                <w:color w:val="FFFFFF"/>
                <w:w w:val="96"/>
              </w:rPr>
              <w:t xml:space="preserve"> Percentile</w:t>
            </w:r>
          </w:p>
        </w:tc>
      </w:tr>
      <w:tr>
        <w:trPr>
          <w:trHeight w:val="133"/>
        </w:trPr>
        <w:tc>
          <w:tcPr>
            <w:tcW w:w="1980" w:type="dxa"/>
            <w:vAlign w:val="bottom"/>
            <w:shd w:val="clear" w:color="auto" w:fill="B8B8B8"/>
          </w:tcPr>
          <w:p>
            <w:pPr>
              <w:ind w:left="20"/>
              <w:spacing w:after="0" w:line="133" w:lineRule="exact"/>
              <w:rPr>
                <w:sz w:val="20"/>
                <w:szCs w:val="20"/>
                <w:color w:val="auto"/>
              </w:rPr>
            </w:pPr>
            <w:r>
              <w:rPr>
                <w:rFonts w:ascii="Arial" w:cs="Arial" w:eastAsia="Arial" w:hAnsi="Arial"/>
                <w:sz w:val="14"/>
                <w:szCs w:val="14"/>
                <w:color w:val="FFFFFF"/>
              </w:rPr>
              <w:t>Percentage of Target Shares</w:t>
            </w:r>
          </w:p>
        </w:tc>
        <w:tc>
          <w:tcPr>
            <w:tcW w:w="1120" w:type="dxa"/>
            <w:vAlign w:val="bottom"/>
            <w:shd w:val="clear" w:color="auto" w:fill="B8B8B8"/>
          </w:tcPr>
          <w:p>
            <w:pPr>
              <w:jc w:val="right"/>
              <w:ind w:right="309"/>
              <w:spacing w:after="0" w:line="133" w:lineRule="exact"/>
              <w:rPr>
                <w:sz w:val="20"/>
                <w:szCs w:val="20"/>
                <w:color w:val="auto"/>
              </w:rPr>
            </w:pPr>
            <w:r>
              <w:rPr>
                <w:rFonts w:ascii="Arial" w:cs="Arial" w:eastAsia="Arial" w:hAnsi="Arial"/>
                <w:sz w:val="14"/>
                <w:szCs w:val="14"/>
                <w:color w:val="FFFFFF"/>
              </w:rPr>
              <w:t>100%</w:t>
            </w:r>
          </w:p>
        </w:tc>
      </w:tr>
      <w:tr>
        <w:trPr>
          <w:trHeight w:val="168"/>
        </w:trPr>
        <w:tc>
          <w:tcPr>
            <w:tcW w:w="1980" w:type="dxa"/>
            <w:vAlign w:val="bottom"/>
            <w:tcBorders>
              <w:bottom w:val="single" w:sz="8" w:color="CC092F"/>
            </w:tcBorders>
            <w:shd w:val="clear" w:color="auto" w:fill="B8B8B8"/>
          </w:tcPr>
          <w:p>
            <w:pPr>
              <w:ind w:left="20"/>
              <w:spacing w:after="0"/>
              <w:rPr>
                <w:sz w:val="20"/>
                <w:szCs w:val="20"/>
                <w:color w:val="auto"/>
              </w:rPr>
            </w:pPr>
            <w:r>
              <w:rPr>
                <w:rFonts w:ascii="Arial" w:cs="Arial" w:eastAsia="Arial" w:hAnsi="Arial"/>
                <w:sz w:val="14"/>
                <w:szCs w:val="14"/>
                <w:color w:val="FFFFFF"/>
              </w:rPr>
              <w:t>Earned</w:t>
            </w:r>
          </w:p>
        </w:tc>
        <w:tc>
          <w:tcPr>
            <w:tcW w:w="1120" w:type="dxa"/>
            <w:vAlign w:val="bottom"/>
            <w:tcBorders>
              <w:bottom w:val="single" w:sz="8" w:color="CC092F"/>
            </w:tcBorders>
            <w:shd w:val="clear" w:color="auto" w:fill="B8B8B8"/>
          </w:tcPr>
          <w:p>
            <w:pPr>
              <w:spacing w:after="0"/>
              <w:rPr>
                <w:sz w:val="14"/>
                <w:szCs w:val="14"/>
                <w:color w:val="auto"/>
              </w:rPr>
            </w:pPr>
          </w:p>
        </w:tc>
      </w:tr>
      <w:tr>
        <w:trPr>
          <w:trHeight w:val="208"/>
        </w:trPr>
        <w:tc>
          <w:tcPr>
            <w:tcW w:w="1980" w:type="dxa"/>
            <w:vAlign w:val="bottom"/>
          </w:tcPr>
          <w:p>
            <w:pPr>
              <w:ind w:left="180"/>
              <w:spacing w:after="0"/>
              <w:rPr>
                <w:sz w:val="20"/>
                <w:szCs w:val="20"/>
                <w:color w:val="auto"/>
              </w:rPr>
            </w:pPr>
            <w:r>
              <w:rPr>
                <w:rFonts w:ascii="Arial" w:cs="Arial" w:eastAsia="Arial" w:hAnsi="Arial"/>
                <w:sz w:val="14"/>
                <w:szCs w:val="14"/>
                <w:color w:val="242424"/>
              </w:rPr>
              <w:t>Kirsten M. Spears</w:t>
            </w:r>
          </w:p>
        </w:tc>
        <w:tc>
          <w:tcPr>
            <w:tcW w:w="1120" w:type="dxa"/>
            <w:vAlign w:val="bottom"/>
          </w:tcPr>
          <w:p>
            <w:pPr>
              <w:jc w:val="center"/>
              <w:spacing w:after="0"/>
              <w:rPr>
                <w:sz w:val="20"/>
                <w:szCs w:val="20"/>
                <w:color w:val="auto"/>
              </w:rPr>
            </w:pPr>
            <w:r>
              <w:rPr>
                <w:rFonts w:ascii="Arial" w:cs="Arial" w:eastAsia="Arial" w:hAnsi="Arial"/>
                <w:sz w:val="14"/>
                <w:szCs w:val="14"/>
                <w:color w:val="242424"/>
              </w:rPr>
              <w:t>1,562 shares</w:t>
            </w:r>
          </w:p>
        </w:tc>
      </w:tr>
      <w:tr>
        <w:trPr>
          <w:trHeight w:val="38"/>
        </w:trPr>
        <w:tc>
          <w:tcPr>
            <w:tcW w:w="19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5"/>
        </w:trPr>
        <w:tc>
          <w:tcPr>
            <w:tcW w:w="1980" w:type="dxa"/>
            <w:vAlign w:val="bottom"/>
            <w:tcBorders>
              <w:bottom w:val="single" w:sz="8" w:color="EAEAEA"/>
            </w:tcBorders>
            <w:shd w:val="clear" w:color="auto" w:fill="EAEAEA"/>
          </w:tcPr>
          <w:p>
            <w:pPr>
              <w:ind w:left="180"/>
              <w:spacing w:after="0"/>
              <w:rPr>
                <w:sz w:val="20"/>
                <w:szCs w:val="20"/>
                <w:color w:val="auto"/>
              </w:rPr>
            </w:pPr>
            <w:r>
              <w:rPr>
                <w:rFonts w:ascii="Arial" w:cs="Arial" w:eastAsia="Arial" w:hAnsi="Arial"/>
                <w:sz w:val="14"/>
                <w:szCs w:val="14"/>
                <w:color w:val="242424"/>
              </w:rPr>
              <w:t>Mark D. Brazeal</w:t>
            </w:r>
          </w:p>
        </w:tc>
        <w:tc>
          <w:tcPr>
            <w:tcW w:w="112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color w:val="242424"/>
              </w:rPr>
              <w:t>1,875 shares</w:t>
            </w:r>
          </w:p>
        </w:tc>
      </w:tr>
      <w:tr>
        <w:trPr>
          <w:trHeight w:val="228"/>
        </w:trPr>
        <w:tc>
          <w:tcPr>
            <w:tcW w:w="1980" w:type="dxa"/>
            <w:vAlign w:val="bottom"/>
          </w:tcPr>
          <w:p>
            <w:pPr>
              <w:ind w:left="180"/>
              <w:spacing w:after="0"/>
              <w:rPr>
                <w:sz w:val="20"/>
                <w:szCs w:val="20"/>
                <w:color w:val="auto"/>
              </w:rPr>
            </w:pPr>
            <w:r>
              <w:rPr>
                <w:rFonts w:ascii="Arial" w:cs="Arial" w:eastAsia="Arial" w:hAnsi="Arial"/>
                <w:sz w:val="14"/>
                <w:szCs w:val="14"/>
                <w:color w:val="242424"/>
              </w:rPr>
              <w:t>Charlie B. Kawwas, Ph.D.</w:t>
            </w:r>
          </w:p>
        </w:tc>
        <w:tc>
          <w:tcPr>
            <w:tcW w:w="1120" w:type="dxa"/>
            <w:vAlign w:val="bottom"/>
          </w:tcPr>
          <w:p>
            <w:pPr>
              <w:jc w:val="center"/>
              <w:spacing w:after="0"/>
              <w:rPr>
                <w:sz w:val="20"/>
                <w:szCs w:val="20"/>
                <w:color w:val="auto"/>
              </w:rPr>
            </w:pPr>
            <w:r>
              <w:rPr>
                <w:rFonts w:ascii="Arial" w:cs="Arial" w:eastAsia="Arial" w:hAnsi="Arial"/>
                <w:sz w:val="14"/>
                <w:szCs w:val="14"/>
                <w:color w:val="242424"/>
              </w:rPr>
              <w:t>2,500 shares</w:t>
            </w:r>
          </w:p>
        </w:tc>
      </w:tr>
      <w:tr>
        <w:trPr>
          <w:trHeight w:val="37"/>
        </w:trPr>
        <w:tc>
          <w:tcPr>
            <w:tcW w:w="19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8"/>
        </w:trPr>
        <w:tc>
          <w:tcPr>
            <w:tcW w:w="1980" w:type="dxa"/>
            <w:vAlign w:val="bottom"/>
            <w:shd w:val="clear" w:color="auto" w:fill="EAEAEA"/>
          </w:tcPr>
          <w:p>
            <w:pPr>
              <w:ind w:left="180"/>
              <w:spacing w:after="0"/>
              <w:rPr>
                <w:sz w:val="20"/>
                <w:szCs w:val="20"/>
                <w:color w:val="auto"/>
              </w:rPr>
            </w:pPr>
            <w:r>
              <w:rPr>
                <w:rFonts w:ascii="Arial" w:cs="Arial" w:eastAsia="Arial" w:hAnsi="Arial"/>
                <w:sz w:val="14"/>
                <w:szCs w:val="14"/>
                <w:color w:val="242424"/>
              </w:rPr>
              <w:t>Thomas H. Krause, Jr.</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242424"/>
              </w:rPr>
              <w:t>2,500 shares</w:t>
            </w:r>
          </w:p>
        </w:tc>
      </w:tr>
      <w:tr>
        <w:trPr>
          <w:trHeight w:val="38"/>
        </w:trPr>
        <w:tc>
          <w:tcPr>
            <w:tcW w:w="1980" w:type="dxa"/>
            <w:vAlign w:val="bottom"/>
            <w:shd w:val="clear" w:color="auto" w:fill="EAEAEA"/>
          </w:tcPr>
          <w:p>
            <w:pPr>
              <w:spacing w:after="0"/>
              <w:rPr>
                <w:sz w:val="3"/>
                <w:szCs w:val="3"/>
                <w:color w:val="auto"/>
              </w:rPr>
            </w:pPr>
          </w:p>
        </w:tc>
        <w:tc>
          <w:tcPr>
            <w:tcW w:w="1120" w:type="dxa"/>
            <w:vAlign w:val="bottom"/>
            <w:shd w:val="clear" w:color="auto" w:fill="EAEAEA"/>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80"/>
        <w:spacing w:after="0"/>
        <w:tabs>
          <w:tab w:leader="none" w:pos="8160" w:val="left"/>
        </w:tabs>
        <w:rPr>
          <w:sz w:val="20"/>
          <w:szCs w:val="20"/>
          <w:color w:val="auto"/>
        </w:rPr>
      </w:pPr>
      <w:r>
        <w:rPr>
          <w:rFonts w:ascii="Arial" w:cs="Arial" w:eastAsia="Arial" w:hAnsi="Arial"/>
          <w:sz w:val="12"/>
          <w:szCs w:val="12"/>
          <w:b w:val="1"/>
          <w:bCs w:val="1"/>
          <w:color w:val="53565A"/>
        </w:rPr>
        <w:t>Achievement</w:t>
      </w:r>
      <w:r>
        <w:rPr>
          <w:sz w:val="20"/>
          <w:szCs w:val="20"/>
          <w:color w:val="auto"/>
        </w:rPr>
        <w:tab/>
      </w:r>
      <w:r>
        <w:rPr>
          <w:rFonts w:ascii="Arial" w:cs="Arial" w:eastAsia="Arial" w:hAnsi="Arial"/>
          <w:sz w:val="12"/>
          <w:szCs w:val="12"/>
          <w:b w:val="1"/>
          <w:bCs w:val="1"/>
          <w:color w:val="53565A"/>
        </w:rPr>
        <w:t>Performance Period</w:t>
      </w:r>
    </w:p>
    <w:p>
      <w:pPr>
        <w:ind w:left="6680"/>
        <w:spacing w:after="0" w:line="182" w:lineRule="auto"/>
        <w:tabs>
          <w:tab w:leader="none" w:pos="8080" w:val="left"/>
        </w:tabs>
        <w:rPr>
          <w:sz w:val="20"/>
          <w:szCs w:val="20"/>
          <w:color w:val="auto"/>
        </w:rPr>
      </w:pPr>
      <w:r>
        <w:rPr>
          <w:rFonts w:ascii="Arial" w:cs="Arial" w:eastAsia="Arial" w:hAnsi="Arial"/>
          <w:sz w:val="20"/>
          <w:szCs w:val="20"/>
          <w:b w:val="1"/>
          <w:bCs w:val="1"/>
          <w:color w:val="53565A"/>
          <w:vertAlign w:val="superscript"/>
        </w:rPr>
        <w:t>Factor</w:t>
      </w:r>
      <w:r>
        <w:rPr>
          <w:sz w:val="20"/>
          <w:szCs w:val="20"/>
          <w:color w:val="auto"/>
        </w:rPr>
        <w:tab/>
      </w:r>
      <w:r>
        <w:rPr>
          <w:rFonts w:ascii="Arial" w:cs="Arial" w:eastAsia="Arial" w:hAnsi="Arial"/>
          <w:sz w:val="11"/>
          <w:szCs w:val="11"/>
          <w:b w:val="1"/>
          <w:bCs w:val="1"/>
          <w:color w:val="53565A"/>
        </w:rPr>
        <w:t>Relative TSR Achieved</w:t>
      </w:r>
    </w:p>
    <w:p>
      <w:pPr>
        <w:sectPr>
          <w:pgSz w:w="11900" w:h="16838" w:orient="portrait"/>
          <w:cols w:equalWidth="0" w:num="1">
            <w:col w:w="11220"/>
          </w:cols>
          <w:pgMar w:left="320" w:top="1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41</w:t>
      </w:r>
    </w:p>
    <w:p>
      <w:pPr>
        <w:sectPr>
          <w:pgSz w:w="11900" w:h="16838" w:orient="portrait"/>
          <w:cols w:equalWidth="0" w:num="1">
            <w:col w:w="11220"/>
          </w:cols>
          <w:pgMar w:left="320" w:top="181" w:right="359" w:bottom="1440" w:gutter="0" w:footer="0" w:header="0"/>
          <w:type w:val="continuous"/>
        </w:sectPr>
      </w:pPr>
    </w:p>
    <w:bookmarkStart w:id="44" w:name="page45"/>
    <w:bookmarkEnd w:id="44"/>
    <w:p>
      <w:pPr>
        <w:ind w:left="20"/>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Additional Compensation Practices and Policies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Employee Stock Purchase Plan</w:t>
      </w:r>
    </w:p>
    <w:p>
      <w:pPr>
        <w:spacing w:after="0" w:line="19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242424"/>
        </w:rPr>
        <w:t>Executives employed by our participating subsidiaries, including all of our NEOs, may also participate in our Employee Stock Purchase Plan (the “ESPP”). Our ESPP provides eligible employees with the opportunity to acquire Broadcom common stock through periodic payroll deductions, at a 15% discount, based on a six-month “look-back” period. Our ESPP is structured in the U.S. as a qualified plan under Section 423 of the Code. Our ESPP requires participants to hold their purchased shares of common stock for a minimum of six months after any purchase date, unless they cease to be eligible to participate in the ESPP in which case the shares of common stock become freely tradable, subject to applicable securities laws and our insider trading policy.</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Other Compensation</w:t>
      </w:r>
    </w:p>
    <w:p>
      <w:pPr>
        <w:spacing w:after="0" w:line="19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242424"/>
        </w:rPr>
        <w:t>The Compensation Committee provides modest perquisites and other personal benefits to our executives on a case-by-case basis. Typically, the Compensation Committee will provide a perquisite to an executive in limited circumstances, such as where it believes that such benefit is appropriate to assist in the performance of the executive’s duties, to make the executive more efficient and effective, and for recruitment, motivation, retention or security purposes. For example, in Fiscal Year 2021, Mr. Tan received reimbursement for travel to his residence in Pennsylvania and a car service for business-related travel in the San Francisco Bay Area, both of which were approved by the independent directors. For additional information on the perquisites and other personal benefits provided to our NEOs in Fiscal Year 2021, see the “</w:t>
      </w:r>
      <w:r>
        <w:rPr>
          <w:rFonts w:ascii="Arial" w:cs="Arial" w:eastAsia="Arial" w:hAnsi="Arial"/>
          <w:sz w:val="18"/>
          <w:szCs w:val="18"/>
          <w:i w:val="1"/>
          <w:iCs w:val="1"/>
          <w:color w:val="242424"/>
        </w:rPr>
        <w:t>Fiscal</w:t>
      </w:r>
      <w:r>
        <w:rPr>
          <w:rFonts w:ascii="Arial" w:cs="Arial" w:eastAsia="Arial" w:hAnsi="Arial"/>
          <w:sz w:val="18"/>
          <w:szCs w:val="18"/>
          <w:color w:val="242424"/>
        </w:rPr>
        <w:t xml:space="preserve"> </w:t>
      </w:r>
      <w:r>
        <w:rPr>
          <w:rFonts w:ascii="Arial" w:cs="Arial" w:eastAsia="Arial" w:hAnsi="Arial"/>
          <w:sz w:val="18"/>
          <w:szCs w:val="18"/>
          <w:i w:val="1"/>
          <w:iCs w:val="1"/>
          <w:color w:val="242424"/>
        </w:rPr>
        <w:t>Year 2021 Summary Compensation Table</w:t>
      </w:r>
      <w:r>
        <w:rPr>
          <w:rFonts w:ascii="Arial" w:cs="Arial" w:eastAsia="Arial" w:hAnsi="Arial"/>
          <w:sz w:val="18"/>
          <w:szCs w:val="18"/>
          <w:color w:val="242424"/>
        </w:rPr>
        <w:t>” below.</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Severance and Change in Control Benefits</w:t>
      </w:r>
    </w:p>
    <w:p>
      <w:pPr>
        <w:spacing w:after="0" w:line="19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242424"/>
        </w:rPr>
        <w:t>The Compensation Committee believes that severance and change in control arrangements are important parts of the overall compensation program for our NEOs. Severance arrangements provide a stable work environment and are used primarily to attract and retain individuals with the requisite experience and ability to drive our success. Change in control provisions help to secure the continued employment and dedication of our NEOs, to reduce any concern that they might have regarding their own continued employment prior to or following a change in control of Broadcom and to promote continuity of management during a corporate transaction.</w:t>
      </w:r>
    </w:p>
    <w:p>
      <w:pPr>
        <w:spacing w:after="0" w:line="154" w:lineRule="exact"/>
        <w:rPr>
          <w:sz w:val="20"/>
          <w:szCs w:val="20"/>
          <w:color w:val="auto"/>
        </w:rPr>
      </w:pPr>
    </w:p>
    <w:p>
      <w:pPr>
        <w:spacing w:after="0" w:line="246" w:lineRule="auto"/>
        <w:rPr>
          <w:sz w:val="20"/>
          <w:szCs w:val="20"/>
          <w:color w:val="auto"/>
        </w:rPr>
      </w:pPr>
      <w:r>
        <w:rPr>
          <w:rFonts w:ascii="Arial" w:cs="Arial" w:eastAsia="Arial" w:hAnsi="Arial"/>
          <w:sz w:val="18"/>
          <w:szCs w:val="18"/>
          <w:color w:val="242424"/>
        </w:rPr>
        <w:t>Each of our NEOs is eligible for severance and change in control payments and benefits under their respective severance benefit agreement, including vesting acceleration of the equity awards following a Covered Termination (as defined below under “</w:t>
      </w:r>
      <w:r>
        <w:rPr>
          <w:rFonts w:ascii="Arial" w:cs="Arial" w:eastAsia="Arial" w:hAnsi="Arial"/>
          <w:sz w:val="18"/>
          <w:szCs w:val="18"/>
          <w:i w:val="1"/>
          <w:iCs w:val="1"/>
          <w:color w:val="242424"/>
        </w:rPr>
        <w:t>Executive Compensation —</w:t>
      </w:r>
      <w:r>
        <w:rPr>
          <w:rFonts w:ascii="Arial" w:cs="Arial" w:eastAsia="Arial" w:hAnsi="Arial"/>
          <w:sz w:val="18"/>
          <w:szCs w:val="18"/>
          <w:color w:val="242424"/>
        </w:rPr>
        <w:t xml:space="preserve"> </w:t>
      </w:r>
      <w:r>
        <w:rPr>
          <w:rFonts w:ascii="Arial" w:cs="Arial" w:eastAsia="Arial" w:hAnsi="Arial"/>
          <w:sz w:val="18"/>
          <w:szCs w:val="18"/>
          <w:i w:val="1"/>
          <w:iCs w:val="1"/>
          <w:color w:val="242424"/>
        </w:rPr>
        <w:t>Severance and Change in Control Agreements with Named Executive Officers; Death and Permanent Disability Policies; Retiremen</w:t>
      </w:r>
      <w:r>
        <w:rPr>
          <w:rFonts w:ascii="Arial" w:cs="Arial" w:eastAsia="Arial" w:hAnsi="Arial"/>
          <w:sz w:val="18"/>
          <w:szCs w:val="18"/>
          <w:color w:val="242424"/>
        </w:rPr>
        <w:t>t”) in</w:t>
      </w:r>
      <w:r>
        <w:rPr>
          <w:rFonts w:ascii="Arial" w:cs="Arial" w:eastAsia="Arial" w:hAnsi="Arial"/>
          <w:sz w:val="18"/>
          <w:szCs w:val="18"/>
          <w:i w:val="1"/>
          <w:iCs w:val="1"/>
          <w:color w:val="242424"/>
        </w:rPr>
        <w:t xml:space="preserve"> </w:t>
      </w:r>
      <w:r>
        <w:rPr>
          <w:rFonts w:ascii="Arial" w:cs="Arial" w:eastAsia="Arial" w:hAnsi="Arial"/>
          <w:sz w:val="18"/>
          <w:szCs w:val="18"/>
          <w:color w:val="242424"/>
        </w:rPr>
        <w:t>connection with a change in control, which is commonly referred to as a “double trigger” provision. The Compensation Committee provides such payments and benefits to our NEOs based on its review of severance practices at the companies in our compensation peer group and as the result of arms’ length negotiations at the time our NEOs enter into employment with Broadcom, when they are requested to take on additional responsibilities, or from time to time if deemed necessary or desirable to achieve parity with other NEOs or otherwise. Further, we believe our double trigger change in control arrangements protects stockholder value by allowing us the opportunity to deliver a motivated management team to any potential acquirer. If we did not offer any such change in control arrangements, our NEOs could be less motivated to pursue a potential acquisition even if such a transaction would benefit our stockholders, due to the possibility that they would lose the potential value of their unvested equity compensation upon an acquisition.</w:t>
      </w:r>
    </w:p>
    <w:p>
      <w:pPr>
        <w:spacing w:after="0" w:line="157" w:lineRule="exact"/>
        <w:rPr>
          <w:sz w:val="20"/>
          <w:szCs w:val="20"/>
          <w:color w:val="auto"/>
        </w:rPr>
      </w:pPr>
    </w:p>
    <w:p>
      <w:pPr>
        <w:jc w:val="both"/>
        <w:ind w:right="420"/>
        <w:spacing w:after="0" w:line="248" w:lineRule="auto"/>
        <w:rPr>
          <w:sz w:val="20"/>
          <w:szCs w:val="20"/>
          <w:color w:val="auto"/>
        </w:rPr>
      </w:pPr>
      <w:r>
        <w:rPr>
          <w:rFonts w:ascii="Arial" w:cs="Arial" w:eastAsia="Arial" w:hAnsi="Arial"/>
          <w:sz w:val="18"/>
          <w:szCs w:val="18"/>
          <w:color w:val="242424"/>
        </w:rPr>
        <w:t>For a summary of the material terms and conditions of these arrangements, as well as an estimate of the post-employment payments and benefits that our NEOs are eligible to receive, see “</w:t>
      </w:r>
      <w:r>
        <w:rPr>
          <w:rFonts w:ascii="Arial" w:cs="Arial" w:eastAsia="Arial" w:hAnsi="Arial"/>
          <w:sz w:val="18"/>
          <w:szCs w:val="18"/>
          <w:i w:val="1"/>
          <w:iCs w:val="1"/>
          <w:color w:val="242424"/>
        </w:rPr>
        <w:t>Executive Compensation – Severance and Change in Control Agreements with Named</w:t>
      </w:r>
      <w:r>
        <w:rPr>
          <w:rFonts w:ascii="Arial" w:cs="Arial" w:eastAsia="Arial" w:hAnsi="Arial"/>
          <w:sz w:val="18"/>
          <w:szCs w:val="18"/>
          <w:color w:val="242424"/>
        </w:rPr>
        <w:t xml:space="preserve"> </w:t>
      </w:r>
      <w:r>
        <w:rPr>
          <w:rFonts w:ascii="Arial" w:cs="Arial" w:eastAsia="Arial" w:hAnsi="Arial"/>
          <w:sz w:val="18"/>
          <w:szCs w:val="18"/>
          <w:i w:val="1"/>
          <w:iCs w:val="1"/>
          <w:color w:val="242424"/>
        </w:rPr>
        <w:t>Executive Officers; Death and Permanent Disability Policies; Retirement</w:t>
      </w:r>
      <w:r>
        <w:rPr>
          <w:rFonts w:ascii="Arial" w:cs="Arial" w:eastAsia="Arial" w:hAnsi="Arial"/>
          <w:sz w:val="18"/>
          <w:szCs w:val="18"/>
          <w:color w:val="242424"/>
        </w:rPr>
        <w:t>” below.</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Fiscal Year 2022 Compensation Actions</w:t>
      </w:r>
    </w:p>
    <w:p>
      <w:pPr>
        <w:spacing w:after="0" w:line="18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242424"/>
        </w:rPr>
        <w:t>The Compensation Committee and the independent directors carefully considered the desirability of retaining and further incentivizing Mr. Tan to create additional value for our stockholders. They also considered the appropriate market value for the grant of equity awards to Mr. Tan in comparison to awards granted by our peer group companies and in connection with our corporate strategy. In light of these considerations, Mr. Tan was granted an annual PSU award that vests based on our Relative TSR and absolute TSR (the “Fiscal Year 2022 TSR PSU Award”) and PSU award that vests depending on the satisfaction of pre-approved metrics and milestones related to certain strategic objectives (the “Fiscal Year 2022 Strategic PSU Award”), as described below.</w:t>
      </w:r>
    </w:p>
    <w:p>
      <w:pPr>
        <w:spacing w:after="0" w:line="200" w:lineRule="exact"/>
        <w:rPr>
          <w:sz w:val="20"/>
          <w:szCs w:val="20"/>
          <w:color w:val="auto"/>
        </w:rPr>
      </w:pPr>
    </w:p>
    <w:p>
      <w:pPr>
        <w:spacing w:after="0" w:line="252" w:lineRule="exact"/>
        <w:rPr>
          <w:sz w:val="20"/>
          <w:szCs w:val="20"/>
          <w:color w:val="auto"/>
        </w:rPr>
      </w:pPr>
    </w:p>
    <w:p>
      <w:pPr>
        <w:ind w:left="360" w:hanging="354"/>
        <w:spacing w:after="0"/>
        <w:tabs>
          <w:tab w:leader="none" w:pos="360" w:val="left"/>
        </w:tabs>
        <w:numPr>
          <w:ilvl w:val="0"/>
          <w:numId w:val="69"/>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20"/>
          </w:cols>
          <w:pgMar w:left="320" w:top="181"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color w:val="CC09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46" w:lineRule="auto"/>
        <w:rPr>
          <w:sz w:val="20"/>
          <w:szCs w:val="20"/>
          <w:color w:val="auto"/>
        </w:rPr>
      </w:pPr>
      <w:r>
        <w:rPr>
          <w:rFonts w:ascii="Arial" w:cs="Arial" w:eastAsia="Arial" w:hAnsi="Arial"/>
          <w:sz w:val="18"/>
          <w:szCs w:val="18"/>
          <w:color w:val="242424"/>
        </w:rPr>
        <w:t>In September 2021, the independent directors approved the Fiscal Year 2022 TSR PSU Award with a target value of $26,000,000 and effective as of and based on the closing price of our common stock on November 1, 2021. The target number of shares was determined by dividing the target value by the closing price of Broadcom’s common stock on November 1, 2021 (rounded down to the nearest share). Mr. Tan may earn up to 300% of the target number of shares based on our Relative TSR and absolute TSR performance measured over the period beginning on November 1, 2021 and ending on November 3, 2024 as confirmed by the independent directors and subject to Mr. Tan’s continued employment on the vesting date, November 3, 2024. However, if Mr. Tan retires from Broadcom on or after the last day of Fiscal Year 2022, the performance period will end on the date of his retirement notice and vest on his retirement date. If Mr. Tan’s employment terminates due to his death or permanent disability prior to November 3, 2024, 100% of the Fiscal Year 2022 TSR PSU Award will automatically vest with respect to the target number of shares.</w:t>
      </w:r>
    </w:p>
    <w:p>
      <w:pPr>
        <w:spacing w:after="0" w:line="158"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242424"/>
        </w:rPr>
        <w:t>In October 2021, the independent directors also approved the Fiscal Year 2022 Strategic PSU Award with a maximum value of $10,000,000 and effective as of and based on the closing price of our common stock on November 1, 2021. The maximum number of shares was determined by dividing the maximum value by the closing price of Broadcom’s common stock on November 1, 2021 (rounded down to the nearest share). Mr. Tan will not earn any shares unless the independent directors confirm in their sole discretion that all of the pre-approved metrics and milestones related to corporate strategy, acquisition strategy and leadership development are satisfied during the performance period from November 1, 2021 to October 30, 2022, in which case Mr. Tan will earn the maximum number of shares. Subject to Mr. Tan’s continued employment on the vesting date and achievement of the award’s performance goals, the Fiscal Year 2022 Strategic PSU Award will vest on October 30, 2022. If Mr. Tan’s employment terminates due to his death or permanent disability prior to October 30, 2022, 100% of the Fiscal Year 2022 Strategic PSU Award will automatically vest with respect to the maximum number of shares.</w:t>
      </w:r>
    </w:p>
    <w:p>
      <w:pPr>
        <w:spacing w:after="0" w:line="14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242424"/>
        </w:rPr>
        <w:t>In December 2021, the Compensation Committee retained Meridian, as its independent compensation consultant to assume the role previously held by Compensia. The Compensation Committee has assessed the independence of Meridian pursuant to the six independence factors set forth in the SEC and Nasdaq rules and concluded that Meridian was independent and its work for the Compensation Committee did not raise any conflict of interest. Starting in Fiscal Year 2022, Meridian will provide consulting services to the Compensation Committee and the independent directors. The Compensation Committee has relied on Meridian to review management’s Fiscal Year 2021 annual assessment of compensation-related risks. Meridian will not provide any other services to Broadcom except advising the Compensation Committee and the independent directors on compensation-related matters.</w:t>
      </w:r>
    </w:p>
    <w:p>
      <w:pPr>
        <w:spacing w:after="0" w:line="200" w:lineRule="exact"/>
        <w:rPr>
          <w:sz w:val="20"/>
          <w:szCs w:val="20"/>
          <w:color w:val="auto"/>
        </w:rPr>
      </w:pPr>
    </w:p>
    <w:p>
      <w:pPr>
        <w:spacing w:after="0" w:line="252"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43</w:t>
      </w:r>
    </w:p>
    <w:p>
      <w:pPr>
        <w:sectPr>
          <w:pgSz w:w="11900" w:h="16838" w:orient="portrait"/>
          <w:cols w:equalWidth="0" w:num="1">
            <w:col w:w="11220"/>
          </w:cols>
          <w:pgMar w:left="320" w:top="181" w:right="359" w:bottom="1440" w:gutter="0" w:footer="0" w:header="0"/>
        </w:sectPr>
      </w:pPr>
    </w:p>
    <w:bookmarkStart w:id="46" w:name="page47"/>
    <w:bookmarkEnd w:id="46"/>
    <w:p>
      <w:pPr>
        <w:ind w:left="20"/>
        <w:spacing w:after="0"/>
        <w:rPr>
          <w:sz w:val="20"/>
          <w:szCs w:val="20"/>
          <w:color w:val="auto"/>
        </w:rPr>
      </w:pPr>
      <w:r>
        <w:rPr>
          <w:rFonts w:ascii="Arial" w:cs="Arial" w:eastAsia="Arial" w:hAnsi="Arial"/>
          <w:sz w:val="16"/>
          <w:szCs w:val="16"/>
          <w:color w:val="CC092F"/>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9"/>
        <w:spacing w:after="0"/>
        <w:rPr>
          <w:sz w:val="20"/>
          <w:szCs w:val="20"/>
          <w:color w:val="auto"/>
        </w:rPr>
      </w:pPr>
      <w:r>
        <w:rPr>
          <w:rFonts w:ascii="Arial" w:cs="Arial" w:eastAsia="Arial" w:hAnsi="Arial"/>
          <w:sz w:val="28"/>
          <w:szCs w:val="28"/>
          <w:color w:val="CC092F"/>
        </w:rPr>
        <w:t>COMPENSATION COMMITTEE REPORT</w:t>
      </w:r>
    </w:p>
    <w:p>
      <w:pPr>
        <w:spacing w:after="0" w:line="224" w:lineRule="exact"/>
        <w:rPr>
          <w:sz w:val="20"/>
          <w:szCs w:val="20"/>
          <w:color w:val="auto"/>
        </w:rPr>
      </w:pPr>
    </w:p>
    <w:p>
      <w:pPr>
        <w:spacing w:after="0" w:line="247" w:lineRule="auto"/>
        <w:rPr>
          <w:sz w:val="20"/>
          <w:szCs w:val="20"/>
          <w:color w:val="auto"/>
        </w:rPr>
      </w:pPr>
      <w:r>
        <w:rPr>
          <w:rFonts w:ascii="Arial" w:cs="Arial" w:eastAsia="Arial" w:hAnsi="Arial"/>
          <w:sz w:val="18"/>
          <w:szCs w:val="18"/>
          <w:color w:val="242424"/>
        </w:rPr>
        <w:t>The Compensation Committee has reviewed and discussed with management the Compensation Discussion and Analysis section included in this Proxy Statement, as required by Item 402(b) of Regulation S-K. Based upon such review and related discussions, the Compensation Committee recommended to the Board that the Compensation Discussion and Analysis be included in this Proxy Statement for the Annual Meeting and Broadcom’s Annual Report on Form 10-K for the Fiscal Year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42424"/>
        </w:rPr>
        <w:t>COMPENSATION COMMITTEE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242424"/>
        </w:rPr>
        <w:t>Harry L. You, Chairperson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242424"/>
        </w:rPr>
        <w:t>Diane M. Bryant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242424"/>
        </w:rPr>
        <w:t>Check Kian Low</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242424"/>
        </w:rPr>
        <w:t>Eddy W. Hartenstein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60" w:hanging="354"/>
        <w:spacing w:after="0"/>
        <w:tabs>
          <w:tab w:leader="none" w:pos="360" w:val="left"/>
        </w:tabs>
        <w:numPr>
          <w:ilvl w:val="0"/>
          <w:numId w:val="70"/>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040"/>
          </w:cols>
          <w:pgMar w:left="320" w:top="340" w:right="539" w:bottom="1440" w:gutter="0" w:footer="0" w:header="0"/>
        </w:sectPr>
      </w:pPr>
    </w:p>
    <w:bookmarkStart w:id="47" w:name="page48"/>
    <w:bookmarkEnd w:id="47"/>
    <w:p>
      <w:pPr>
        <w:ind w:left="9000"/>
        <w:spacing w:after="0"/>
        <w:rPr>
          <w:sz w:val="20"/>
          <w:szCs w:val="20"/>
          <w:color w:val="auto"/>
        </w:rPr>
      </w:pPr>
      <w:r>
        <w:rPr>
          <w:rFonts w:ascii="Arial" w:cs="Arial" w:eastAsia="Arial" w:hAnsi="Arial"/>
          <w:sz w:val="15"/>
          <w:szCs w:val="15"/>
          <w:color w:val="CC092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40"/>
        <w:spacing w:after="0"/>
        <w:rPr>
          <w:sz w:val="20"/>
          <w:szCs w:val="20"/>
          <w:color w:val="auto"/>
        </w:rPr>
      </w:pPr>
      <w:r>
        <w:rPr>
          <w:rFonts w:ascii="Arial" w:cs="Arial" w:eastAsia="Arial" w:hAnsi="Arial"/>
          <w:sz w:val="28"/>
          <w:szCs w:val="28"/>
          <w:color w:val="CC092F"/>
        </w:rPr>
        <w:t>EXECUTIVE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Fiscal Year 2021 Summary Compensation Table</w:t>
      </w:r>
    </w:p>
    <w:p>
      <w:pPr>
        <w:spacing w:after="0" w:line="188"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242424"/>
        </w:rPr>
        <w:t>The following table sets forth information about compensation earned by our NEOs during Fiscal Years 2021, 2020 and 2019, except in the case of Ms. Spears who was not a NEO in Fiscal Year 2019. Our NEOs consist of our CEO, our CFO, and each of our three other most highly compensated executive officers serving at the end of Fiscal Year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80" w:type="dxa"/>
            <w:vAlign w:val="bottom"/>
            <w:tcBorders>
              <w:top w:val="single" w:sz="8" w:color="CC092F"/>
            </w:tcBorders>
            <w:shd w:val="clear" w:color="auto" w:fill="B8B8B8"/>
          </w:tcPr>
          <w:p>
            <w:pPr>
              <w:spacing w:after="0"/>
              <w:rPr>
                <w:sz w:val="13"/>
                <w:szCs w:val="13"/>
                <w:color w:val="auto"/>
              </w:rPr>
            </w:pPr>
          </w:p>
        </w:tc>
        <w:tc>
          <w:tcPr>
            <w:tcW w:w="800" w:type="dxa"/>
            <w:vAlign w:val="bottom"/>
            <w:tcBorders>
              <w:top w:val="single" w:sz="8" w:color="CC092F"/>
            </w:tcBorders>
            <w:shd w:val="clear" w:color="auto" w:fill="B8B8B8"/>
          </w:tcPr>
          <w:p>
            <w:pPr>
              <w:spacing w:after="0"/>
              <w:rPr>
                <w:sz w:val="13"/>
                <w:szCs w:val="13"/>
                <w:color w:val="auto"/>
              </w:rPr>
            </w:pPr>
          </w:p>
        </w:tc>
        <w:tc>
          <w:tcPr>
            <w:tcW w:w="1180" w:type="dxa"/>
            <w:vAlign w:val="bottom"/>
            <w:tcBorders>
              <w:top w:val="single" w:sz="8" w:color="CC092F"/>
            </w:tcBorders>
            <w:shd w:val="clear" w:color="auto" w:fill="B8B8B8"/>
          </w:tcPr>
          <w:p>
            <w:pPr>
              <w:spacing w:after="0"/>
              <w:rPr>
                <w:sz w:val="13"/>
                <w:szCs w:val="13"/>
                <w:color w:val="auto"/>
              </w:rPr>
            </w:pPr>
          </w:p>
        </w:tc>
        <w:tc>
          <w:tcPr>
            <w:tcW w:w="1400" w:type="dxa"/>
            <w:vAlign w:val="bottom"/>
            <w:tcBorders>
              <w:top w:val="single" w:sz="8" w:color="CC092F"/>
            </w:tcBorders>
            <w:shd w:val="clear" w:color="auto" w:fill="B8B8B8"/>
          </w:tcPr>
          <w:p>
            <w:pPr>
              <w:spacing w:after="0"/>
              <w:rPr>
                <w:sz w:val="13"/>
                <w:szCs w:val="13"/>
                <w:color w:val="auto"/>
              </w:rPr>
            </w:pPr>
          </w:p>
        </w:tc>
        <w:tc>
          <w:tcPr>
            <w:tcW w:w="1120" w:type="dxa"/>
            <w:vAlign w:val="bottom"/>
            <w:tcBorders>
              <w:top w:val="single" w:sz="8" w:color="CC092F"/>
            </w:tcBorders>
            <w:vMerge w:val="restart"/>
            <w:shd w:val="clear" w:color="auto" w:fill="B8B8B8"/>
          </w:tcPr>
          <w:p>
            <w:pPr>
              <w:jc w:val="right"/>
              <w:ind w:right="449"/>
              <w:spacing w:after="0"/>
              <w:rPr>
                <w:sz w:val="20"/>
                <w:szCs w:val="20"/>
                <w:color w:val="auto"/>
              </w:rPr>
            </w:pPr>
            <w:r>
              <w:rPr>
                <w:rFonts w:ascii="Arial" w:cs="Arial" w:eastAsia="Arial" w:hAnsi="Arial"/>
                <w:sz w:val="14"/>
                <w:szCs w:val="14"/>
                <w:b w:val="1"/>
                <w:bCs w:val="1"/>
                <w:color w:val="FFFFFF"/>
              </w:rPr>
              <w:t>Stock</w:t>
            </w:r>
          </w:p>
        </w:tc>
        <w:tc>
          <w:tcPr>
            <w:tcW w:w="1420" w:type="dxa"/>
            <w:vAlign w:val="bottom"/>
            <w:tcBorders>
              <w:top w:val="single" w:sz="8" w:color="CC092F"/>
            </w:tcBorders>
            <w:shd w:val="clear" w:color="auto" w:fill="B8B8B8"/>
          </w:tcPr>
          <w:p>
            <w:pPr>
              <w:jc w:val="center"/>
              <w:ind w:right="89"/>
              <w:spacing w:after="0" w:line="159" w:lineRule="exact"/>
              <w:rPr>
                <w:sz w:val="20"/>
                <w:szCs w:val="20"/>
                <w:color w:val="auto"/>
              </w:rPr>
            </w:pPr>
            <w:r>
              <w:rPr>
                <w:rFonts w:ascii="Arial" w:cs="Arial" w:eastAsia="Arial" w:hAnsi="Arial"/>
                <w:sz w:val="14"/>
                <w:szCs w:val="14"/>
                <w:b w:val="1"/>
                <w:bCs w:val="1"/>
                <w:color w:val="FFFFFF"/>
                <w:w w:val="99"/>
              </w:rPr>
              <w:t>Non-Equity</w:t>
            </w:r>
          </w:p>
        </w:tc>
        <w:tc>
          <w:tcPr>
            <w:tcW w:w="1540" w:type="dxa"/>
            <w:vAlign w:val="bottom"/>
            <w:tcBorders>
              <w:top w:val="single" w:sz="8" w:color="CC092F"/>
            </w:tcBorders>
            <w:vMerge w:val="restart"/>
            <w:shd w:val="clear" w:color="auto" w:fill="B8B8B8"/>
          </w:tcPr>
          <w:p>
            <w:pPr>
              <w:ind w:left="380"/>
              <w:spacing w:after="0"/>
              <w:rPr>
                <w:sz w:val="20"/>
                <w:szCs w:val="20"/>
                <w:color w:val="auto"/>
              </w:rPr>
            </w:pPr>
            <w:r>
              <w:rPr>
                <w:rFonts w:ascii="Arial" w:cs="Arial" w:eastAsia="Arial" w:hAnsi="Arial"/>
                <w:sz w:val="14"/>
                <w:szCs w:val="14"/>
                <w:b w:val="1"/>
                <w:bCs w:val="1"/>
                <w:color w:val="FFFFFF"/>
              </w:rPr>
              <w:t>All Other</w:t>
            </w:r>
          </w:p>
        </w:tc>
        <w:tc>
          <w:tcPr>
            <w:tcW w:w="1200" w:type="dxa"/>
            <w:vAlign w:val="bottom"/>
            <w:tcBorders>
              <w:top w:val="single" w:sz="8" w:color="CC092F"/>
            </w:tcBorders>
            <w:shd w:val="clear" w:color="auto" w:fill="B8B8B8"/>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580" w:type="dxa"/>
            <w:vAlign w:val="bottom"/>
            <w:vMerge w:val="restart"/>
            <w:shd w:val="clear" w:color="auto" w:fill="B8B8B8"/>
          </w:tcPr>
          <w:p>
            <w:pPr>
              <w:ind w:left="640"/>
              <w:spacing w:after="0"/>
              <w:rPr>
                <w:sz w:val="20"/>
                <w:szCs w:val="20"/>
                <w:color w:val="auto"/>
              </w:rPr>
            </w:pPr>
            <w:r>
              <w:rPr>
                <w:rFonts w:ascii="Arial" w:cs="Arial" w:eastAsia="Arial" w:hAnsi="Arial"/>
                <w:sz w:val="14"/>
                <w:szCs w:val="14"/>
                <w:b w:val="1"/>
                <w:bCs w:val="1"/>
                <w:color w:val="FFFFFF"/>
              </w:rPr>
              <w:t>Name and Principal</w:t>
            </w:r>
          </w:p>
        </w:tc>
        <w:tc>
          <w:tcPr>
            <w:tcW w:w="800" w:type="dxa"/>
            <w:vAlign w:val="bottom"/>
            <w:vMerge w:val="restart"/>
            <w:shd w:val="clear" w:color="auto" w:fill="B8B8B8"/>
          </w:tcPr>
          <w:p>
            <w:pPr>
              <w:jc w:val="center"/>
              <w:spacing w:after="0"/>
              <w:rPr>
                <w:sz w:val="20"/>
                <w:szCs w:val="20"/>
                <w:color w:val="auto"/>
              </w:rPr>
            </w:pPr>
            <w:r>
              <w:rPr>
                <w:rFonts w:ascii="Arial" w:cs="Arial" w:eastAsia="Arial" w:hAnsi="Arial"/>
                <w:sz w:val="14"/>
                <w:szCs w:val="14"/>
                <w:b w:val="1"/>
                <w:bCs w:val="1"/>
                <w:color w:val="FFFFFF"/>
              </w:rPr>
              <w:t>Fiscal</w:t>
            </w:r>
          </w:p>
        </w:tc>
        <w:tc>
          <w:tcPr>
            <w:tcW w:w="1180" w:type="dxa"/>
            <w:vAlign w:val="bottom"/>
            <w:vMerge w:val="restart"/>
            <w:shd w:val="clear" w:color="auto" w:fill="B8B8B8"/>
          </w:tcPr>
          <w:p>
            <w:pPr>
              <w:jc w:val="right"/>
              <w:ind w:right="329"/>
              <w:spacing w:after="0"/>
              <w:rPr>
                <w:sz w:val="20"/>
                <w:szCs w:val="20"/>
                <w:color w:val="auto"/>
              </w:rPr>
            </w:pPr>
            <w:r>
              <w:rPr>
                <w:rFonts w:ascii="Arial" w:cs="Arial" w:eastAsia="Arial" w:hAnsi="Arial"/>
                <w:sz w:val="14"/>
                <w:szCs w:val="14"/>
                <w:b w:val="1"/>
                <w:bCs w:val="1"/>
                <w:color w:val="FFFFFF"/>
              </w:rPr>
              <w:t>Salary</w:t>
            </w:r>
          </w:p>
        </w:tc>
        <w:tc>
          <w:tcPr>
            <w:tcW w:w="1400" w:type="dxa"/>
            <w:vAlign w:val="bottom"/>
            <w:vMerge w:val="restart"/>
            <w:shd w:val="clear" w:color="auto" w:fill="B8B8B8"/>
          </w:tcPr>
          <w:p>
            <w:pPr>
              <w:ind w:left="380"/>
              <w:spacing w:after="0"/>
              <w:rPr>
                <w:sz w:val="20"/>
                <w:szCs w:val="20"/>
                <w:color w:val="auto"/>
              </w:rPr>
            </w:pPr>
            <w:r>
              <w:rPr>
                <w:rFonts w:ascii="Arial" w:cs="Arial" w:eastAsia="Arial" w:hAnsi="Arial"/>
                <w:sz w:val="14"/>
                <w:szCs w:val="14"/>
                <w:b w:val="1"/>
                <w:bCs w:val="1"/>
                <w:color w:val="FFFFFF"/>
              </w:rPr>
              <w:t>Bonus</w:t>
            </w:r>
          </w:p>
        </w:tc>
        <w:tc>
          <w:tcPr>
            <w:tcW w:w="1120" w:type="dxa"/>
            <w:vAlign w:val="bottom"/>
            <w:vMerge w:val="continue"/>
            <w:shd w:val="clear" w:color="auto" w:fill="B8B8B8"/>
          </w:tcPr>
          <w:p>
            <w:pPr>
              <w:spacing w:after="0"/>
              <w:rPr>
                <w:sz w:val="11"/>
                <w:szCs w:val="11"/>
                <w:color w:val="auto"/>
              </w:rPr>
            </w:pPr>
          </w:p>
        </w:tc>
        <w:tc>
          <w:tcPr>
            <w:tcW w:w="1420" w:type="dxa"/>
            <w:vAlign w:val="bottom"/>
            <w:shd w:val="clear" w:color="auto" w:fill="B8B8B8"/>
          </w:tcPr>
          <w:p>
            <w:pPr>
              <w:jc w:val="center"/>
              <w:ind w:right="129"/>
              <w:spacing w:after="0" w:line="133" w:lineRule="exact"/>
              <w:rPr>
                <w:sz w:val="20"/>
                <w:szCs w:val="20"/>
                <w:color w:val="auto"/>
              </w:rPr>
            </w:pPr>
            <w:r>
              <w:rPr>
                <w:rFonts w:ascii="Arial" w:cs="Arial" w:eastAsia="Arial" w:hAnsi="Arial"/>
                <w:sz w:val="14"/>
                <w:szCs w:val="14"/>
                <w:b w:val="1"/>
                <w:bCs w:val="1"/>
                <w:color w:val="FFFFFF"/>
                <w:w w:val="99"/>
              </w:rPr>
              <w:t>Incentive Plan</w:t>
            </w:r>
          </w:p>
        </w:tc>
        <w:tc>
          <w:tcPr>
            <w:tcW w:w="1540" w:type="dxa"/>
            <w:vAlign w:val="bottom"/>
            <w:vMerge w:val="continue"/>
            <w:shd w:val="clear" w:color="auto" w:fill="B8B8B8"/>
          </w:tcPr>
          <w:p>
            <w:pPr>
              <w:spacing w:after="0"/>
              <w:rPr>
                <w:sz w:val="11"/>
                <w:szCs w:val="11"/>
                <w:color w:val="auto"/>
              </w:rPr>
            </w:pPr>
          </w:p>
        </w:tc>
        <w:tc>
          <w:tcPr>
            <w:tcW w:w="1200" w:type="dxa"/>
            <w:vAlign w:val="bottom"/>
            <w:vMerge w:val="restart"/>
            <w:shd w:val="clear" w:color="auto" w:fill="B8B8B8"/>
          </w:tcPr>
          <w:p>
            <w:pPr>
              <w:jc w:val="right"/>
              <w:ind w:right="429"/>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33"/>
        </w:trPr>
        <w:tc>
          <w:tcPr>
            <w:tcW w:w="2580" w:type="dxa"/>
            <w:vAlign w:val="bottom"/>
            <w:vMerge w:val="continue"/>
            <w:shd w:val="clear" w:color="auto" w:fill="B8B8B8"/>
          </w:tcPr>
          <w:p>
            <w:pPr>
              <w:spacing w:after="0"/>
              <w:rPr>
                <w:sz w:val="11"/>
                <w:szCs w:val="11"/>
                <w:color w:val="auto"/>
              </w:rPr>
            </w:pPr>
          </w:p>
        </w:tc>
        <w:tc>
          <w:tcPr>
            <w:tcW w:w="800" w:type="dxa"/>
            <w:vAlign w:val="bottom"/>
            <w:vMerge w:val="continue"/>
            <w:shd w:val="clear" w:color="auto" w:fill="B8B8B8"/>
          </w:tcPr>
          <w:p>
            <w:pPr>
              <w:spacing w:after="0"/>
              <w:rPr>
                <w:sz w:val="11"/>
                <w:szCs w:val="11"/>
                <w:color w:val="auto"/>
              </w:rPr>
            </w:pPr>
          </w:p>
        </w:tc>
        <w:tc>
          <w:tcPr>
            <w:tcW w:w="1180" w:type="dxa"/>
            <w:vAlign w:val="bottom"/>
            <w:vMerge w:val="continue"/>
            <w:shd w:val="clear" w:color="auto" w:fill="B8B8B8"/>
          </w:tcPr>
          <w:p>
            <w:pPr>
              <w:spacing w:after="0"/>
              <w:rPr>
                <w:sz w:val="11"/>
                <w:szCs w:val="11"/>
                <w:color w:val="auto"/>
              </w:rPr>
            </w:pPr>
          </w:p>
        </w:tc>
        <w:tc>
          <w:tcPr>
            <w:tcW w:w="1400" w:type="dxa"/>
            <w:vAlign w:val="bottom"/>
            <w:vMerge w:val="continue"/>
            <w:shd w:val="clear" w:color="auto" w:fill="B8B8B8"/>
          </w:tcPr>
          <w:p>
            <w:pPr>
              <w:spacing w:after="0"/>
              <w:rPr>
                <w:sz w:val="11"/>
                <w:szCs w:val="11"/>
                <w:color w:val="auto"/>
              </w:rPr>
            </w:pPr>
          </w:p>
        </w:tc>
        <w:tc>
          <w:tcPr>
            <w:tcW w:w="1120" w:type="dxa"/>
            <w:vAlign w:val="bottom"/>
            <w:shd w:val="clear" w:color="auto" w:fill="B8B8B8"/>
          </w:tcPr>
          <w:p>
            <w:pPr>
              <w:ind w:left="160"/>
              <w:spacing w:after="0" w:line="133" w:lineRule="exact"/>
              <w:rPr>
                <w:sz w:val="20"/>
                <w:szCs w:val="20"/>
                <w:color w:val="auto"/>
              </w:rPr>
            </w:pPr>
            <w:r>
              <w:rPr>
                <w:rFonts w:ascii="Arial" w:cs="Arial" w:eastAsia="Arial" w:hAnsi="Arial"/>
                <w:sz w:val="14"/>
                <w:szCs w:val="14"/>
                <w:b w:val="1"/>
                <w:bCs w:val="1"/>
                <w:color w:val="FFFFFF"/>
              </w:rPr>
              <w:t>Awards</w:t>
            </w:r>
          </w:p>
        </w:tc>
        <w:tc>
          <w:tcPr>
            <w:tcW w:w="1420" w:type="dxa"/>
            <w:vAlign w:val="bottom"/>
            <w:shd w:val="clear" w:color="auto" w:fill="B8B8B8"/>
          </w:tcPr>
          <w:p>
            <w:pPr>
              <w:jc w:val="center"/>
              <w:ind w:right="129"/>
              <w:spacing w:after="0" w:line="133" w:lineRule="exact"/>
              <w:rPr>
                <w:sz w:val="20"/>
                <w:szCs w:val="20"/>
                <w:color w:val="auto"/>
              </w:rPr>
            </w:pPr>
            <w:r>
              <w:rPr>
                <w:rFonts w:ascii="Arial" w:cs="Arial" w:eastAsia="Arial" w:hAnsi="Arial"/>
                <w:sz w:val="14"/>
                <w:szCs w:val="14"/>
                <w:b w:val="1"/>
                <w:bCs w:val="1"/>
                <w:color w:val="FFFFFF"/>
              </w:rPr>
              <w:t>Compensation</w:t>
            </w:r>
          </w:p>
        </w:tc>
        <w:tc>
          <w:tcPr>
            <w:tcW w:w="1540" w:type="dxa"/>
            <w:vAlign w:val="bottom"/>
            <w:shd w:val="clear" w:color="auto" w:fill="B8B8B8"/>
          </w:tcPr>
          <w:p>
            <w:pPr>
              <w:ind w:left="200"/>
              <w:spacing w:after="0" w:line="133" w:lineRule="exact"/>
              <w:rPr>
                <w:sz w:val="20"/>
                <w:szCs w:val="20"/>
                <w:color w:val="auto"/>
              </w:rPr>
            </w:pPr>
            <w:r>
              <w:rPr>
                <w:rFonts w:ascii="Arial" w:cs="Arial" w:eastAsia="Arial" w:hAnsi="Arial"/>
                <w:sz w:val="14"/>
                <w:szCs w:val="14"/>
                <w:b w:val="1"/>
                <w:bCs w:val="1"/>
                <w:color w:val="FFFFFF"/>
              </w:rPr>
              <w:t>Compensation</w:t>
            </w:r>
          </w:p>
        </w:tc>
        <w:tc>
          <w:tcPr>
            <w:tcW w:w="1200" w:type="dxa"/>
            <w:vAlign w:val="bottom"/>
            <w:vMerge w:val="continue"/>
            <w:shd w:val="clear" w:color="auto" w:fill="B8B8B8"/>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580" w:type="dxa"/>
            <w:vAlign w:val="bottom"/>
            <w:tcBorders>
              <w:bottom w:val="single" w:sz="8" w:color="CC092F"/>
            </w:tcBorders>
            <w:shd w:val="clear" w:color="auto" w:fill="B8B8B8"/>
          </w:tcPr>
          <w:p>
            <w:pPr>
              <w:ind w:left="980"/>
              <w:spacing w:after="0"/>
              <w:rPr>
                <w:sz w:val="20"/>
                <w:szCs w:val="20"/>
                <w:color w:val="auto"/>
              </w:rPr>
            </w:pPr>
            <w:r>
              <w:rPr>
                <w:rFonts w:ascii="Arial" w:cs="Arial" w:eastAsia="Arial" w:hAnsi="Arial"/>
                <w:sz w:val="14"/>
                <w:szCs w:val="14"/>
                <w:b w:val="1"/>
                <w:bCs w:val="1"/>
                <w:color w:val="FFFFFF"/>
              </w:rPr>
              <w:t>Positions</w:t>
            </w:r>
          </w:p>
        </w:tc>
        <w:tc>
          <w:tcPr>
            <w:tcW w:w="80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4"/>
                <w:szCs w:val="14"/>
                <w:b w:val="1"/>
                <w:bCs w:val="1"/>
                <w:color w:val="FFFFFF"/>
                <w:w w:val="92"/>
              </w:rPr>
              <w:t>Year</w:t>
            </w:r>
          </w:p>
        </w:tc>
        <w:tc>
          <w:tcPr>
            <w:tcW w:w="1180" w:type="dxa"/>
            <w:vAlign w:val="bottom"/>
            <w:tcBorders>
              <w:bottom w:val="single" w:sz="8" w:color="CC092F"/>
            </w:tcBorders>
            <w:shd w:val="clear" w:color="auto" w:fill="B8B8B8"/>
          </w:tcPr>
          <w:p>
            <w:pPr>
              <w:jc w:val="right"/>
              <w:ind w:right="429"/>
              <w:spacing w:after="0"/>
              <w:rPr>
                <w:sz w:val="20"/>
                <w:szCs w:val="20"/>
                <w:color w:val="auto"/>
              </w:rPr>
            </w:pPr>
            <w:r>
              <w:rPr>
                <w:rFonts w:ascii="Arial" w:cs="Arial" w:eastAsia="Arial" w:hAnsi="Arial"/>
                <w:sz w:val="14"/>
                <w:szCs w:val="14"/>
                <w:b w:val="1"/>
                <w:bCs w:val="1"/>
                <w:color w:val="FFFFFF"/>
              </w:rPr>
              <w:t>($)</w:t>
            </w:r>
          </w:p>
        </w:tc>
        <w:tc>
          <w:tcPr>
            <w:tcW w:w="1400" w:type="dxa"/>
            <w:vAlign w:val="bottom"/>
            <w:tcBorders>
              <w:bottom w:val="single" w:sz="8" w:color="CC092F"/>
            </w:tcBorders>
            <w:shd w:val="clear" w:color="auto" w:fill="B8B8B8"/>
          </w:tcPr>
          <w:p>
            <w:pPr>
              <w:ind w:left="520"/>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bottom w:val="single" w:sz="8" w:color="CC092F"/>
            </w:tcBorders>
            <w:shd w:val="clear" w:color="auto" w:fill="B8B8B8"/>
          </w:tcPr>
          <w:p>
            <w:pPr>
              <w:jc w:val="right"/>
              <w:ind w:right="469"/>
              <w:spacing w:after="0" w:line="172"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420" w:type="dxa"/>
            <w:vAlign w:val="bottom"/>
            <w:tcBorders>
              <w:bottom w:val="single" w:sz="8" w:color="CC092F"/>
            </w:tcBorders>
            <w:shd w:val="clear" w:color="auto" w:fill="B8B8B8"/>
          </w:tcPr>
          <w:p>
            <w:pPr>
              <w:jc w:val="center"/>
              <w:ind w:right="89"/>
              <w:spacing w:after="0" w:line="172"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8"/>
                <w:szCs w:val="18"/>
                <w:b w:val="1"/>
                <w:bCs w:val="1"/>
                <w:color w:val="FFFFFF"/>
                <w:w w:val="94"/>
                <w:vertAlign w:val="superscript"/>
              </w:rPr>
              <w:t>(2)</w:t>
            </w:r>
          </w:p>
        </w:tc>
        <w:tc>
          <w:tcPr>
            <w:tcW w:w="1540" w:type="dxa"/>
            <w:vAlign w:val="bottom"/>
            <w:tcBorders>
              <w:bottom w:val="single" w:sz="8" w:color="CC092F"/>
            </w:tcBorders>
            <w:shd w:val="clear" w:color="auto" w:fill="B8B8B8"/>
          </w:tcPr>
          <w:p>
            <w:pPr>
              <w:jc w:val="center"/>
              <w:ind w:right="69"/>
              <w:spacing w:after="0"/>
              <w:rPr>
                <w:sz w:val="20"/>
                <w:szCs w:val="20"/>
                <w:color w:val="auto"/>
              </w:rPr>
            </w:pPr>
            <w:r>
              <w:rPr>
                <w:rFonts w:ascii="Arial" w:cs="Arial" w:eastAsia="Arial" w:hAnsi="Arial"/>
                <w:sz w:val="14"/>
                <w:szCs w:val="14"/>
                <w:b w:val="1"/>
                <w:bCs w:val="1"/>
                <w:color w:val="FFFFFF"/>
                <w:w w:val="93"/>
              </w:rPr>
              <w:t>($)</w:t>
            </w:r>
          </w:p>
        </w:tc>
        <w:tc>
          <w:tcPr>
            <w:tcW w:w="1200" w:type="dxa"/>
            <w:vAlign w:val="bottom"/>
            <w:tcBorders>
              <w:bottom w:val="single" w:sz="8" w:color="CC092F"/>
            </w:tcBorders>
            <w:shd w:val="clear" w:color="auto" w:fill="B8B8B8"/>
          </w:tcPr>
          <w:p>
            <w:pPr>
              <w:jc w:val="right"/>
              <w:ind w:right="489"/>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color w:val="242424"/>
              </w:rPr>
              <w:t>Hock E. Tan</w:t>
            </w:r>
          </w:p>
        </w:tc>
        <w:tc>
          <w:tcPr>
            <w:tcW w:w="800" w:type="dxa"/>
            <w:vAlign w:val="bottom"/>
          </w:tcPr>
          <w:p>
            <w:pPr>
              <w:jc w:val="center"/>
              <w:spacing w:after="0"/>
              <w:rPr>
                <w:sz w:val="20"/>
                <w:szCs w:val="20"/>
                <w:color w:val="auto"/>
              </w:rPr>
            </w:pPr>
            <w:r>
              <w:rPr>
                <w:rFonts w:ascii="Arial" w:cs="Arial" w:eastAsia="Arial" w:hAnsi="Arial"/>
                <w:sz w:val="14"/>
                <w:szCs w:val="14"/>
                <w:color w:val="242424"/>
              </w:rPr>
              <w:t>2021</w:t>
            </w:r>
          </w:p>
        </w:tc>
        <w:tc>
          <w:tcPr>
            <w:tcW w:w="1180" w:type="dxa"/>
            <w:vAlign w:val="bottom"/>
          </w:tcPr>
          <w:p>
            <w:pPr>
              <w:jc w:val="right"/>
              <w:ind w:right="69"/>
              <w:spacing w:after="0"/>
              <w:rPr>
                <w:sz w:val="20"/>
                <w:szCs w:val="20"/>
                <w:color w:val="auto"/>
              </w:rPr>
            </w:pPr>
            <w:r>
              <w:rPr>
                <w:rFonts w:ascii="Arial" w:cs="Arial" w:eastAsia="Arial" w:hAnsi="Arial"/>
                <w:sz w:val="14"/>
                <w:szCs w:val="14"/>
                <w:color w:val="242424"/>
              </w:rPr>
              <w:t>1,200,000</w:t>
            </w:r>
          </w:p>
        </w:tc>
        <w:tc>
          <w:tcPr>
            <w:tcW w:w="1400" w:type="dxa"/>
            <w:vAlign w:val="bottom"/>
          </w:tcPr>
          <w:p>
            <w:pPr>
              <w:ind w:left="980"/>
              <w:spacing w:after="0"/>
              <w:rPr>
                <w:sz w:val="20"/>
                <w:szCs w:val="20"/>
                <w:color w:val="auto"/>
              </w:rPr>
            </w:pPr>
            <w:r>
              <w:rPr>
                <w:rFonts w:ascii="Arial" w:cs="Arial" w:eastAsia="Arial" w:hAnsi="Arial"/>
                <w:sz w:val="14"/>
                <w:szCs w:val="14"/>
                <w:color w:val="242424"/>
              </w:rPr>
              <w:t>—</w:t>
            </w:r>
          </w:p>
        </w:tc>
        <w:tc>
          <w:tcPr>
            <w:tcW w:w="1120" w:type="dxa"/>
            <w:vAlign w:val="bottom"/>
          </w:tcPr>
          <w:p>
            <w:pPr>
              <w:ind w:left="160"/>
              <w:spacing w:after="0" w:line="197" w:lineRule="exact"/>
              <w:rPr>
                <w:sz w:val="20"/>
                <w:szCs w:val="20"/>
                <w:color w:val="auto"/>
              </w:rPr>
            </w:pPr>
            <w:r>
              <w:rPr>
                <w:rFonts w:ascii="Arial" w:cs="Arial" w:eastAsia="Arial" w:hAnsi="Arial"/>
                <w:sz w:val="14"/>
                <w:szCs w:val="14"/>
                <w:color w:val="242424"/>
              </w:rPr>
              <w:t>54,056,808</w:t>
            </w:r>
            <w:r>
              <w:rPr>
                <w:rFonts w:ascii="Arial" w:cs="Arial" w:eastAsia="Arial" w:hAnsi="Arial"/>
                <w:sz w:val="18"/>
                <w:szCs w:val="18"/>
                <w:color w:val="242424"/>
                <w:vertAlign w:val="superscript"/>
              </w:rPr>
              <w:t>(3)</w:t>
            </w:r>
          </w:p>
        </w:tc>
        <w:tc>
          <w:tcPr>
            <w:tcW w:w="1420" w:type="dxa"/>
            <w:vAlign w:val="bottom"/>
          </w:tcPr>
          <w:p>
            <w:pPr>
              <w:jc w:val="right"/>
              <w:ind w:right="109"/>
              <w:spacing w:after="0"/>
              <w:rPr>
                <w:sz w:val="20"/>
                <w:szCs w:val="20"/>
                <w:color w:val="auto"/>
              </w:rPr>
            </w:pPr>
            <w:r>
              <w:rPr>
                <w:rFonts w:ascii="Arial" w:cs="Arial" w:eastAsia="Arial" w:hAnsi="Arial"/>
                <w:sz w:val="14"/>
                <w:szCs w:val="14"/>
                <w:color w:val="242424"/>
              </w:rPr>
              <w:t>5,400,000</w:t>
            </w:r>
          </w:p>
        </w:tc>
        <w:tc>
          <w:tcPr>
            <w:tcW w:w="1540" w:type="dxa"/>
            <w:vAlign w:val="bottom"/>
          </w:tcPr>
          <w:p>
            <w:pPr>
              <w:ind w:left="500"/>
              <w:spacing w:after="0"/>
              <w:rPr>
                <w:sz w:val="20"/>
                <w:szCs w:val="20"/>
                <w:color w:val="auto"/>
              </w:rPr>
            </w:pPr>
            <w:r>
              <w:rPr>
                <w:rFonts w:ascii="Arial" w:cs="Arial" w:eastAsia="Arial" w:hAnsi="Arial"/>
                <w:sz w:val="14"/>
                <w:szCs w:val="14"/>
                <w:color w:val="242424"/>
              </w:rPr>
              <w:t>46,819</w:t>
            </w:r>
            <w:r>
              <w:rPr>
                <w:rFonts w:ascii="Arial" w:cs="Arial" w:eastAsia="Arial" w:hAnsi="Arial"/>
                <w:sz w:val="16"/>
                <w:szCs w:val="16"/>
                <w:color w:val="242424"/>
                <w:vertAlign w:val="superscript"/>
              </w:rPr>
              <w:t>(4)</w:t>
            </w:r>
          </w:p>
        </w:tc>
        <w:tc>
          <w:tcPr>
            <w:tcW w:w="1200" w:type="dxa"/>
            <w:vAlign w:val="bottom"/>
          </w:tcPr>
          <w:p>
            <w:pPr>
              <w:jc w:val="right"/>
              <w:ind w:right="69"/>
              <w:spacing w:after="0"/>
              <w:rPr>
                <w:sz w:val="20"/>
                <w:szCs w:val="20"/>
                <w:color w:val="auto"/>
              </w:rPr>
            </w:pPr>
            <w:r>
              <w:rPr>
                <w:rFonts w:ascii="Arial" w:cs="Arial" w:eastAsia="Arial" w:hAnsi="Arial"/>
                <w:sz w:val="14"/>
                <w:szCs w:val="14"/>
                <w:color w:val="242424"/>
              </w:rPr>
              <w:t>60,703,627</w:t>
            </w:r>
          </w:p>
        </w:tc>
        <w:tc>
          <w:tcPr>
            <w:tcW w:w="0" w:type="dxa"/>
            <w:vAlign w:val="bottom"/>
          </w:tcPr>
          <w:p>
            <w:pPr>
              <w:spacing w:after="0"/>
              <w:rPr>
                <w:sz w:val="1"/>
                <w:szCs w:val="1"/>
                <w:color w:val="auto"/>
              </w:rPr>
            </w:pPr>
          </w:p>
        </w:tc>
      </w:tr>
      <w:tr>
        <w:trPr>
          <w:trHeight w:val="154"/>
        </w:trPr>
        <w:tc>
          <w:tcPr>
            <w:tcW w:w="2580" w:type="dxa"/>
            <w:vAlign w:val="bottom"/>
          </w:tcPr>
          <w:p>
            <w:pPr>
              <w:ind w:left="100"/>
              <w:spacing w:after="0" w:line="155" w:lineRule="exact"/>
              <w:rPr>
                <w:sz w:val="20"/>
                <w:szCs w:val="20"/>
                <w:color w:val="auto"/>
              </w:rPr>
            </w:pPr>
            <w:r>
              <w:rPr>
                <w:rFonts w:ascii="Arial" w:cs="Arial" w:eastAsia="Arial" w:hAnsi="Arial"/>
                <w:sz w:val="14"/>
                <w:szCs w:val="14"/>
                <w:color w:val="242424"/>
              </w:rPr>
              <w:t>President and Chief</w:t>
            </w:r>
          </w:p>
        </w:tc>
        <w:tc>
          <w:tcPr>
            <w:tcW w:w="800" w:type="dxa"/>
            <w:vAlign w:val="bottom"/>
          </w:tcPr>
          <w:p>
            <w:pPr>
              <w:jc w:val="center"/>
              <w:spacing w:after="0" w:line="155" w:lineRule="exact"/>
              <w:rPr>
                <w:sz w:val="20"/>
                <w:szCs w:val="20"/>
                <w:color w:val="auto"/>
              </w:rPr>
            </w:pPr>
            <w:r>
              <w:rPr>
                <w:rFonts w:ascii="Arial" w:cs="Arial" w:eastAsia="Arial" w:hAnsi="Arial"/>
                <w:sz w:val="14"/>
                <w:szCs w:val="14"/>
                <w:color w:val="242424"/>
              </w:rPr>
              <w:t>2020</w:t>
            </w:r>
          </w:p>
        </w:tc>
        <w:tc>
          <w:tcPr>
            <w:tcW w:w="1180" w:type="dxa"/>
            <w:vAlign w:val="bottom"/>
          </w:tcPr>
          <w:p>
            <w:pPr>
              <w:jc w:val="right"/>
              <w:ind w:right="69"/>
              <w:spacing w:after="0" w:line="155" w:lineRule="exact"/>
              <w:rPr>
                <w:sz w:val="20"/>
                <w:szCs w:val="20"/>
                <w:color w:val="auto"/>
              </w:rPr>
            </w:pPr>
            <w:r>
              <w:rPr>
                <w:rFonts w:ascii="Arial" w:cs="Arial" w:eastAsia="Arial" w:hAnsi="Arial"/>
                <w:sz w:val="14"/>
                <w:szCs w:val="14"/>
                <w:color w:val="242424"/>
              </w:rPr>
              <w:t>1,171,154</w:t>
            </w:r>
          </w:p>
        </w:tc>
        <w:tc>
          <w:tcPr>
            <w:tcW w:w="1400" w:type="dxa"/>
            <w:vAlign w:val="bottom"/>
          </w:tcPr>
          <w:p>
            <w:pPr>
              <w:ind w:left="980"/>
              <w:spacing w:after="0" w:line="155" w:lineRule="exact"/>
              <w:rPr>
                <w:sz w:val="20"/>
                <w:szCs w:val="20"/>
                <w:color w:val="auto"/>
              </w:rPr>
            </w:pPr>
            <w:r>
              <w:rPr>
                <w:rFonts w:ascii="Arial" w:cs="Arial" w:eastAsia="Arial" w:hAnsi="Arial"/>
                <w:sz w:val="14"/>
                <w:szCs w:val="14"/>
                <w:color w:val="242424"/>
              </w:rPr>
              <w:t>—</w:t>
            </w:r>
          </w:p>
        </w:tc>
        <w:tc>
          <w:tcPr>
            <w:tcW w:w="1120" w:type="dxa"/>
            <w:vAlign w:val="bottom"/>
          </w:tcPr>
          <w:p>
            <w:pPr>
              <w:jc w:val="right"/>
              <w:ind w:right="189"/>
              <w:spacing w:after="0" w:line="155" w:lineRule="exact"/>
              <w:rPr>
                <w:sz w:val="20"/>
                <w:szCs w:val="20"/>
                <w:color w:val="auto"/>
              </w:rPr>
            </w:pPr>
            <w:r>
              <w:rPr>
                <w:rFonts w:ascii="Arial" w:cs="Arial" w:eastAsia="Arial" w:hAnsi="Arial"/>
                <w:sz w:val="14"/>
                <w:szCs w:val="14"/>
                <w:color w:val="242424"/>
              </w:rPr>
              <w:t>—</w:t>
            </w:r>
          </w:p>
        </w:tc>
        <w:tc>
          <w:tcPr>
            <w:tcW w:w="1420" w:type="dxa"/>
            <w:vAlign w:val="bottom"/>
          </w:tcPr>
          <w:p>
            <w:pPr>
              <w:jc w:val="right"/>
              <w:ind w:right="109"/>
              <w:spacing w:after="0" w:line="155" w:lineRule="exact"/>
              <w:rPr>
                <w:sz w:val="20"/>
                <w:szCs w:val="20"/>
                <w:color w:val="auto"/>
              </w:rPr>
            </w:pPr>
            <w:r>
              <w:rPr>
                <w:rFonts w:ascii="Arial" w:cs="Arial" w:eastAsia="Arial" w:hAnsi="Arial"/>
                <w:sz w:val="14"/>
                <w:szCs w:val="14"/>
                <w:color w:val="242424"/>
              </w:rPr>
              <w:t>2,452,930</w:t>
            </w:r>
          </w:p>
        </w:tc>
        <w:tc>
          <w:tcPr>
            <w:tcW w:w="1540" w:type="dxa"/>
            <w:vAlign w:val="bottom"/>
          </w:tcPr>
          <w:p>
            <w:pPr>
              <w:jc w:val="center"/>
              <w:ind w:right="69"/>
              <w:spacing w:after="0" w:line="155" w:lineRule="exact"/>
              <w:rPr>
                <w:sz w:val="20"/>
                <w:szCs w:val="20"/>
                <w:color w:val="auto"/>
              </w:rPr>
            </w:pPr>
            <w:r>
              <w:rPr>
                <w:rFonts w:ascii="Arial" w:cs="Arial" w:eastAsia="Arial" w:hAnsi="Arial"/>
                <w:sz w:val="14"/>
                <w:szCs w:val="14"/>
                <w:color w:val="242424"/>
              </w:rPr>
              <w:t>71,768</w:t>
            </w:r>
          </w:p>
        </w:tc>
        <w:tc>
          <w:tcPr>
            <w:tcW w:w="1200" w:type="dxa"/>
            <w:vAlign w:val="bottom"/>
          </w:tcPr>
          <w:p>
            <w:pPr>
              <w:jc w:val="right"/>
              <w:ind w:right="69"/>
              <w:spacing w:after="0" w:line="155" w:lineRule="exact"/>
              <w:rPr>
                <w:sz w:val="20"/>
                <w:szCs w:val="20"/>
                <w:color w:val="auto"/>
              </w:rPr>
            </w:pPr>
            <w:r>
              <w:rPr>
                <w:rFonts w:ascii="Arial" w:cs="Arial" w:eastAsia="Arial" w:hAnsi="Arial"/>
                <w:sz w:val="14"/>
                <w:szCs w:val="14"/>
                <w:color w:val="242424"/>
              </w:rPr>
              <w:t>3,695,852</w:t>
            </w:r>
          </w:p>
        </w:tc>
        <w:tc>
          <w:tcPr>
            <w:tcW w:w="0" w:type="dxa"/>
            <w:vAlign w:val="bottom"/>
          </w:tcPr>
          <w:p>
            <w:pPr>
              <w:spacing w:after="0"/>
              <w:rPr>
                <w:sz w:val="1"/>
                <w:szCs w:val="1"/>
                <w:color w:val="auto"/>
              </w:rPr>
            </w:pPr>
          </w:p>
        </w:tc>
      </w:tr>
      <w:tr>
        <w:trPr>
          <w:trHeight w:val="170"/>
        </w:trPr>
        <w:tc>
          <w:tcPr>
            <w:tcW w:w="2580" w:type="dxa"/>
            <w:vAlign w:val="bottom"/>
          </w:tcPr>
          <w:p>
            <w:pPr>
              <w:ind w:left="100"/>
              <w:spacing w:after="0"/>
              <w:rPr>
                <w:sz w:val="20"/>
                <w:szCs w:val="20"/>
                <w:color w:val="auto"/>
              </w:rPr>
            </w:pPr>
            <w:r>
              <w:rPr>
                <w:rFonts w:ascii="Arial" w:cs="Arial" w:eastAsia="Arial" w:hAnsi="Arial"/>
                <w:sz w:val="14"/>
                <w:szCs w:val="14"/>
                <w:color w:val="242424"/>
              </w:rPr>
              <w:t>Executive Officer</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242424"/>
              </w:rPr>
              <w:t>2019</w:t>
            </w:r>
          </w:p>
        </w:tc>
        <w:tc>
          <w:tcPr>
            <w:tcW w:w="1180" w:type="dxa"/>
            <w:vAlign w:val="bottom"/>
            <w:vMerge w:val="restart"/>
          </w:tcPr>
          <w:p>
            <w:pPr>
              <w:jc w:val="right"/>
              <w:ind w:right="69"/>
              <w:spacing w:after="0"/>
              <w:rPr>
                <w:sz w:val="20"/>
                <w:szCs w:val="20"/>
                <w:color w:val="auto"/>
              </w:rPr>
            </w:pPr>
            <w:r>
              <w:rPr>
                <w:rFonts w:ascii="Arial" w:cs="Arial" w:eastAsia="Arial" w:hAnsi="Arial"/>
                <w:sz w:val="14"/>
                <w:szCs w:val="14"/>
                <w:color w:val="242424"/>
              </w:rPr>
              <w:t>1,100,000</w:t>
            </w:r>
          </w:p>
        </w:tc>
        <w:tc>
          <w:tcPr>
            <w:tcW w:w="1400" w:type="dxa"/>
            <w:vAlign w:val="bottom"/>
            <w:vMerge w:val="restart"/>
          </w:tcPr>
          <w:p>
            <w:pPr>
              <w:ind w:left="980"/>
              <w:spacing w:after="0"/>
              <w:rPr>
                <w:sz w:val="20"/>
                <w:szCs w:val="20"/>
                <w:color w:val="auto"/>
              </w:rPr>
            </w:pPr>
            <w:r>
              <w:rPr>
                <w:rFonts w:ascii="Arial" w:cs="Arial" w:eastAsia="Arial" w:hAnsi="Arial"/>
                <w:sz w:val="14"/>
                <w:szCs w:val="14"/>
                <w:color w:val="242424"/>
              </w:rPr>
              <w:t>—</w:t>
            </w:r>
          </w:p>
        </w:tc>
        <w:tc>
          <w:tcPr>
            <w:tcW w:w="1120" w:type="dxa"/>
            <w:vAlign w:val="bottom"/>
            <w:vMerge w:val="restart"/>
          </w:tcPr>
          <w:p>
            <w:pPr>
              <w:jc w:val="right"/>
              <w:ind w:right="189"/>
              <w:spacing w:after="0"/>
              <w:rPr>
                <w:sz w:val="20"/>
                <w:szCs w:val="20"/>
                <w:color w:val="auto"/>
              </w:rPr>
            </w:pPr>
            <w:r>
              <w:rPr>
                <w:rFonts w:ascii="Arial" w:cs="Arial" w:eastAsia="Arial" w:hAnsi="Arial"/>
                <w:sz w:val="14"/>
                <w:szCs w:val="14"/>
                <w:color w:val="242424"/>
              </w:rPr>
              <w:t>—</w:t>
            </w:r>
          </w:p>
        </w:tc>
        <w:tc>
          <w:tcPr>
            <w:tcW w:w="1420" w:type="dxa"/>
            <w:vAlign w:val="bottom"/>
            <w:vMerge w:val="restart"/>
          </w:tcPr>
          <w:p>
            <w:pPr>
              <w:jc w:val="right"/>
              <w:ind w:right="109"/>
              <w:spacing w:after="0"/>
              <w:rPr>
                <w:sz w:val="20"/>
                <w:szCs w:val="20"/>
                <w:color w:val="auto"/>
              </w:rPr>
            </w:pPr>
            <w:r>
              <w:rPr>
                <w:rFonts w:ascii="Arial" w:cs="Arial" w:eastAsia="Arial" w:hAnsi="Arial"/>
                <w:sz w:val="14"/>
                <w:szCs w:val="14"/>
                <w:color w:val="242424"/>
              </w:rPr>
              <w:t>1,202,281</w:t>
            </w:r>
          </w:p>
        </w:tc>
        <w:tc>
          <w:tcPr>
            <w:tcW w:w="1540" w:type="dxa"/>
            <w:vAlign w:val="bottom"/>
            <w:vMerge w:val="restart"/>
          </w:tcPr>
          <w:p>
            <w:pPr>
              <w:jc w:val="center"/>
              <w:ind w:right="69"/>
              <w:spacing w:after="0"/>
              <w:rPr>
                <w:sz w:val="20"/>
                <w:szCs w:val="20"/>
                <w:color w:val="auto"/>
              </w:rPr>
            </w:pPr>
            <w:r>
              <w:rPr>
                <w:rFonts w:ascii="Arial" w:cs="Arial" w:eastAsia="Arial" w:hAnsi="Arial"/>
                <w:sz w:val="14"/>
                <w:szCs w:val="14"/>
                <w:color w:val="242424"/>
              </w:rPr>
              <w:t>64,607</w:t>
            </w:r>
          </w:p>
        </w:tc>
        <w:tc>
          <w:tcPr>
            <w:tcW w:w="1200" w:type="dxa"/>
            <w:vAlign w:val="bottom"/>
            <w:vMerge w:val="restart"/>
          </w:tcPr>
          <w:p>
            <w:pPr>
              <w:jc w:val="right"/>
              <w:ind w:right="69"/>
              <w:spacing w:after="0"/>
              <w:rPr>
                <w:sz w:val="20"/>
                <w:szCs w:val="20"/>
                <w:color w:val="auto"/>
              </w:rPr>
            </w:pPr>
            <w:r>
              <w:rPr>
                <w:rFonts w:ascii="Arial" w:cs="Arial" w:eastAsia="Arial" w:hAnsi="Arial"/>
                <w:sz w:val="14"/>
                <w:szCs w:val="14"/>
                <w:color w:val="242424"/>
              </w:rPr>
              <w:t>2,366,888</w:t>
            </w:r>
          </w:p>
        </w:tc>
        <w:tc>
          <w:tcPr>
            <w:tcW w:w="0" w:type="dxa"/>
            <w:vAlign w:val="bottom"/>
          </w:tcPr>
          <w:p>
            <w:pPr>
              <w:spacing w:after="0"/>
              <w:rPr>
                <w:sz w:val="1"/>
                <w:szCs w:val="1"/>
                <w:color w:val="auto"/>
              </w:rPr>
            </w:pPr>
          </w:p>
        </w:tc>
      </w:tr>
      <w:tr>
        <w:trPr>
          <w:trHeight w:val="71"/>
        </w:trPr>
        <w:tc>
          <w:tcPr>
            <w:tcW w:w="25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580" w:type="dxa"/>
            <w:vAlign w:val="bottom"/>
            <w:shd w:val="clear" w:color="auto" w:fill="EAEAEA"/>
          </w:tcPr>
          <w:p>
            <w:pPr>
              <w:ind w:left="20"/>
              <w:spacing w:after="0" w:line="186" w:lineRule="exact"/>
              <w:rPr>
                <w:sz w:val="20"/>
                <w:szCs w:val="20"/>
                <w:color w:val="auto"/>
              </w:rPr>
            </w:pPr>
            <w:r>
              <w:rPr>
                <w:rFonts w:ascii="Arial" w:cs="Arial" w:eastAsia="Arial" w:hAnsi="Arial"/>
                <w:sz w:val="14"/>
                <w:szCs w:val="14"/>
                <w:color w:val="242424"/>
              </w:rPr>
              <w:t>Kirsten M. Spears</w:t>
            </w:r>
            <w:r>
              <w:rPr>
                <w:rFonts w:ascii="Arial" w:cs="Arial" w:eastAsia="Arial" w:hAnsi="Arial"/>
                <w:sz w:val="18"/>
                <w:szCs w:val="18"/>
                <w:color w:val="242424"/>
                <w:vertAlign w:val="superscript"/>
              </w:rPr>
              <w:t>(5)</w:t>
            </w:r>
          </w:p>
        </w:tc>
        <w:tc>
          <w:tcPr>
            <w:tcW w:w="800" w:type="dxa"/>
            <w:vAlign w:val="bottom"/>
            <w:shd w:val="clear" w:color="auto" w:fill="EAEAEA"/>
          </w:tcPr>
          <w:p>
            <w:pPr>
              <w:jc w:val="center"/>
              <w:spacing w:after="0"/>
              <w:rPr>
                <w:sz w:val="20"/>
                <w:szCs w:val="20"/>
                <w:color w:val="auto"/>
              </w:rPr>
            </w:pPr>
            <w:r>
              <w:rPr>
                <w:rFonts w:ascii="Arial" w:cs="Arial" w:eastAsia="Arial" w:hAnsi="Arial"/>
                <w:sz w:val="14"/>
                <w:szCs w:val="14"/>
                <w:color w:val="242424"/>
              </w:rPr>
              <w:t>2021</w:t>
            </w:r>
          </w:p>
        </w:tc>
        <w:tc>
          <w:tcPr>
            <w:tcW w:w="1180" w:type="dxa"/>
            <w:vAlign w:val="bottom"/>
            <w:shd w:val="clear" w:color="auto" w:fill="EAEAEA"/>
          </w:tcPr>
          <w:p>
            <w:pPr>
              <w:jc w:val="right"/>
              <w:ind w:right="69"/>
              <w:spacing w:after="0"/>
              <w:rPr>
                <w:sz w:val="20"/>
                <w:szCs w:val="20"/>
                <w:color w:val="auto"/>
              </w:rPr>
            </w:pPr>
            <w:r>
              <w:rPr>
                <w:rFonts w:ascii="Arial" w:cs="Arial" w:eastAsia="Arial" w:hAnsi="Arial"/>
                <w:sz w:val="14"/>
                <w:szCs w:val="14"/>
                <w:color w:val="242424"/>
              </w:rPr>
              <w:t>392,781</w:t>
            </w:r>
          </w:p>
        </w:tc>
        <w:tc>
          <w:tcPr>
            <w:tcW w:w="1400" w:type="dxa"/>
            <w:vAlign w:val="bottom"/>
            <w:shd w:val="clear" w:color="auto" w:fill="EAEAEA"/>
          </w:tcPr>
          <w:p>
            <w:pPr>
              <w:ind w:left="980"/>
              <w:spacing w:after="0"/>
              <w:rPr>
                <w:sz w:val="20"/>
                <w:szCs w:val="20"/>
                <w:color w:val="auto"/>
              </w:rPr>
            </w:pPr>
            <w:r>
              <w:rPr>
                <w:rFonts w:ascii="Arial" w:cs="Arial" w:eastAsia="Arial" w:hAnsi="Arial"/>
                <w:sz w:val="14"/>
                <w:szCs w:val="14"/>
                <w:color w:val="242424"/>
              </w:rPr>
              <w:t>—</w:t>
            </w:r>
          </w:p>
        </w:tc>
        <w:tc>
          <w:tcPr>
            <w:tcW w:w="1120" w:type="dxa"/>
            <w:vAlign w:val="bottom"/>
            <w:shd w:val="clear" w:color="auto" w:fill="EAEAEA"/>
          </w:tcPr>
          <w:p>
            <w:pPr>
              <w:jc w:val="right"/>
              <w:ind w:right="189"/>
              <w:spacing w:after="0"/>
              <w:rPr>
                <w:sz w:val="20"/>
                <w:szCs w:val="20"/>
                <w:color w:val="auto"/>
              </w:rPr>
            </w:pPr>
            <w:r>
              <w:rPr>
                <w:rFonts w:ascii="Arial" w:cs="Arial" w:eastAsia="Arial" w:hAnsi="Arial"/>
                <w:sz w:val="14"/>
                <w:szCs w:val="14"/>
                <w:color w:val="242424"/>
              </w:rPr>
              <w:t>13,451,047</w:t>
            </w:r>
          </w:p>
        </w:tc>
        <w:tc>
          <w:tcPr>
            <w:tcW w:w="1420" w:type="dxa"/>
            <w:vAlign w:val="bottom"/>
            <w:shd w:val="clear" w:color="auto" w:fill="EAEAEA"/>
          </w:tcPr>
          <w:p>
            <w:pPr>
              <w:jc w:val="right"/>
              <w:ind w:right="109"/>
              <w:spacing w:after="0"/>
              <w:rPr>
                <w:sz w:val="20"/>
                <w:szCs w:val="20"/>
                <w:color w:val="auto"/>
              </w:rPr>
            </w:pPr>
            <w:r>
              <w:rPr>
                <w:rFonts w:ascii="Arial" w:cs="Arial" w:eastAsia="Arial" w:hAnsi="Arial"/>
                <w:sz w:val="14"/>
                <w:szCs w:val="14"/>
                <w:color w:val="242424"/>
              </w:rPr>
              <w:t>584,233</w:t>
            </w:r>
          </w:p>
        </w:tc>
        <w:tc>
          <w:tcPr>
            <w:tcW w:w="1540" w:type="dxa"/>
            <w:vAlign w:val="bottom"/>
            <w:shd w:val="clear" w:color="auto" w:fill="EAEAEA"/>
          </w:tcPr>
          <w:p>
            <w:pPr>
              <w:ind w:left="500"/>
              <w:spacing w:after="0"/>
              <w:rPr>
                <w:sz w:val="20"/>
                <w:szCs w:val="20"/>
                <w:color w:val="auto"/>
              </w:rPr>
            </w:pPr>
            <w:r>
              <w:rPr>
                <w:rFonts w:ascii="Arial" w:cs="Arial" w:eastAsia="Arial" w:hAnsi="Arial"/>
                <w:sz w:val="14"/>
                <w:szCs w:val="14"/>
                <w:color w:val="242424"/>
              </w:rPr>
              <w:t>17,596</w:t>
            </w:r>
            <w:r>
              <w:rPr>
                <w:rFonts w:ascii="Arial" w:cs="Arial" w:eastAsia="Arial" w:hAnsi="Arial"/>
                <w:sz w:val="16"/>
                <w:szCs w:val="16"/>
                <w:color w:val="242424"/>
                <w:vertAlign w:val="superscript"/>
              </w:rPr>
              <w:t>(6)</w:t>
            </w:r>
          </w:p>
        </w:tc>
        <w:tc>
          <w:tcPr>
            <w:tcW w:w="1200" w:type="dxa"/>
            <w:vAlign w:val="bottom"/>
            <w:shd w:val="clear" w:color="auto" w:fill="EAEAEA"/>
          </w:tcPr>
          <w:p>
            <w:pPr>
              <w:jc w:val="right"/>
              <w:ind w:right="69"/>
              <w:spacing w:after="0"/>
              <w:rPr>
                <w:sz w:val="20"/>
                <w:szCs w:val="20"/>
                <w:color w:val="auto"/>
              </w:rPr>
            </w:pPr>
            <w:r>
              <w:rPr>
                <w:rFonts w:ascii="Arial" w:cs="Arial" w:eastAsia="Arial" w:hAnsi="Arial"/>
                <w:sz w:val="14"/>
                <w:szCs w:val="14"/>
                <w:color w:val="242424"/>
              </w:rPr>
              <w:t>14,445,657</w:t>
            </w:r>
          </w:p>
        </w:tc>
        <w:tc>
          <w:tcPr>
            <w:tcW w:w="0" w:type="dxa"/>
            <w:vAlign w:val="bottom"/>
          </w:tcPr>
          <w:p>
            <w:pPr>
              <w:spacing w:after="0"/>
              <w:rPr>
                <w:sz w:val="1"/>
                <w:szCs w:val="1"/>
                <w:color w:val="auto"/>
              </w:rPr>
            </w:pPr>
          </w:p>
        </w:tc>
      </w:tr>
      <w:tr>
        <w:trPr>
          <w:trHeight w:val="159"/>
        </w:trPr>
        <w:tc>
          <w:tcPr>
            <w:tcW w:w="2580" w:type="dxa"/>
            <w:vAlign w:val="bottom"/>
            <w:shd w:val="clear" w:color="auto" w:fill="EAEAEA"/>
          </w:tcPr>
          <w:p>
            <w:pPr>
              <w:ind w:left="100"/>
              <w:spacing w:after="0" w:line="159" w:lineRule="exact"/>
              <w:rPr>
                <w:sz w:val="20"/>
                <w:szCs w:val="20"/>
                <w:color w:val="auto"/>
              </w:rPr>
            </w:pPr>
            <w:r>
              <w:rPr>
                <w:rFonts w:ascii="Arial" w:cs="Arial" w:eastAsia="Arial" w:hAnsi="Arial"/>
                <w:sz w:val="14"/>
                <w:szCs w:val="14"/>
                <w:color w:val="242424"/>
              </w:rPr>
              <w:t>Chief Financial Officer and Chief</w:t>
            </w:r>
          </w:p>
        </w:tc>
        <w:tc>
          <w:tcPr>
            <w:tcW w:w="800" w:type="dxa"/>
            <w:vAlign w:val="bottom"/>
            <w:shd w:val="clear" w:color="auto" w:fill="EAEAEA"/>
          </w:tcPr>
          <w:p>
            <w:pPr>
              <w:jc w:val="center"/>
              <w:spacing w:after="0" w:line="159" w:lineRule="exact"/>
              <w:rPr>
                <w:sz w:val="20"/>
                <w:szCs w:val="20"/>
                <w:color w:val="auto"/>
              </w:rPr>
            </w:pPr>
            <w:r>
              <w:rPr>
                <w:rFonts w:ascii="Arial" w:cs="Arial" w:eastAsia="Arial" w:hAnsi="Arial"/>
                <w:sz w:val="14"/>
                <w:szCs w:val="14"/>
                <w:color w:val="242424"/>
              </w:rPr>
              <w:t>2020</w:t>
            </w:r>
          </w:p>
        </w:tc>
        <w:tc>
          <w:tcPr>
            <w:tcW w:w="1180" w:type="dxa"/>
            <w:vAlign w:val="bottom"/>
            <w:shd w:val="clear" w:color="auto" w:fill="EAEAEA"/>
          </w:tcPr>
          <w:p>
            <w:pPr>
              <w:jc w:val="right"/>
              <w:ind w:right="69"/>
              <w:spacing w:after="0" w:line="159" w:lineRule="exact"/>
              <w:rPr>
                <w:sz w:val="20"/>
                <w:szCs w:val="20"/>
                <w:color w:val="auto"/>
              </w:rPr>
            </w:pPr>
            <w:r>
              <w:rPr>
                <w:rFonts w:ascii="Arial" w:cs="Arial" w:eastAsia="Arial" w:hAnsi="Arial"/>
                <w:sz w:val="14"/>
                <w:szCs w:val="14"/>
                <w:color w:val="242424"/>
              </w:rPr>
              <w:t>332,964</w:t>
            </w:r>
          </w:p>
        </w:tc>
        <w:tc>
          <w:tcPr>
            <w:tcW w:w="1400" w:type="dxa"/>
            <w:vAlign w:val="bottom"/>
            <w:shd w:val="clear" w:color="auto" w:fill="EAEAEA"/>
          </w:tcPr>
          <w:p>
            <w:pPr>
              <w:ind w:left="980"/>
              <w:spacing w:after="0" w:line="159" w:lineRule="exact"/>
              <w:rPr>
                <w:sz w:val="20"/>
                <w:szCs w:val="20"/>
                <w:color w:val="auto"/>
              </w:rPr>
            </w:pPr>
            <w:r>
              <w:rPr>
                <w:rFonts w:ascii="Arial" w:cs="Arial" w:eastAsia="Arial" w:hAnsi="Arial"/>
                <w:sz w:val="14"/>
                <w:szCs w:val="14"/>
                <w:color w:val="242424"/>
              </w:rPr>
              <w:t>—</w:t>
            </w:r>
          </w:p>
        </w:tc>
        <w:tc>
          <w:tcPr>
            <w:tcW w:w="1120" w:type="dxa"/>
            <w:vAlign w:val="bottom"/>
            <w:shd w:val="clear" w:color="auto" w:fill="EAEAEA"/>
          </w:tcPr>
          <w:p>
            <w:pPr>
              <w:jc w:val="right"/>
              <w:ind w:right="189"/>
              <w:spacing w:after="0" w:line="159" w:lineRule="exact"/>
              <w:rPr>
                <w:sz w:val="20"/>
                <w:szCs w:val="20"/>
                <w:color w:val="auto"/>
              </w:rPr>
            </w:pPr>
            <w:r>
              <w:rPr>
                <w:rFonts w:ascii="Arial" w:cs="Arial" w:eastAsia="Arial" w:hAnsi="Arial"/>
                <w:sz w:val="14"/>
                <w:szCs w:val="14"/>
                <w:color w:val="242424"/>
              </w:rPr>
              <w:t>—</w:t>
            </w:r>
          </w:p>
        </w:tc>
        <w:tc>
          <w:tcPr>
            <w:tcW w:w="1420" w:type="dxa"/>
            <w:vAlign w:val="bottom"/>
            <w:shd w:val="clear" w:color="auto" w:fill="EAEAEA"/>
          </w:tcPr>
          <w:p>
            <w:pPr>
              <w:jc w:val="right"/>
              <w:ind w:right="109"/>
              <w:spacing w:after="0" w:line="159" w:lineRule="exact"/>
              <w:rPr>
                <w:sz w:val="20"/>
                <w:szCs w:val="20"/>
                <w:color w:val="auto"/>
              </w:rPr>
            </w:pPr>
            <w:r>
              <w:rPr>
                <w:rFonts w:ascii="Arial" w:cs="Arial" w:eastAsia="Arial" w:hAnsi="Arial"/>
                <w:sz w:val="14"/>
                <w:szCs w:val="14"/>
                <w:color w:val="242424"/>
              </w:rPr>
              <w:t>187,205</w:t>
            </w:r>
          </w:p>
        </w:tc>
        <w:tc>
          <w:tcPr>
            <w:tcW w:w="1540" w:type="dxa"/>
            <w:vAlign w:val="bottom"/>
            <w:shd w:val="clear" w:color="auto" w:fill="EAEAEA"/>
          </w:tcPr>
          <w:p>
            <w:pPr>
              <w:jc w:val="center"/>
              <w:ind w:right="69"/>
              <w:spacing w:after="0" w:line="159" w:lineRule="exact"/>
              <w:rPr>
                <w:sz w:val="20"/>
                <w:szCs w:val="20"/>
                <w:color w:val="auto"/>
              </w:rPr>
            </w:pPr>
            <w:r>
              <w:rPr>
                <w:rFonts w:ascii="Arial" w:cs="Arial" w:eastAsia="Arial" w:hAnsi="Arial"/>
                <w:sz w:val="14"/>
                <w:szCs w:val="14"/>
                <w:color w:val="242424"/>
              </w:rPr>
              <w:t>16,904</w:t>
            </w:r>
          </w:p>
        </w:tc>
        <w:tc>
          <w:tcPr>
            <w:tcW w:w="1200" w:type="dxa"/>
            <w:vAlign w:val="bottom"/>
            <w:shd w:val="clear" w:color="auto" w:fill="EAEAEA"/>
          </w:tcPr>
          <w:p>
            <w:pPr>
              <w:jc w:val="right"/>
              <w:ind w:right="69"/>
              <w:spacing w:after="0" w:line="159" w:lineRule="exact"/>
              <w:rPr>
                <w:sz w:val="20"/>
                <w:szCs w:val="20"/>
                <w:color w:val="auto"/>
              </w:rPr>
            </w:pPr>
            <w:r>
              <w:rPr>
                <w:rFonts w:ascii="Arial" w:cs="Arial" w:eastAsia="Arial" w:hAnsi="Arial"/>
                <w:sz w:val="14"/>
                <w:szCs w:val="14"/>
                <w:color w:val="242424"/>
              </w:rPr>
              <w:t>537,073</w:t>
            </w:r>
          </w:p>
        </w:tc>
        <w:tc>
          <w:tcPr>
            <w:tcW w:w="0" w:type="dxa"/>
            <w:vAlign w:val="bottom"/>
          </w:tcPr>
          <w:p>
            <w:pPr>
              <w:spacing w:after="0"/>
              <w:rPr>
                <w:sz w:val="1"/>
                <w:szCs w:val="1"/>
                <w:color w:val="auto"/>
              </w:rPr>
            </w:pPr>
          </w:p>
        </w:tc>
      </w:tr>
      <w:tr>
        <w:trPr>
          <w:trHeight w:val="170"/>
        </w:trPr>
        <w:tc>
          <w:tcPr>
            <w:tcW w:w="2580" w:type="dxa"/>
            <w:vAlign w:val="bottom"/>
            <w:shd w:val="clear" w:color="auto" w:fill="EAEAEA"/>
          </w:tcPr>
          <w:p>
            <w:pPr>
              <w:ind w:left="100"/>
              <w:spacing w:after="0"/>
              <w:rPr>
                <w:sz w:val="20"/>
                <w:szCs w:val="20"/>
                <w:color w:val="auto"/>
              </w:rPr>
            </w:pPr>
            <w:r>
              <w:rPr>
                <w:rFonts w:ascii="Arial" w:cs="Arial" w:eastAsia="Arial" w:hAnsi="Arial"/>
                <w:sz w:val="14"/>
                <w:szCs w:val="14"/>
                <w:color w:val="242424"/>
              </w:rPr>
              <w:t>Accounting Officer</w:t>
            </w:r>
          </w:p>
        </w:tc>
        <w:tc>
          <w:tcPr>
            <w:tcW w:w="800" w:type="dxa"/>
            <w:vAlign w:val="bottom"/>
            <w:shd w:val="clear" w:color="auto" w:fill="EAEAEA"/>
          </w:tcPr>
          <w:p>
            <w:pPr>
              <w:spacing w:after="0"/>
              <w:rPr>
                <w:sz w:val="14"/>
                <w:szCs w:val="14"/>
                <w:color w:val="auto"/>
              </w:rPr>
            </w:pPr>
          </w:p>
        </w:tc>
        <w:tc>
          <w:tcPr>
            <w:tcW w:w="1180" w:type="dxa"/>
            <w:vAlign w:val="bottom"/>
            <w:shd w:val="clear" w:color="auto" w:fill="EAEAEA"/>
          </w:tcPr>
          <w:p>
            <w:pPr>
              <w:spacing w:after="0"/>
              <w:rPr>
                <w:sz w:val="14"/>
                <w:szCs w:val="14"/>
                <w:color w:val="auto"/>
              </w:rPr>
            </w:pPr>
          </w:p>
        </w:tc>
        <w:tc>
          <w:tcPr>
            <w:tcW w:w="1400" w:type="dxa"/>
            <w:vAlign w:val="bottom"/>
            <w:shd w:val="clear" w:color="auto" w:fill="EAEAEA"/>
          </w:tcPr>
          <w:p>
            <w:pPr>
              <w:spacing w:after="0"/>
              <w:rPr>
                <w:sz w:val="14"/>
                <w:szCs w:val="14"/>
                <w:color w:val="auto"/>
              </w:rPr>
            </w:pPr>
          </w:p>
        </w:tc>
        <w:tc>
          <w:tcPr>
            <w:tcW w:w="1120" w:type="dxa"/>
            <w:vAlign w:val="bottom"/>
            <w:shd w:val="clear" w:color="auto" w:fill="EAEAEA"/>
          </w:tcPr>
          <w:p>
            <w:pPr>
              <w:spacing w:after="0"/>
              <w:rPr>
                <w:sz w:val="14"/>
                <w:szCs w:val="14"/>
                <w:color w:val="auto"/>
              </w:rPr>
            </w:pPr>
          </w:p>
        </w:tc>
        <w:tc>
          <w:tcPr>
            <w:tcW w:w="1420" w:type="dxa"/>
            <w:vAlign w:val="bottom"/>
            <w:shd w:val="clear" w:color="auto" w:fill="EAEAEA"/>
          </w:tcPr>
          <w:p>
            <w:pPr>
              <w:spacing w:after="0"/>
              <w:rPr>
                <w:sz w:val="14"/>
                <w:szCs w:val="14"/>
                <w:color w:val="auto"/>
              </w:rPr>
            </w:pPr>
          </w:p>
        </w:tc>
        <w:tc>
          <w:tcPr>
            <w:tcW w:w="1540" w:type="dxa"/>
            <w:vAlign w:val="bottom"/>
            <w:shd w:val="clear" w:color="auto" w:fill="EAEAEA"/>
          </w:tcPr>
          <w:p>
            <w:pPr>
              <w:spacing w:after="0"/>
              <w:rPr>
                <w:sz w:val="14"/>
                <w:szCs w:val="14"/>
                <w:color w:val="auto"/>
              </w:rPr>
            </w:pPr>
          </w:p>
        </w:tc>
        <w:tc>
          <w:tcPr>
            <w:tcW w:w="120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EAEAEA"/>
          </w:tcPr>
          <w:p>
            <w:pPr>
              <w:spacing w:after="0"/>
              <w:rPr>
                <w:sz w:val="15"/>
                <w:szCs w:val="15"/>
                <w:color w:val="auto"/>
              </w:rPr>
            </w:pPr>
          </w:p>
        </w:tc>
        <w:tc>
          <w:tcPr>
            <w:tcW w:w="800" w:type="dxa"/>
            <w:vAlign w:val="bottom"/>
            <w:shd w:val="clear" w:color="auto" w:fill="EAEAEA"/>
          </w:tcPr>
          <w:p>
            <w:pPr>
              <w:spacing w:after="0"/>
              <w:rPr>
                <w:sz w:val="15"/>
                <w:szCs w:val="15"/>
                <w:color w:val="auto"/>
              </w:rPr>
            </w:pPr>
          </w:p>
        </w:tc>
        <w:tc>
          <w:tcPr>
            <w:tcW w:w="1180" w:type="dxa"/>
            <w:vAlign w:val="bottom"/>
            <w:shd w:val="clear" w:color="auto" w:fill="EAEAEA"/>
          </w:tcPr>
          <w:p>
            <w:pPr>
              <w:spacing w:after="0"/>
              <w:rPr>
                <w:sz w:val="15"/>
                <w:szCs w:val="15"/>
                <w:color w:val="auto"/>
              </w:rPr>
            </w:pPr>
          </w:p>
        </w:tc>
        <w:tc>
          <w:tcPr>
            <w:tcW w:w="1400" w:type="dxa"/>
            <w:vAlign w:val="bottom"/>
            <w:shd w:val="clear" w:color="auto" w:fill="EAEAEA"/>
          </w:tcPr>
          <w:p>
            <w:pPr>
              <w:spacing w:after="0"/>
              <w:rPr>
                <w:sz w:val="15"/>
                <w:szCs w:val="15"/>
                <w:color w:val="auto"/>
              </w:rPr>
            </w:pPr>
          </w:p>
        </w:tc>
        <w:tc>
          <w:tcPr>
            <w:tcW w:w="1120" w:type="dxa"/>
            <w:vAlign w:val="bottom"/>
            <w:shd w:val="clear" w:color="auto" w:fill="EAEAEA"/>
          </w:tcPr>
          <w:p>
            <w:pPr>
              <w:spacing w:after="0"/>
              <w:rPr>
                <w:sz w:val="15"/>
                <w:szCs w:val="15"/>
                <w:color w:val="auto"/>
              </w:rPr>
            </w:pPr>
          </w:p>
        </w:tc>
        <w:tc>
          <w:tcPr>
            <w:tcW w:w="1420" w:type="dxa"/>
            <w:vAlign w:val="bottom"/>
            <w:shd w:val="clear" w:color="auto" w:fill="EAEAEA"/>
          </w:tcPr>
          <w:p>
            <w:pPr>
              <w:spacing w:after="0"/>
              <w:rPr>
                <w:sz w:val="15"/>
                <w:szCs w:val="15"/>
                <w:color w:val="auto"/>
              </w:rPr>
            </w:pPr>
          </w:p>
        </w:tc>
        <w:tc>
          <w:tcPr>
            <w:tcW w:w="1540" w:type="dxa"/>
            <w:vAlign w:val="bottom"/>
            <w:shd w:val="clear" w:color="auto" w:fill="EAEAEA"/>
          </w:tcPr>
          <w:p>
            <w:pPr>
              <w:spacing w:after="0"/>
              <w:rPr>
                <w:sz w:val="15"/>
                <w:szCs w:val="15"/>
                <w:color w:val="auto"/>
              </w:rPr>
            </w:pPr>
          </w:p>
        </w:tc>
        <w:tc>
          <w:tcPr>
            <w:tcW w:w="1200" w:type="dxa"/>
            <w:vAlign w:val="bottom"/>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580" w:type="dxa"/>
            <w:vAlign w:val="bottom"/>
          </w:tcPr>
          <w:p>
            <w:pPr>
              <w:ind w:left="20"/>
              <w:spacing w:after="0"/>
              <w:rPr>
                <w:sz w:val="20"/>
                <w:szCs w:val="20"/>
                <w:color w:val="auto"/>
              </w:rPr>
            </w:pPr>
            <w:r>
              <w:rPr>
                <w:rFonts w:ascii="Arial" w:cs="Arial" w:eastAsia="Arial" w:hAnsi="Arial"/>
                <w:sz w:val="14"/>
                <w:szCs w:val="14"/>
                <w:color w:val="242424"/>
              </w:rPr>
              <w:t>Mark D. Brazeal</w:t>
            </w:r>
            <w:r>
              <w:rPr>
                <w:rFonts w:ascii="Arial" w:cs="Arial" w:eastAsia="Arial" w:hAnsi="Arial"/>
                <w:sz w:val="18"/>
                <w:szCs w:val="18"/>
                <w:color w:val="242424"/>
                <w:vertAlign w:val="superscript"/>
              </w:rPr>
              <w:t>(7)</w:t>
            </w:r>
          </w:p>
        </w:tc>
        <w:tc>
          <w:tcPr>
            <w:tcW w:w="800" w:type="dxa"/>
            <w:vAlign w:val="bottom"/>
          </w:tcPr>
          <w:p>
            <w:pPr>
              <w:jc w:val="center"/>
              <w:spacing w:after="0"/>
              <w:rPr>
                <w:sz w:val="20"/>
                <w:szCs w:val="20"/>
                <w:color w:val="auto"/>
              </w:rPr>
            </w:pPr>
            <w:r>
              <w:rPr>
                <w:rFonts w:ascii="Arial" w:cs="Arial" w:eastAsia="Arial" w:hAnsi="Arial"/>
                <w:sz w:val="14"/>
                <w:szCs w:val="14"/>
                <w:color w:val="242424"/>
              </w:rPr>
              <w:t>2021</w:t>
            </w:r>
          </w:p>
        </w:tc>
        <w:tc>
          <w:tcPr>
            <w:tcW w:w="1180" w:type="dxa"/>
            <w:vAlign w:val="bottom"/>
          </w:tcPr>
          <w:p>
            <w:pPr>
              <w:jc w:val="right"/>
              <w:ind w:right="69"/>
              <w:spacing w:after="0"/>
              <w:rPr>
                <w:sz w:val="20"/>
                <w:szCs w:val="20"/>
                <w:color w:val="auto"/>
              </w:rPr>
            </w:pPr>
            <w:r>
              <w:rPr>
                <w:rFonts w:ascii="Arial" w:cs="Arial" w:eastAsia="Arial" w:hAnsi="Arial"/>
                <w:sz w:val="14"/>
                <w:szCs w:val="14"/>
                <w:color w:val="242424"/>
              </w:rPr>
              <w:t>500,000</w:t>
            </w:r>
          </w:p>
        </w:tc>
        <w:tc>
          <w:tcPr>
            <w:tcW w:w="1400" w:type="dxa"/>
            <w:vAlign w:val="bottom"/>
          </w:tcPr>
          <w:p>
            <w:pPr>
              <w:ind w:left="980"/>
              <w:spacing w:after="0"/>
              <w:rPr>
                <w:sz w:val="20"/>
                <w:szCs w:val="20"/>
                <w:color w:val="auto"/>
              </w:rPr>
            </w:pPr>
            <w:r>
              <w:rPr>
                <w:rFonts w:ascii="Arial" w:cs="Arial" w:eastAsia="Arial" w:hAnsi="Arial"/>
                <w:sz w:val="14"/>
                <w:szCs w:val="14"/>
                <w:color w:val="242424"/>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242424"/>
              </w:rPr>
              <w:t>—</w:t>
            </w:r>
          </w:p>
        </w:tc>
        <w:tc>
          <w:tcPr>
            <w:tcW w:w="1420" w:type="dxa"/>
            <w:vAlign w:val="bottom"/>
          </w:tcPr>
          <w:p>
            <w:pPr>
              <w:jc w:val="right"/>
              <w:ind w:right="109"/>
              <w:spacing w:after="0"/>
              <w:rPr>
                <w:sz w:val="20"/>
                <w:szCs w:val="20"/>
                <w:color w:val="auto"/>
              </w:rPr>
            </w:pPr>
            <w:r>
              <w:rPr>
                <w:rFonts w:ascii="Arial" w:cs="Arial" w:eastAsia="Arial" w:hAnsi="Arial"/>
                <w:sz w:val="14"/>
                <w:szCs w:val="14"/>
                <w:color w:val="242424"/>
              </w:rPr>
              <w:t>818,750</w:t>
            </w:r>
          </w:p>
        </w:tc>
        <w:tc>
          <w:tcPr>
            <w:tcW w:w="1540" w:type="dxa"/>
            <w:vAlign w:val="bottom"/>
          </w:tcPr>
          <w:p>
            <w:pPr>
              <w:ind w:left="480"/>
              <w:spacing w:after="0"/>
              <w:rPr>
                <w:sz w:val="20"/>
                <w:szCs w:val="20"/>
                <w:color w:val="auto"/>
              </w:rPr>
            </w:pPr>
            <w:r>
              <w:rPr>
                <w:rFonts w:ascii="Arial" w:cs="Arial" w:eastAsia="Arial" w:hAnsi="Arial"/>
                <w:sz w:val="14"/>
                <w:szCs w:val="14"/>
                <w:color w:val="242424"/>
              </w:rPr>
              <w:t>17,400</w:t>
            </w:r>
            <w:r>
              <w:rPr>
                <w:rFonts w:ascii="Arial" w:cs="Arial" w:eastAsia="Arial" w:hAnsi="Arial"/>
                <w:sz w:val="16"/>
                <w:szCs w:val="16"/>
                <w:color w:val="242424"/>
                <w:vertAlign w:val="superscript"/>
              </w:rPr>
              <w:t>(5)</w:t>
            </w:r>
          </w:p>
        </w:tc>
        <w:tc>
          <w:tcPr>
            <w:tcW w:w="1200" w:type="dxa"/>
            <w:vAlign w:val="bottom"/>
          </w:tcPr>
          <w:p>
            <w:pPr>
              <w:jc w:val="right"/>
              <w:ind w:right="69"/>
              <w:spacing w:after="0"/>
              <w:rPr>
                <w:sz w:val="20"/>
                <w:szCs w:val="20"/>
                <w:color w:val="auto"/>
              </w:rPr>
            </w:pPr>
            <w:r>
              <w:rPr>
                <w:rFonts w:ascii="Arial" w:cs="Arial" w:eastAsia="Arial" w:hAnsi="Arial"/>
                <w:sz w:val="14"/>
                <w:szCs w:val="14"/>
                <w:color w:val="242424"/>
              </w:rPr>
              <w:t>1,336,150</w:t>
            </w:r>
          </w:p>
        </w:tc>
        <w:tc>
          <w:tcPr>
            <w:tcW w:w="0" w:type="dxa"/>
            <w:vAlign w:val="bottom"/>
          </w:tcPr>
          <w:p>
            <w:pPr>
              <w:spacing w:after="0"/>
              <w:rPr>
                <w:sz w:val="1"/>
                <w:szCs w:val="1"/>
                <w:color w:val="auto"/>
              </w:rPr>
            </w:pPr>
          </w:p>
        </w:tc>
      </w:tr>
      <w:tr>
        <w:trPr>
          <w:trHeight w:val="172"/>
        </w:trPr>
        <w:tc>
          <w:tcPr>
            <w:tcW w:w="2580" w:type="dxa"/>
            <w:vAlign w:val="bottom"/>
          </w:tcPr>
          <w:p>
            <w:pPr>
              <w:ind w:left="100"/>
              <w:spacing w:after="0"/>
              <w:rPr>
                <w:sz w:val="20"/>
                <w:szCs w:val="20"/>
                <w:color w:val="auto"/>
              </w:rPr>
            </w:pPr>
            <w:r>
              <w:rPr>
                <w:rFonts w:ascii="Arial" w:cs="Arial" w:eastAsia="Arial" w:hAnsi="Arial"/>
                <w:sz w:val="14"/>
                <w:szCs w:val="14"/>
                <w:color w:val="242424"/>
              </w:rPr>
              <w:t>Chief Legal and Corporate Affairs</w:t>
            </w:r>
          </w:p>
        </w:tc>
        <w:tc>
          <w:tcPr>
            <w:tcW w:w="800" w:type="dxa"/>
            <w:vAlign w:val="bottom"/>
          </w:tcPr>
          <w:p>
            <w:pPr>
              <w:jc w:val="center"/>
              <w:spacing w:after="0"/>
              <w:rPr>
                <w:sz w:val="20"/>
                <w:szCs w:val="20"/>
                <w:color w:val="auto"/>
              </w:rPr>
            </w:pPr>
            <w:r>
              <w:rPr>
                <w:rFonts w:ascii="Arial" w:cs="Arial" w:eastAsia="Arial" w:hAnsi="Arial"/>
                <w:sz w:val="14"/>
                <w:szCs w:val="14"/>
                <w:color w:val="242424"/>
              </w:rPr>
              <w:t>2020</w:t>
            </w:r>
          </w:p>
        </w:tc>
        <w:tc>
          <w:tcPr>
            <w:tcW w:w="1180" w:type="dxa"/>
            <w:vAlign w:val="bottom"/>
          </w:tcPr>
          <w:p>
            <w:pPr>
              <w:jc w:val="right"/>
              <w:ind w:right="69"/>
              <w:spacing w:after="0"/>
              <w:rPr>
                <w:sz w:val="20"/>
                <w:szCs w:val="20"/>
                <w:color w:val="auto"/>
              </w:rPr>
            </w:pPr>
            <w:r>
              <w:rPr>
                <w:rFonts w:ascii="Arial" w:cs="Arial" w:eastAsia="Arial" w:hAnsi="Arial"/>
                <w:sz w:val="14"/>
                <w:szCs w:val="14"/>
                <w:color w:val="242424"/>
              </w:rPr>
              <w:t>485,577</w:t>
            </w:r>
          </w:p>
        </w:tc>
        <w:tc>
          <w:tcPr>
            <w:tcW w:w="1400" w:type="dxa"/>
            <w:vAlign w:val="bottom"/>
          </w:tcPr>
          <w:p>
            <w:pPr>
              <w:ind w:left="740"/>
              <w:spacing w:after="0"/>
              <w:rPr>
                <w:sz w:val="20"/>
                <w:szCs w:val="20"/>
                <w:color w:val="auto"/>
              </w:rPr>
            </w:pPr>
            <w:r>
              <w:rPr>
                <w:rFonts w:ascii="Arial" w:cs="Arial" w:eastAsia="Arial" w:hAnsi="Arial"/>
                <w:sz w:val="14"/>
                <w:szCs w:val="14"/>
                <w:color w:val="242424"/>
              </w:rPr>
              <w:t>455,062</w:t>
            </w:r>
          </w:p>
        </w:tc>
        <w:tc>
          <w:tcPr>
            <w:tcW w:w="1120" w:type="dxa"/>
            <w:vAlign w:val="bottom"/>
          </w:tcPr>
          <w:p>
            <w:pPr>
              <w:jc w:val="right"/>
              <w:ind w:right="149"/>
              <w:spacing w:after="0"/>
              <w:rPr>
                <w:sz w:val="20"/>
                <w:szCs w:val="20"/>
                <w:color w:val="auto"/>
              </w:rPr>
            </w:pPr>
            <w:r>
              <w:rPr>
                <w:rFonts w:ascii="Arial" w:cs="Arial" w:eastAsia="Arial" w:hAnsi="Arial"/>
                <w:sz w:val="14"/>
                <w:szCs w:val="14"/>
                <w:color w:val="242424"/>
              </w:rPr>
              <w:t>—</w:t>
            </w:r>
          </w:p>
        </w:tc>
        <w:tc>
          <w:tcPr>
            <w:tcW w:w="1420" w:type="dxa"/>
            <w:vAlign w:val="bottom"/>
          </w:tcPr>
          <w:p>
            <w:pPr>
              <w:jc w:val="right"/>
              <w:ind w:right="109"/>
              <w:spacing w:after="0"/>
              <w:rPr>
                <w:sz w:val="20"/>
                <w:szCs w:val="20"/>
                <w:color w:val="auto"/>
              </w:rPr>
            </w:pPr>
            <w:r>
              <w:rPr>
                <w:rFonts w:ascii="Arial" w:cs="Arial" w:eastAsia="Arial" w:hAnsi="Arial"/>
                <w:sz w:val="14"/>
                <w:szCs w:val="14"/>
                <w:color w:val="242424"/>
              </w:rPr>
              <w:t>544,938</w:t>
            </w:r>
          </w:p>
        </w:tc>
        <w:tc>
          <w:tcPr>
            <w:tcW w:w="1540" w:type="dxa"/>
            <w:vAlign w:val="bottom"/>
          </w:tcPr>
          <w:p>
            <w:pPr>
              <w:jc w:val="center"/>
              <w:ind w:right="69"/>
              <w:spacing w:after="0"/>
              <w:rPr>
                <w:sz w:val="20"/>
                <w:szCs w:val="20"/>
                <w:color w:val="auto"/>
              </w:rPr>
            </w:pPr>
            <w:r>
              <w:rPr>
                <w:rFonts w:ascii="Arial" w:cs="Arial" w:eastAsia="Arial" w:hAnsi="Arial"/>
                <w:sz w:val="14"/>
                <w:szCs w:val="14"/>
                <w:color w:val="242424"/>
              </w:rPr>
              <w:t>43,490</w:t>
            </w:r>
          </w:p>
        </w:tc>
        <w:tc>
          <w:tcPr>
            <w:tcW w:w="1200" w:type="dxa"/>
            <w:vAlign w:val="bottom"/>
          </w:tcPr>
          <w:p>
            <w:pPr>
              <w:jc w:val="right"/>
              <w:ind w:right="69"/>
              <w:spacing w:after="0"/>
              <w:rPr>
                <w:sz w:val="20"/>
                <w:szCs w:val="20"/>
                <w:color w:val="auto"/>
              </w:rPr>
            </w:pPr>
            <w:r>
              <w:rPr>
                <w:rFonts w:ascii="Arial" w:cs="Arial" w:eastAsia="Arial" w:hAnsi="Arial"/>
                <w:sz w:val="14"/>
                <w:szCs w:val="14"/>
                <w:color w:val="242424"/>
              </w:rPr>
              <w:t>1,529,067</w:t>
            </w:r>
          </w:p>
        </w:tc>
        <w:tc>
          <w:tcPr>
            <w:tcW w:w="0" w:type="dxa"/>
            <w:vAlign w:val="bottom"/>
          </w:tcPr>
          <w:p>
            <w:pPr>
              <w:spacing w:after="0"/>
              <w:rPr>
                <w:sz w:val="1"/>
                <w:szCs w:val="1"/>
                <w:color w:val="auto"/>
              </w:rPr>
            </w:pPr>
          </w:p>
        </w:tc>
      </w:tr>
      <w:tr>
        <w:trPr>
          <w:trHeight w:val="223"/>
        </w:trPr>
        <w:tc>
          <w:tcPr>
            <w:tcW w:w="2580" w:type="dxa"/>
            <w:vAlign w:val="bottom"/>
          </w:tcPr>
          <w:p>
            <w:pPr>
              <w:ind w:left="100"/>
              <w:spacing w:after="0"/>
              <w:rPr>
                <w:sz w:val="20"/>
                <w:szCs w:val="20"/>
                <w:color w:val="auto"/>
              </w:rPr>
            </w:pPr>
            <w:r>
              <w:rPr>
                <w:rFonts w:ascii="Arial" w:cs="Arial" w:eastAsia="Arial" w:hAnsi="Arial"/>
                <w:sz w:val="14"/>
                <w:szCs w:val="14"/>
                <w:color w:val="242424"/>
              </w:rPr>
              <w:t>Officer</w:t>
            </w:r>
          </w:p>
        </w:tc>
        <w:tc>
          <w:tcPr>
            <w:tcW w:w="800" w:type="dxa"/>
            <w:vAlign w:val="bottom"/>
          </w:tcPr>
          <w:p>
            <w:pPr>
              <w:jc w:val="center"/>
              <w:spacing w:after="0"/>
              <w:rPr>
                <w:sz w:val="20"/>
                <w:szCs w:val="20"/>
                <w:color w:val="auto"/>
              </w:rPr>
            </w:pPr>
            <w:r>
              <w:rPr>
                <w:rFonts w:ascii="Arial" w:cs="Arial" w:eastAsia="Arial" w:hAnsi="Arial"/>
                <w:sz w:val="14"/>
                <w:szCs w:val="14"/>
                <w:color w:val="242424"/>
              </w:rPr>
              <w:t>2019</w:t>
            </w:r>
          </w:p>
        </w:tc>
        <w:tc>
          <w:tcPr>
            <w:tcW w:w="1180" w:type="dxa"/>
            <w:vAlign w:val="bottom"/>
          </w:tcPr>
          <w:p>
            <w:pPr>
              <w:jc w:val="right"/>
              <w:ind w:right="69"/>
              <w:spacing w:after="0"/>
              <w:rPr>
                <w:sz w:val="20"/>
                <w:szCs w:val="20"/>
                <w:color w:val="auto"/>
              </w:rPr>
            </w:pPr>
            <w:r>
              <w:rPr>
                <w:rFonts w:ascii="Arial" w:cs="Arial" w:eastAsia="Arial" w:hAnsi="Arial"/>
                <w:sz w:val="14"/>
                <w:szCs w:val="14"/>
                <w:color w:val="242424"/>
              </w:rPr>
              <w:t>450,000</w:t>
            </w:r>
          </w:p>
        </w:tc>
        <w:tc>
          <w:tcPr>
            <w:tcW w:w="1400" w:type="dxa"/>
            <w:vAlign w:val="bottom"/>
          </w:tcPr>
          <w:p>
            <w:pPr>
              <w:ind w:left="980"/>
              <w:spacing w:after="0"/>
              <w:rPr>
                <w:sz w:val="20"/>
                <w:szCs w:val="20"/>
                <w:color w:val="auto"/>
              </w:rPr>
            </w:pPr>
            <w:r>
              <w:rPr>
                <w:rFonts w:ascii="Arial" w:cs="Arial" w:eastAsia="Arial" w:hAnsi="Arial"/>
                <w:sz w:val="14"/>
                <w:szCs w:val="14"/>
                <w:color w:val="242424"/>
              </w:rPr>
              <w:t>—</w:t>
            </w:r>
          </w:p>
        </w:tc>
        <w:tc>
          <w:tcPr>
            <w:tcW w:w="1120" w:type="dxa"/>
            <w:vAlign w:val="bottom"/>
          </w:tcPr>
          <w:p>
            <w:pPr>
              <w:jc w:val="right"/>
              <w:ind w:right="189"/>
              <w:spacing w:after="0"/>
              <w:rPr>
                <w:sz w:val="20"/>
                <w:szCs w:val="20"/>
                <w:color w:val="auto"/>
              </w:rPr>
            </w:pPr>
            <w:r>
              <w:rPr>
                <w:rFonts w:ascii="Arial" w:cs="Arial" w:eastAsia="Arial" w:hAnsi="Arial"/>
                <w:sz w:val="14"/>
                <w:szCs w:val="14"/>
                <w:color w:val="242424"/>
              </w:rPr>
              <w:t>12,804,863</w:t>
            </w:r>
          </w:p>
        </w:tc>
        <w:tc>
          <w:tcPr>
            <w:tcW w:w="1420" w:type="dxa"/>
            <w:vAlign w:val="bottom"/>
          </w:tcPr>
          <w:p>
            <w:pPr>
              <w:jc w:val="right"/>
              <w:ind w:right="109"/>
              <w:spacing w:after="0"/>
              <w:rPr>
                <w:sz w:val="20"/>
                <w:szCs w:val="20"/>
                <w:color w:val="auto"/>
              </w:rPr>
            </w:pPr>
            <w:r>
              <w:rPr>
                <w:rFonts w:ascii="Arial" w:cs="Arial" w:eastAsia="Arial" w:hAnsi="Arial"/>
                <w:sz w:val="14"/>
                <w:szCs w:val="14"/>
                <w:color w:val="242424"/>
              </w:rPr>
              <w:t>285,436</w:t>
            </w:r>
          </w:p>
        </w:tc>
        <w:tc>
          <w:tcPr>
            <w:tcW w:w="1540" w:type="dxa"/>
            <w:vAlign w:val="bottom"/>
          </w:tcPr>
          <w:p>
            <w:pPr>
              <w:jc w:val="center"/>
              <w:ind w:right="69"/>
              <w:spacing w:after="0"/>
              <w:rPr>
                <w:sz w:val="20"/>
                <w:szCs w:val="20"/>
                <w:color w:val="auto"/>
              </w:rPr>
            </w:pPr>
            <w:r>
              <w:rPr>
                <w:rFonts w:ascii="Arial" w:cs="Arial" w:eastAsia="Arial" w:hAnsi="Arial"/>
                <w:sz w:val="14"/>
                <w:szCs w:val="14"/>
                <w:color w:val="242424"/>
              </w:rPr>
              <w:t>16,800</w:t>
            </w:r>
          </w:p>
        </w:tc>
        <w:tc>
          <w:tcPr>
            <w:tcW w:w="1200" w:type="dxa"/>
            <w:vAlign w:val="bottom"/>
          </w:tcPr>
          <w:p>
            <w:pPr>
              <w:jc w:val="right"/>
              <w:ind w:right="69"/>
              <w:spacing w:after="0"/>
              <w:rPr>
                <w:sz w:val="20"/>
                <w:szCs w:val="20"/>
                <w:color w:val="auto"/>
              </w:rPr>
            </w:pPr>
            <w:r>
              <w:rPr>
                <w:rFonts w:ascii="Arial" w:cs="Arial" w:eastAsia="Arial" w:hAnsi="Arial"/>
                <w:sz w:val="14"/>
                <w:szCs w:val="14"/>
                <w:color w:val="242424"/>
              </w:rPr>
              <w:t>13,557,099</w:t>
            </w:r>
          </w:p>
        </w:tc>
        <w:tc>
          <w:tcPr>
            <w:tcW w:w="0" w:type="dxa"/>
            <w:vAlign w:val="bottom"/>
          </w:tcPr>
          <w:p>
            <w:pPr>
              <w:spacing w:after="0"/>
              <w:rPr>
                <w:sz w:val="1"/>
                <w:szCs w:val="1"/>
                <w:color w:val="auto"/>
              </w:rPr>
            </w:pPr>
          </w:p>
        </w:tc>
      </w:tr>
      <w:tr>
        <w:trPr>
          <w:trHeight w:val="104"/>
        </w:trPr>
        <w:tc>
          <w:tcPr>
            <w:tcW w:w="2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EAEAEA"/>
          </w:tcPr>
          <w:p>
            <w:pPr>
              <w:ind w:left="20"/>
              <w:spacing w:after="0" w:line="186" w:lineRule="exact"/>
              <w:rPr>
                <w:sz w:val="20"/>
                <w:szCs w:val="20"/>
                <w:color w:val="auto"/>
              </w:rPr>
            </w:pPr>
            <w:r>
              <w:rPr>
                <w:rFonts w:ascii="Arial" w:cs="Arial" w:eastAsia="Arial" w:hAnsi="Arial"/>
                <w:sz w:val="14"/>
                <w:szCs w:val="14"/>
                <w:color w:val="242424"/>
              </w:rPr>
              <w:t>Charlie B. Kawwas, Ph.D.</w:t>
            </w:r>
            <w:r>
              <w:rPr>
                <w:rFonts w:ascii="Arial" w:cs="Arial" w:eastAsia="Arial" w:hAnsi="Arial"/>
                <w:sz w:val="18"/>
                <w:szCs w:val="18"/>
                <w:color w:val="242424"/>
                <w:vertAlign w:val="superscript"/>
              </w:rPr>
              <w:t>(8)</w:t>
            </w:r>
          </w:p>
        </w:tc>
        <w:tc>
          <w:tcPr>
            <w:tcW w:w="800" w:type="dxa"/>
            <w:vAlign w:val="bottom"/>
            <w:shd w:val="clear" w:color="auto" w:fill="EAEAEA"/>
          </w:tcPr>
          <w:p>
            <w:pPr>
              <w:jc w:val="center"/>
              <w:spacing w:after="0"/>
              <w:rPr>
                <w:sz w:val="20"/>
                <w:szCs w:val="20"/>
                <w:color w:val="auto"/>
              </w:rPr>
            </w:pPr>
            <w:r>
              <w:rPr>
                <w:rFonts w:ascii="Arial" w:cs="Arial" w:eastAsia="Arial" w:hAnsi="Arial"/>
                <w:sz w:val="14"/>
                <w:szCs w:val="14"/>
                <w:color w:val="242424"/>
              </w:rPr>
              <w:t>2021</w:t>
            </w:r>
          </w:p>
        </w:tc>
        <w:tc>
          <w:tcPr>
            <w:tcW w:w="1180" w:type="dxa"/>
            <w:vAlign w:val="bottom"/>
            <w:shd w:val="clear" w:color="auto" w:fill="EAEAEA"/>
          </w:tcPr>
          <w:p>
            <w:pPr>
              <w:jc w:val="right"/>
              <w:ind w:right="69"/>
              <w:spacing w:after="0"/>
              <w:rPr>
                <w:sz w:val="20"/>
                <w:szCs w:val="20"/>
                <w:color w:val="auto"/>
              </w:rPr>
            </w:pPr>
            <w:r>
              <w:rPr>
                <w:rFonts w:ascii="Arial" w:cs="Arial" w:eastAsia="Arial" w:hAnsi="Arial"/>
                <w:sz w:val="14"/>
                <w:szCs w:val="14"/>
                <w:color w:val="242424"/>
              </w:rPr>
              <w:t>678,462</w:t>
            </w:r>
          </w:p>
        </w:tc>
        <w:tc>
          <w:tcPr>
            <w:tcW w:w="1400" w:type="dxa"/>
            <w:vAlign w:val="bottom"/>
            <w:shd w:val="clear" w:color="auto" w:fill="EAEAEA"/>
          </w:tcPr>
          <w:p>
            <w:pPr>
              <w:ind w:left="980"/>
              <w:spacing w:after="0"/>
              <w:rPr>
                <w:sz w:val="20"/>
                <w:szCs w:val="20"/>
                <w:color w:val="auto"/>
              </w:rPr>
            </w:pPr>
            <w:r>
              <w:rPr>
                <w:rFonts w:ascii="Arial" w:cs="Arial" w:eastAsia="Arial" w:hAnsi="Arial"/>
                <w:sz w:val="14"/>
                <w:szCs w:val="14"/>
                <w:color w:val="242424"/>
              </w:rPr>
              <w:t>—</w:t>
            </w:r>
          </w:p>
        </w:tc>
        <w:tc>
          <w:tcPr>
            <w:tcW w:w="1120" w:type="dxa"/>
            <w:vAlign w:val="bottom"/>
            <w:shd w:val="clear" w:color="auto" w:fill="EAEAEA"/>
          </w:tcPr>
          <w:p>
            <w:pPr>
              <w:ind w:left="160"/>
              <w:spacing w:after="0" w:line="186" w:lineRule="exact"/>
              <w:rPr>
                <w:sz w:val="20"/>
                <w:szCs w:val="20"/>
                <w:color w:val="auto"/>
              </w:rPr>
            </w:pPr>
            <w:r>
              <w:rPr>
                <w:rFonts w:ascii="Arial" w:cs="Arial" w:eastAsia="Arial" w:hAnsi="Arial"/>
                <w:sz w:val="14"/>
                <w:szCs w:val="14"/>
                <w:color w:val="242424"/>
              </w:rPr>
              <w:t>20,115,046</w:t>
            </w:r>
            <w:r>
              <w:rPr>
                <w:rFonts w:ascii="Arial" w:cs="Arial" w:eastAsia="Arial" w:hAnsi="Arial"/>
                <w:sz w:val="18"/>
                <w:szCs w:val="18"/>
                <w:color w:val="242424"/>
                <w:vertAlign w:val="superscript"/>
              </w:rPr>
              <w:t>(9)</w:t>
            </w:r>
          </w:p>
        </w:tc>
        <w:tc>
          <w:tcPr>
            <w:tcW w:w="1420" w:type="dxa"/>
            <w:vAlign w:val="bottom"/>
            <w:shd w:val="clear" w:color="auto" w:fill="EAEAEA"/>
          </w:tcPr>
          <w:p>
            <w:pPr>
              <w:jc w:val="right"/>
              <w:ind w:right="109"/>
              <w:spacing w:after="0"/>
              <w:rPr>
                <w:sz w:val="20"/>
                <w:szCs w:val="20"/>
                <w:color w:val="auto"/>
              </w:rPr>
            </w:pPr>
            <w:r>
              <w:rPr>
                <w:rFonts w:ascii="Arial" w:cs="Arial" w:eastAsia="Arial" w:hAnsi="Arial"/>
                <w:sz w:val="14"/>
                <w:szCs w:val="14"/>
                <w:color w:val="242424"/>
              </w:rPr>
              <w:t>1,517,885</w:t>
            </w:r>
          </w:p>
        </w:tc>
        <w:tc>
          <w:tcPr>
            <w:tcW w:w="1540" w:type="dxa"/>
            <w:vAlign w:val="bottom"/>
            <w:shd w:val="clear" w:color="auto" w:fill="EAEAEA"/>
          </w:tcPr>
          <w:p>
            <w:pPr>
              <w:ind w:left="480"/>
              <w:spacing w:after="0"/>
              <w:rPr>
                <w:sz w:val="20"/>
                <w:szCs w:val="20"/>
                <w:color w:val="auto"/>
              </w:rPr>
            </w:pPr>
            <w:r>
              <w:rPr>
                <w:rFonts w:ascii="Arial" w:cs="Arial" w:eastAsia="Arial" w:hAnsi="Arial"/>
                <w:sz w:val="14"/>
                <w:szCs w:val="14"/>
                <w:color w:val="242424"/>
              </w:rPr>
              <w:t>17,400</w:t>
            </w:r>
            <w:r>
              <w:rPr>
                <w:rFonts w:ascii="Arial" w:cs="Arial" w:eastAsia="Arial" w:hAnsi="Arial"/>
                <w:sz w:val="16"/>
                <w:szCs w:val="16"/>
                <w:color w:val="242424"/>
                <w:vertAlign w:val="superscript"/>
              </w:rPr>
              <w:t>(5)</w:t>
            </w:r>
          </w:p>
        </w:tc>
        <w:tc>
          <w:tcPr>
            <w:tcW w:w="1200" w:type="dxa"/>
            <w:vAlign w:val="bottom"/>
            <w:shd w:val="clear" w:color="auto" w:fill="EAEAEA"/>
          </w:tcPr>
          <w:p>
            <w:pPr>
              <w:jc w:val="right"/>
              <w:ind w:right="69"/>
              <w:spacing w:after="0"/>
              <w:rPr>
                <w:sz w:val="20"/>
                <w:szCs w:val="20"/>
                <w:color w:val="auto"/>
              </w:rPr>
            </w:pPr>
            <w:r>
              <w:rPr>
                <w:rFonts w:ascii="Arial" w:cs="Arial" w:eastAsia="Arial" w:hAnsi="Arial"/>
                <w:sz w:val="14"/>
                <w:szCs w:val="14"/>
                <w:color w:val="242424"/>
              </w:rPr>
              <w:t>22,328,793</w:t>
            </w:r>
          </w:p>
        </w:tc>
        <w:tc>
          <w:tcPr>
            <w:tcW w:w="0" w:type="dxa"/>
            <w:vAlign w:val="bottom"/>
          </w:tcPr>
          <w:p>
            <w:pPr>
              <w:spacing w:after="0"/>
              <w:rPr>
                <w:sz w:val="1"/>
                <w:szCs w:val="1"/>
                <w:color w:val="auto"/>
              </w:rPr>
            </w:pPr>
          </w:p>
        </w:tc>
      </w:tr>
      <w:tr>
        <w:trPr>
          <w:trHeight w:val="185"/>
        </w:trPr>
        <w:tc>
          <w:tcPr>
            <w:tcW w:w="2580" w:type="dxa"/>
            <w:vAlign w:val="bottom"/>
            <w:shd w:val="clear" w:color="auto" w:fill="EAEAEA"/>
          </w:tcPr>
          <w:p>
            <w:pPr>
              <w:ind w:left="100"/>
              <w:spacing w:after="0"/>
              <w:rPr>
                <w:sz w:val="20"/>
                <w:szCs w:val="20"/>
                <w:color w:val="auto"/>
              </w:rPr>
            </w:pPr>
            <w:r>
              <w:rPr>
                <w:rFonts w:ascii="Arial" w:cs="Arial" w:eastAsia="Arial" w:hAnsi="Arial"/>
                <w:sz w:val="14"/>
                <w:szCs w:val="14"/>
                <w:color w:val="242424"/>
              </w:rPr>
              <w:t>Chief Operating Officer</w:t>
            </w:r>
          </w:p>
        </w:tc>
        <w:tc>
          <w:tcPr>
            <w:tcW w:w="800" w:type="dxa"/>
            <w:vAlign w:val="bottom"/>
            <w:shd w:val="clear" w:color="auto" w:fill="EAEAEA"/>
          </w:tcPr>
          <w:p>
            <w:pPr>
              <w:jc w:val="center"/>
              <w:spacing w:after="0"/>
              <w:rPr>
                <w:sz w:val="20"/>
                <w:szCs w:val="20"/>
                <w:color w:val="auto"/>
              </w:rPr>
            </w:pPr>
            <w:r>
              <w:rPr>
                <w:rFonts w:ascii="Arial" w:cs="Arial" w:eastAsia="Arial" w:hAnsi="Arial"/>
                <w:sz w:val="14"/>
                <w:szCs w:val="14"/>
                <w:color w:val="242424"/>
              </w:rPr>
              <w:t>2020</w:t>
            </w:r>
          </w:p>
        </w:tc>
        <w:tc>
          <w:tcPr>
            <w:tcW w:w="1180" w:type="dxa"/>
            <w:vAlign w:val="bottom"/>
            <w:shd w:val="clear" w:color="auto" w:fill="EAEAEA"/>
          </w:tcPr>
          <w:p>
            <w:pPr>
              <w:jc w:val="right"/>
              <w:ind w:right="69"/>
              <w:spacing w:after="0"/>
              <w:rPr>
                <w:sz w:val="20"/>
                <w:szCs w:val="20"/>
                <w:color w:val="auto"/>
              </w:rPr>
            </w:pPr>
            <w:r>
              <w:rPr>
                <w:rFonts w:ascii="Arial" w:cs="Arial" w:eastAsia="Arial" w:hAnsi="Arial"/>
                <w:sz w:val="14"/>
                <w:szCs w:val="14"/>
                <w:color w:val="242424"/>
              </w:rPr>
              <w:t>496,691</w:t>
            </w:r>
          </w:p>
        </w:tc>
        <w:tc>
          <w:tcPr>
            <w:tcW w:w="1400" w:type="dxa"/>
            <w:vAlign w:val="bottom"/>
            <w:shd w:val="clear" w:color="auto" w:fill="EAEAEA"/>
          </w:tcPr>
          <w:p>
            <w:pPr>
              <w:ind w:left="980"/>
              <w:spacing w:after="0"/>
              <w:rPr>
                <w:sz w:val="20"/>
                <w:szCs w:val="20"/>
                <w:color w:val="auto"/>
              </w:rPr>
            </w:pPr>
            <w:r>
              <w:rPr>
                <w:rFonts w:ascii="Arial" w:cs="Arial" w:eastAsia="Arial" w:hAnsi="Arial"/>
                <w:sz w:val="14"/>
                <w:szCs w:val="14"/>
                <w:color w:val="242424"/>
              </w:rPr>
              <w:t>—</w:t>
            </w:r>
          </w:p>
        </w:tc>
        <w:tc>
          <w:tcPr>
            <w:tcW w:w="1120" w:type="dxa"/>
            <w:vAlign w:val="bottom"/>
            <w:shd w:val="clear" w:color="auto" w:fill="EAEAEA"/>
          </w:tcPr>
          <w:p>
            <w:pPr>
              <w:jc w:val="right"/>
              <w:ind w:right="189"/>
              <w:spacing w:after="0"/>
              <w:rPr>
                <w:sz w:val="20"/>
                <w:szCs w:val="20"/>
                <w:color w:val="auto"/>
              </w:rPr>
            </w:pPr>
            <w:r>
              <w:rPr>
                <w:rFonts w:ascii="Arial" w:cs="Arial" w:eastAsia="Arial" w:hAnsi="Arial"/>
                <w:sz w:val="14"/>
                <w:szCs w:val="14"/>
                <w:color w:val="242424"/>
              </w:rPr>
              <w:t>—</w:t>
            </w:r>
          </w:p>
        </w:tc>
        <w:tc>
          <w:tcPr>
            <w:tcW w:w="1420" w:type="dxa"/>
            <w:vAlign w:val="bottom"/>
            <w:shd w:val="clear" w:color="auto" w:fill="EAEAEA"/>
          </w:tcPr>
          <w:p>
            <w:pPr>
              <w:jc w:val="right"/>
              <w:ind w:right="109"/>
              <w:spacing w:after="0"/>
              <w:rPr>
                <w:sz w:val="20"/>
                <w:szCs w:val="20"/>
                <w:color w:val="auto"/>
              </w:rPr>
            </w:pPr>
            <w:r>
              <w:rPr>
                <w:rFonts w:ascii="Arial" w:cs="Arial" w:eastAsia="Arial" w:hAnsi="Arial"/>
                <w:sz w:val="14"/>
                <w:szCs w:val="14"/>
                <w:color w:val="242424"/>
              </w:rPr>
              <w:t>518,478</w:t>
            </w:r>
          </w:p>
        </w:tc>
        <w:tc>
          <w:tcPr>
            <w:tcW w:w="1540" w:type="dxa"/>
            <w:vAlign w:val="bottom"/>
            <w:shd w:val="clear" w:color="auto" w:fill="EAEAEA"/>
          </w:tcPr>
          <w:p>
            <w:pPr>
              <w:jc w:val="center"/>
              <w:ind w:right="69"/>
              <w:spacing w:after="0"/>
              <w:rPr>
                <w:sz w:val="20"/>
                <w:szCs w:val="20"/>
                <w:color w:val="auto"/>
              </w:rPr>
            </w:pPr>
            <w:r>
              <w:rPr>
                <w:rFonts w:ascii="Arial" w:cs="Arial" w:eastAsia="Arial" w:hAnsi="Arial"/>
                <w:sz w:val="14"/>
                <w:szCs w:val="14"/>
                <w:color w:val="242424"/>
              </w:rPr>
              <w:t>17,100</w:t>
            </w:r>
          </w:p>
        </w:tc>
        <w:tc>
          <w:tcPr>
            <w:tcW w:w="1200" w:type="dxa"/>
            <w:vAlign w:val="bottom"/>
            <w:shd w:val="clear" w:color="auto" w:fill="EAEAEA"/>
          </w:tcPr>
          <w:p>
            <w:pPr>
              <w:jc w:val="right"/>
              <w:ind w:right="69"/>
              <w:spacing w:after="0"/>
              <w:rPr>
                <w:sz w:val="20"/>
                <w:szCs w:val="20"/>
                <w:color w:val="auto"/>
              </w:rPr>
            </w:pPr>
            <w:r>
              <w:rPr>
                <w:rFonts w:ascii="Arial" w:cs="Arial" w:eastAsia="Arial" w:hAnsi="Arial"/>
                <w:sz w:val="14"/>
                <w:szCs w:val="14"/>
                <w:color w:val="242424"/>
              </w:rPr>
              <w:t>1,032,269</w:t>
            </w:r>
          </w:p>
        </w:tc>
        <w:tc>
          <w:tcPr>
            <w:tcW w:w="0" w:type="dxa"/>
            <w:vAlign w:val="bottom"/>
          </w:tcPr>
          <w:p>
            <w:pPr>
              <w:spacing w:after="0"/>
              <w:rPr>
                <w:sz w:val="1"/>
                <w:szCs w:val="1"/>
                <w:color w:val="auto"/>
              </w:rPr>
            </w:pPr>
          </w:p>
        </w:tc>
      </w:tr>
      <w:tr>
        <w:trPr>
          <w:trHeight w:val="199"/>
        </w:trPr>
        <w:tc>
          <w:tcPr>
            <w:tcW w:w="2580" w:type="dxa"/>
            <w:vAlign w:val="bottom"/>
            <w:shd w:val="clear" w:color="auto" w:fill="EAEAEA"/>
          </w:tcPr>
          <w:p>
            <w:pPr>
              <w:spacing w:after="0"/>
              <w:rPr>
                <w:sz w:val="17"/>
                <w:szCs w:val="17"/>
                <w:color w:val="auto"/>
              </w:rPr>
            </w:pPr>
          </w:p>
        </w:tc>
        <w:tc>
          <w:tcPr>
            <w:tcW w:w="800" w:type="dxa"/>
            <w:vAlign w:val="bottom"/>
            <w:shd w:val="clear" w:color="auto" w:fill="EAEAEA"/>
          </w:tcPr>
          <w:p>
            <w:pPr>
              <w:jc w:val="center"/>
              <w:spacing w:after="0"/>
              <w:rPr>
                <w:sz w:val="20"/>
                <w:szCs w:val="20"/>
                <w:color w:val="auto"/>
              </w:rPr>
            </w:pPr>
            <w:r>
              <w:rPr>
                <w:rFonts w:ascii="Arial" w:cs="Arial" w:eastAsia="Arial" w:hAnsi="Arial"/>
                <w:sz w:val="14"/>
                <w:szCs w:val="14"/>
                <w:color w:val="242424"/>
              </w:rPr>
              <w:t>2019</w:t>
            </w:r>
          </w:p>
        </w:tc>
        <w:tc>
          <w:tcPr>
            <w:tcW w:w="1180" w:type="dxa"/>
            <w:vAlign w:val="bottom"/>
            <w:shd w:val="clear" w:color="auto" w:fill="EAEAEA"/>
          </w:tcPr>
          <w:p>
            <w:pPr>
              <w:jc w:val="right"/>
              <w:ind w:right="69"/>
              <w:spacing w:after="0"/>
              <w:rPr>
                <w:sz w:val="20"/>
                <w:szCs w:val="20"/>
                <w:color w:val="auto"/>
              </w:rPr>
            </w:pPr>
            <w:r>
              <w:rPr>
                <w:rFonts w:ascii="Arial" w:cs="Arial" w:eastAsia="Arial" w:hAnsi="Arial"/>
                <w:sz w:val="14"/>
                <w:szCs w:val="14"/>
                <w:color w:val="242424"/>
              </w:rPr>
              <w:t>488,529</w:t>
            </w:r>
          </w:p>
        </w:tc>
        <w:tc>
          <w:tcPr>
            <w:tcW w:w="1400" w:type="dxa"/>
            <w:vAlign w:val="bottom"/>
            <w:shd w:val="clear" w:color="auto" w:fill="EAEAEA"/>
          </w:tcPr>
          <w:p>
            <w:pPr>
              <w:ind w:left="980"/>
              <w:spacing w:after="0"/>
              <w:rPr>
                <w:sz w:val="20"/>
                <w:szCs w:val="20"/>
                <w:color w:val="auto"/>
              </w:rPr>
            </w:pPr>
            <w:r>
              <w:rPr>
                <w:rFonts w:ascii="Arial" w:cs="Arial" w:eastAsia="Arial" w:hAnsi="Arial"/>
                <w:sz w:val="14"/>
                <w:szCs w:val="14"/>
                <w:color w:val="242424"/>
              </w:rPr>
              <w:t>—</w:t>
            </w:r>
          </w:p>
        </w:tc>
        <w:tc>
          <w:tcPr>
            <w:tcW w:w="1120" w:type="dxa"/>
            <w:vAlign w:val="bottom"/>
            <w:shd w:val="clear" w:color="auto" w:fill="EAEAEA"/>
          </w:tcPr>
          <w:p>
            <w:pPr>
              <w:jc w:val="right"/>
              <w:ind w:right="149"/>
              <w:spacing w:after="0"/>
              <w:rPr>
                <w:sz w:val="20"/>
                <w:szCs w:val="20"/>
                <w:color w:val="auto"/>
              </w:rPr>
            </w:pPr>
            <w:r>
              <w:rPr>
                <w:rFonts w:ascii="Arial" w:cs="Arial" w:eastAsia="Arial" w:hAnsi="Arial"/>
                <w:sz w:val="14"/>
                <w:szCs w:val="14"/>
                <w:color w:val="242424"/>
              </w:rPr>
              <w:t>17,073,150</w:t>
            </w:r>
          </w:p>
        </w:tc>
        <w:tc>
          <w:tcPr>
            <w:tcW w:w="1420" w:type="dxa"/>
            <w:vAlign w:val="bottom"/>
            <w:shd w:val="clear" w:color="auto" w:fill="EAEAEA"/>
          </w:tcPr>
          <w:p>
            <w:pPr>
              <w:jc w:val="right"/>
              <w:ind w:right="109"/>
              <w:spacing w:after="0"/>
              <w:rPr>
                <w:sz w:val="20"/>
                <w:szCs w:val="20"/>
                <w:color w:val="auto"/>
              </w:rPr>
            </w:pPr>
            <w:r>
              <w:rPr>
                <w:rFonts w:ascii="Arial" w:cs="Arial" w:eastAsia="Arial" w:hAnsi="Arial"/>
                <w:sz w:val="14"/>
                <w:szCs w:val="14"/>
                <w:color w:val="242424"/>
              </w:rPr>
              <w:t>351,418</w:t>
            </w:r>
          </w:p>
        </w:tc>
        <w:tc>
          <w:tcPr>
            <w:tcW w:w="1540" w:type="dxa"/>
            <w:vAlign w:val="bottom"/>
            <w:shd w:val="clear" w:color="auto" w:fill="EAEAEA"/>
          </w:tcPr>
          <w:p>
            <w:pPr>
              <w:jc w:val="center"/>
              <w:ind w:right="69"/>
              <w:spacing w:after="0"/>
              <w:rPr>
                <w:sz w:val="20"/>
                <w:szCs w:val="20"/>
                <w:color w:val="auto"/>
              </w:rPr>
            </w:pPr>
            <w:r>
              <w:rPr>
                <w:rFonts w:ascii="Arial" w:cs="Arial" w:eastAsia="Arial" w:hAnsi="Arial"/>
                <w:sz w:val="14"/>
                <w:szCs w:val="14"/>
                <w:color w:val="242424"/>
              </w:rPr>
              <w:t>16,800</w:t>
            </w:r>
          </w:p>
        </w:tc>
        <w:tc>
          <w:tcPr>
            <w:tcW w:w="1200" w:type="dxa"/>
            <w:vAlign w:val="bottom"/>
            <w:shd w:val="clear" w:color="auto" w:fill="EAEAEA"/>
          </w:tcPr>
          <w:p>
            <w:pPr>
              <w:jc w:val="right"/>
              <w:ind w:right="69"/>
              <w:spacing w:after="0"/>
              <w:rPr>
                <w:sz w:val="20"/>
                <w:szCs w:val="20"/>
                <w:color w:val="auto"/>
              </w:rPr>
            </w:pPr>
            <w:r>
              <w:rPr>
                <w:rFonts w:ascii="Arial" w:cs="Arial" w:eastAsia="Arial" w:hAnsi="Arial"/>
                <w:sz w:val="14"/>
                <w:szCs w:val="14"/>
                <w:color w:val="242424"/>
              </w:rPr>
              <w:t>17,929,897</w:t>
            </w:r>
          </w:p>
        </w:tc>
        <w:tc>
          <w:tcPr>
            <w:tcW w:w="0" w:type="dxa"/>
            <w:vAlign w:val="bottom"/>
          </w:tcPr>
          <w:p>
            <w:pPr>
              <w:spacing w:after="0"/>
              <w:rPr>
                <w:sz w:val="1"/>
                <w:szCs w:val="1"/>
                <w:color w:val="auto"/>
              </w:rPr>
            </w:pPr>
          </w:p>
        </w:tc>
      </w:tr>
      <w:tr>
        <w:trPr>
          <w:trHeight w:val="309"/>
        </w:trPr>
        <w:tc>
          <w:tcPr>
            <w:tcW w:w="2580" w:type="dxa"/>
            <w:vAlign w:val="bottom"/>
          </w:tcPr>
          <w:p>
            <w:pPr>
              <w:ind w:left="20"/>
              <w:spacing w:after="0"/>
              <w:rPr>
                <w:sz w:val="20"/>
                <w:szCs w:val="20"/>
                <w:color w:val="auto"/>
              </w:rPr>
            </w:pPr>
            <w:r>
              <w:rPr>
                <w:rFonts w:ascii="Arial" w:cs="Arial" w:eastAsia="Arial" w:hAnsi="Arial"/>
                <w:sz w:val="14"/>
                <w:szCs w:val="14"/>
                <w:color w:val="242424"/>
              </w:rPr>
              <w:t>Thomas H. Krause, Jr.</w:t>
            </w:r>
            <w:r>
              <w:rPr>
                <w:rFonts w:ascii="Arial" w:cs="Arial" w:eastAsia="Arial" w:hAnsi="Arial"/>
                <w:sz w:val="18"/>
                <w:szCs w:val="18"/>
                <w:color w:val="242424"/>
                <w:vertAlign w:val="superscript"/>
              </w:rPr>
              <w:t>(10)</w:t>
            </w:r>
          </w:p>
        </w:tc>
        <w:tc>
          <w:tcPr>
            <w:tcW w:w="800" w:type="dxa"/>
            <w:vAlign w:val="bottom"/>
          </w:tcPr>
          <w:p>
            <w:pPr>
              <w:jc w:val="center"/>
              <w:spacing w:after="0"/>
              <w:rPr>
                <w:sz w:val="20"/>
                <w:szCs w:val="20"/>
                <w:color w:val="auto"/>
              </w:rPr>
            </w:pPr>
            <w:r>
              <w:rPr>
                <w:rFonts w:ascii="Arial" w:cs="Arial" w:eastAsia="Arial" w:hAnsi="Arial"/>
                <w:sz w:val="14"/>
                <w:szCs w:val="14"/>
                <w:color w:val="242424"/>
              </w:rPr>
              <w:t>2021</w:t>
            </w:r>
          </w:p>
        </w:tc>
        <w:tc>
          <w:tcPr>
            <w:tcW w:w="1180" w:type="dxa"/>
            <w:vAlign w:val="bottom"/>
          </w:tcPr>
          <w:p>
            <w:pPr>
              <w:jc w:val="right"/>
              <w:ind w:right="69"/>
              <w:spacing w:after="0"/>
              <w:rPr>
                <w:sz w:val="20"/>
                <w:szCs w:val="20"/>
                <w:color w:val="auto"/>
              </w:rPr>
            </w:pPr>
            <w:r>
              <w:rPr>
                <w:rFonts w:ascii="Arial" w:cs="Arial" w:eastAsia="Arial" w:hAnsi="Arial"/>
                <w:sz w:val="14"/>
                <w:szCs w:val="14"/>
                <w:color w:val="242424"/>
              </w:rPr>
              <w:t>678,462</w:t>
            </w:r>
          </w:p>
        </w:tc>
        <w:tc>
          <w:tcPr>
            <w:tcW w:w="1400" w:type="dxa"/>
            <w:vAlign w:val="bottom"/>
          </w:tcPr>
          <w:p>
            <w:pPr>
              <w:ind w:left="980"/>
              <w:spacing w:after="0"/>
              <w:rPr>
                <w:sz w:val="20"/>
                <w:szCs w:val="20"/>
                <w:color w:val="auto"/>
              </w:rPr>
            </w:pPr>
            <w:r>
              <w:rPr>
                <w:rFonts w:ascii="Arial" w:cs="Arial" w:eastAsia="Arial" w:hAnsi="Arial"/>
                <w:sz w:val="14"/>
                <w:szCs w:val="14"/>
                <w:color w:val="242424"/>
              </w:rPr>
              <w:t>—</w:t>
            </w:r>
          </w:p>
        </w:tc>
        <w:tc>
          <w:tcPr>
            <w:tcW w:w="1120" w:type="dxa"/>
            <w:vAlign w:val="bottom"/>
          </w:tcPr>
          <w:p>
            <w:pPr>
              <w:ind w:left="160"/>
              <w:spacing w:after="0"/>
              <w:rPr>
                <w:sz w:val="20"/>
                <w:szCs w:val="20"/>
                <w:color w:val="auto"/>
              </w:rPr>
            </w:pPr>
            <w:r>
              <w:rPr>
                <w:rFonts w:ascii="Arial" w:cs="Arial" w:eastAsia="Arial" w:hAnsi="Arial"/>
                <w:sz w:val="14"/>
                <w:szCs w:val="14"/>
                <w:color w:val="242424"/>
              </w:rPr>
              <w:t>20,115,046</w:t>
            </w:r>
            <w:r>
              <w:rPr>
                <w:rFonts w:ascii="Arial" w:cs="Arial" w:eastAsia="Arial" w:hAnsi="Arial"/>
                <w:sz w:val="18"/>
                <w:szCs w:val="18"/>
                <w:color w:val="242424"/>
                <w:vertAlign w:val="superscript"/>
              </w:rPr>
              <w:t>(9)</w:t>
            </w:r>
          </w:p>
        </w:tc>
        <w:tc>
          <w:tcPr>
            <w:tcW w:w="1420" w:type="dxa"/>
            <w:vAlign w:val="bottom"/>
          </w:tcPr>
          <w:p>
            <w:pPr>
              <w:jc w:val="right"/>
              <w:ind w:right="109"/>
              <w:spacing w:after="0"/>
              <w:rPr>
                <w:sz w:val="20"/>
                <w:szCs w:val="20"/>
                <w:color w:val="auto"/>
              </w:rPr>
            </w:pPr>
            <w:r>
              <w:rPr>
                <w:rFonts w:ascii="Arial" w:cs="Arial" w:eastAsia="Arial" w:hAnsi="Arial"/>
                <w:sz w:val="14"/>
                <w:szCs w:val="14"/>
                <w:color w:val="242424"/>
              </w:rPr>
              <w:t>1,011,923</w:t>
            </w:r>
          </w:p>
        </w:tc>
        <w:tc>
          <w:tcPr>
            <w:tcW w:w="1540" w:type="dxa"/>
            <w:vAlign w:val="bottom"/>
          </w:tcPr>
          <w:p>
            <w:pPr>
              <w:ind w:left="480"/>
              <w:spacing w:after="0"/>
              <w:rPr>
                <w:sz w:val="20"/>
                <w:szCs w:val="20"/>
                <w:color w:val="auto"/>
              </w:rPr>
            </w:pPr>
            <w:r>
              <w:rPr>
                <w:rFonts w:ascii="Arial" w:cs="Arial" w:eastAsia="Arial" w:hAnsi="Arial"/>
                <w:sz w:val="14"/>
                <w:szCs w:val="14"/>
                <w:color w:val="242424"/>
              </w:rPr>
              <w:t>17,400</w:t>
            </w:r>
            <w:r>
              <w:rPr>
                <w:rFonts w:ascii="Arial" w:cs="Arial" w:eastAsia="Arial" w:hAnsi="Arial"/>
                <w:sz w:val="16"/>
                <w:szCs w:val="16"/>
                <w:color w:val="242424"/>
                <w:vertAlign w:val="superscript"/>
              </w:rPr>
              <w:t>(5)</w:t>
            </w:r>
          </w:p>
        </w:tc>
        <w:tc>
          <w:tcPr>
            <w:tcW w:w="1200" w:type="dxa"/>
            <w:vAlign w:val="bottom"/>
          </w:tcPr>
          <w:p>
            <w:pPr>
              <w:jc w:val="right"/>
              <w:ind w:right="69"/>
              <w:spacing w:after="0"/>
              <w:rPr>
                <w:sz w:val="20"/>
                <w:szCs w:val="20"/>
                <w:color w:val="auto"/>
              </w:rPr>
            </w:pPr>
            <w:r>
              <w:rPr>
                <w:rFonts w:ascii="Arial" w:cs="Arial" w:eastAsia="Arial" w:hAnsi="Arial"/>
                <w:sz w:val="14"/>
                <w:szCs w:val="14"/>
                <w:color w:val="242424"/>
              </w:rPr>
              <w:t>21,822,831</w:t>
            </w:r>
          </w:p>
        </w:tc>
        <w:tc>
          <w:tcPr>
            <w:tcW w:w="0" w:type="dxa"/>
            <w:vAlign w:val="bottom"/>
          </w:tcPr>
          <w:p>
            <w:pPr>
              <w:spacing w:after="0"/>
              <w:rPr>
                <w:sz w:val="1"/>
                <w:szCs w:val="1"/>
                <w:color w:val="auto"/>
              </w:rPr>
            </w:pPr>
          </w:p>
        </w:tc>
      </w:tr>
      <w:tr>
        <w:trPr>
          <w:trHeight w:val="183"/>
        </w:trPr>
        <w:tc>
          <w:tcPr>
            <w:tcW w:w="2580" w:type="dxa"/>
            <w:vAlign w:val="bottom"/>
          </w:tcPr>
          <w:p>
            <w:pPr>
              <w:ind w:left="100"/>
              <w:spacing w:after="0"/>
              <w:rPr>
                <w:sz w:val="20"/>
                <w:szCs w:val="20"/>
                <w:color w:val="auto"/>
              </w:rPr>
            </w:pPr>
            <w:r>
              <w:rPr>
                <w:rFonts w:ascii="Arial" w:cs="Arial" w:eastAsia="Arial" w:hAnsi="Arial"/>
                <w:sz w:val="14"/>
                <w:szCs w:val="14"/>
                <w:color w:val="242424"/>
              </w:rPr>
              <w:t>President, Broadcom Software Group</w:t>
            </w:r>
          </w:p>
        </w:tc>
        <w:tc>
          <w:tcPr>
            <w:tcW w:w="800" w:type="dxa"/>
            <w:vAlign w:val="bottom"/>
          </w:tcPr>
          <w:p>
            <w:pPr>
              <w:jc w:val="center"/>
              <w:spacing w:after="0"/>
              <w:rPr>
                <w:sz w:val="20"/>
                <w:szCs w:val="20"/>
                <w:color w:val="auto"/>
              </w:rPr>
            </w:pPr>
            <w:r>
              <w:rPr>
                <w:rFonts w:ascii="Arial" w:cs="Arial" w:eastAsia="Arial" w:hAnsi="Arial"/>
                <w:sz w:val="14"/>
                <w:szCs w:val="14"/>
                <w:color w:val="242424"/>
              </w:rPr>
              <w:t>2020</w:t>
            </w:r>
          </w:p>
        </w:tc>
        <w:tc>
          <w:tcPr>
            <w:tcW w:w="1180" w:type="dxa"/>
            <w:vAlign w:val="bottom"/>
          </w:tcPr>
          <w:p>
            <w:pPr>
              <w:jc w:val="right"/>
              <w:ind w:right="69"/>
              <w:spacing w:after="0"/>
              <w:rPr>
                <w:sz w:val="20"/>
                <w:szCs w:val="20"/>
                <w:color w:val="auto"/>
              </w:rPr>
            </w:pPr>
            <w:r>
              <w:rPr>
                <w:rFonts w:ascii="Arial" w:cs="Arial" w:eastAsia="Arial" w:hAnsi="Arial"/>
                <w:sz w:val="14"/>
                <w:szCs w:val="14"/>
                <w:color w:val="242424"/>
              </w:rPr>
              <w:t>471,154</w:t>
            </w:r>
          </w:p>
        </w:tc>
        <w:tc>
          <w:tcPr>
            <w:tcW w:w="1400" w:type="dxa"/>
            <w:vAlign w:val="bottom"/>
          </w:tcPr>
          <w:p>
            <w:pPr>
              <w:ind w:left="980"/>
              <w:spacing w:after="0"/>
              <w:rPr>
                <w:sz w:val="20"/>
                <w:szCs w:val="20"/>
                <w:color w:val="auto"/>
              </w:rPr>
            </w:pPr>
            <w:r>
              <w:rPr>
                <w:rFonts w:ascii="Arial" w:cs="Arial" w:eastAsia="Arial" w:hAnsi="Arial"/>
                <w:sz w:val="14"/>
                <w:szCs w:val="14"/>
                <w:color w:val="242424"/>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242424"/>
              </w:rPr>
              <w:t>—</w:t>
            </w:r>
          </w:p>
        </w:tc>
        <w:tc>
          <w:tcPr>
            <w:tcW w:w="1420" w:type="dxa"/>
            <w:vAlign w:val="bottom"/>
          </w:tcPr>
          <w:p>
            <w:pPr>
              <w:jc w:val="right"/>
              <w:ind w:right="109"/>
              <w:spacing w:after="0"/>
              <w:rPr>
                <w:sz w:val="20"/>
                <w:szCs w:val="20"/>
                <w:color w:val="auto"/>
              </w:rPr>
            </w:pPr>
            <w:r>
              <w:rPr>
                <w:rFonts w:ascii="Arial" w:cs="Arial" w:eastAsia="Arial" w:hAnsi="Arial"/>
                <w:sz w:val="14"/>
                <w:szCs w:val="14"/>
                <w:color w:val="242424"/>
              </w:rPr>
              <w:t>527,638</w:t>
            </w:r>
          </w:p>
        </w:tc>
        <w:tc>
          <w:tcPr>
            <w:tcW w:w="1540" w:type="dxa"/>
            <w:vAlign w:val="bottom"/>
          </w:tcPr>
          <w:p>
            <w:pPr>
              <w:jc w:val="center"/>
              <w:ind w:right="69"/>
              <w:spacing w:after="0"/>
              <w:rPr>
                <w:sz w:val="20"/>
                <w:szCs w:val="20"/>
                <w:color w:val="auto"/>
              </w:rPr>
            </w:pPr>
            <w:r>
              <w:rPr>
                <w:rFonts w:ascii="Arial" w:cs="Arial" w:eastAsia="Arial" w:hAnsi="Arial"/>
                <w:sz w:val="14"/>
                <w:szCs w:val="14"/>
                <w:color w:val="242424"/>
              </w:rPr>
              <w:t>17,100</w:t>
            </w:r>
          </w:p>
        </w:tc>
        <w:tc>
          <w:tcPr>
            <w:tcW w:w="1200" w:type="dxa"/>
            <w:vAlign w:val="bottom"/>
          </w:tcPr>
          <w:p>
            <w:pPr>
              <w:jc w:val="right"/>
              <w:ind w:right="69"/>
              <w:spacing w:after="0"/>
              <w:rPr>
                <w:sz w:val="20"/>
                <w:szCs w:val="20"/>
                <w:color w:val="auto"/>
              </w:rPr>
            </w:pPr>
            <w:r>
              <w:rPr>
                <w:rFonts w:ascii="Arial" w:cs="Arial" w:eastAsia="Arial" w:hAnsi="Arial"/>
                <w:sz w:val="14"/>
                <w:szCs w:val="14"/>
                <w:color w:val="242424"/>
              </w:rPr>
              <w:t>1,015,892</w:t>
            </w:r>
          </w:p>
        </w:tc>
        <w:tc>
          <w:tcPr>
            <w:tcW w:w="0" w:type="dxa"/>
            <w:vAlign w:val="bottom"/>
          </w:tcPr>
          <w:p>
            <w:pPr>
              <w:spacing w:after="0"/>
              <w:rPr>
                <w:sz w:val="1"/>
                <w:szCs w:val="1"/>
                <w:color w:val="auto"/>
              </w:rPr>
            </w:pPr>
          </w:p>
        </w:tc>
      </w:tr>
      <w:tr>
        <w:trPr>
          <w:trHeight w:val="212"/>
        </w:trPr>
        <w:tc>
          <w:tcPr>
            <w:tcW w:w="2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242424"/>
              </w:rPr>
              <w:t>2019</w:t>
            </w:r>
          </w:p>
        </w:tc>
        <w:tc>
          <w:tcPr>
            <w:tcW w:w="1180" w:type="dxa"/>
            <w:vAlign w:val="bottom"/>
          </w:tcPr>
          <w:p>
            <w:pPr>
              <w:jc w:val="right"/>
              <w:ind w:right="69"/>
              <w:spacing w:after="0"/>
              <w:rPr>
                <w:sz w:val="20"/>
                <w:szCs w:val="20"/>
                <w:color w:val="auto"/>
              </w:rPr>
            </w:pPr>
            <w:r>
              <w:rPr>
                <w:rFonts w:ascii="Arial" w:cs="Arial" w:eastAsia="Arial" w:hAnsi="Arial"/>
                <w:sz w:val="14"/>
                <w:szCs w:val="14"/>
                <w:color w:val="242424"/>
              </w:rPr>
              <w:t>400,000</w:t>
            </w:r>
          </w:p>
        </w:tc>
        <w:tc>
          <w:tcPr>
            <w:tcW w:w="1400" w:type="dxa"/>
            <w:vAlign w:val="bottom"/>
          </w:tcPr>
          <w:p>
            <w:pPr>
              <w:ind w:left="980"/>
              <w:spacing w:after="0"/>
              <w:rPr>
                <w:sz w:val="20"/>
                <w:szCs w:val="20"/>
                <w:color w:val="auto"/>
              </w:rPr>
            </w:pPr>
            <w:r>
              <w:rPr>
                <w:rFonts w:ascii="Arial" w:cs="Arial" w:eastAsia="Arial" w:hAnsi="Arial"/>
                <w:sz w:val="14"/>
                <w:szCs w:val="14"/>
                <w:color w:val="242424"/>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242424"/>
              </w:rPr>
              <w:t>17,073,150</w:t>
            </w:r>
          </w:p>
        </w:tc>
        <w:tc>
          <w:tcPr>
            <w:tcW w:w="1420" w:type="dxa"/>
            <w:vAlign w:val="bottom"/>
          </w:tcPr>
          <w:p>
            <w:pPr>
              <w:jc w:val="right"/>
              <w:ind w:right="109"/>
              <w:spacing w:after="0"/>
              <w:rPr>
                <w:sz w:val="20"/>
                <w:szCs w:val="20"/>
                <w:color w:val="auto"/>
              </w:rPr>
            </w:pPr>
            <w:r>
              <w:rPr>
                <w:rFonts w:ascii="Arial" w:cs="Arial" w:eastAsia="Arial" w:hAnsi="Arial"/>
                <w:sz w:val="14"/>
                <w:szCs w:val="14"/>
                <w:color w:val="242424"/>
              </w:rPr>
              <w:t>355,443</w:t>
            </w:r>
          </w:p>
        </w:tc>
        <w:tc>
          <w:tcPr>
            <w:tcW w:w="1540" w:type="dxa"/>
            <w:vAlign w:val="bottom"/>
          </w:tcPr>
          <w:p>
            <w:pPr>
              <w:jc w:val="center"/>
              <w:ind w:right="69"/>
              <w:spacing w:after="0"/>
              <w:rPr>
                <w:sz w:val="20"/>
                <w:szCs w:val="20"/>
                <w:color w:val="auto"/>
              </w:rPr>
            </w:pPr>
            <w:r>
              <w:rPr>
                <w:rFonts w:ascii="Arial" w:cs="Arial" w:eastAsia="Arial" w:hAnsi="Arial"/>
                <w:sz w:val="14"/>
                <w:szCs w:val="14"/>
                <w:color w:val="242424"/>
              </w:rPr>
              <w:t>16,800</w:t>
            </w:r>
          </w:p>
        </w:tc>
        <w:tc>
          <w:tcPr>
            <w:tcW w:w="1200" w:type="dxa"/>
            <w:vAlign w:val="bottom"/>
          </w:tcPr>
          <w:p>
            <w:pPr>
              <w:jc w:val="right"/>
              <w:ind w:right="69"/>
              <w:spacing w:after="0"/>
              <w:rPr>
                <w:sz w:val="20"/>
                <w:szCs w:val="20"/>
                <w:color w:val="auto"/>
              </w:rPr>
            </w:pPr>
            <w:r>
              <w:rPr>
                <w:rFonts w:ascii="Arial" w:cs="Arial" w:eastAsia="Arial" w:hAnsi="Arial"/>
                <w:sz w:val="14"/>
                <w:szCs w:val="14"/>
                <w:color w:val="242424"/>
              </w:rPr>
              <w:t>17,845,393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158750</wp:posOffset>
            </wp:positionV>
            <wp:extent cx="1993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300" w:lineRule="exact"/>
        <w:rPr>
          <w:sz w:val="20"/>
          <w:szCs w:val="20"/>
          <w:color w:val="auto"/>
        </w:rPr>
      </w:pPr>
    </w:p>
    <w:p>
      <w:pPr>
        <w:ind w:left="400" w:right="140" w:hanging="315"/>
        <w:spacing w:after="0" w:line="239" w:lineRule="auto"/>
        <w:tabs>
          <w:tab w:leader="none" w:pos="412" w:val="left"/>
        </w:tabs>
        <w:numPr>
          <w:ilvl w:val="0"/>
          <w:numId w:val="71"/>
        </w:numPr>
        <w:rPr>
          <w:rFonts w:ascii="Arial" w:cs="Arial" w:eastAsia="Arial" w:hAnsi="Arial"/>
          <w:sz w:val="14"/>
          <w:szCs w:val="14"/>
          <w:color w:val="242424"/>
        </w:rPr>
      </w:pPr>
      <w:r>
        <w:rPr>
          <w:rFonts w:ascii="Arial" w:cs="Arial" w:eastAsia="Arial" w:hAnsi="Arial"/>
          <w:sz w:val="14"/>
          <w:szCs w:val="14"/>
          <w:color w:val="242424"/>
        </w:rPr>
        <w:t>Represents the grant date fair value of service-based RSU awards and PSU awards, determined in accordance with ASC 718. Although the 2019 Multi-Year Equity Awards have four staggered vesting start dates of March 15, 2019, 2020, 2021 and 2022, under ASC 718 we were required to include the grant date fair value of all the 2019 Multi-Year Equity Awards in Fiscal Year 2019. As the PSU awards are not subject to performance conditions as defined under ASC 718, the maximum grant date fair values for such awards do not differ from the values presented in this table. The amounts in this column do not reflect compensation actually received by the NEOs or the actual value that may be recognized by the NEOs. For a discussion of the valuation assumptions used in the calculations, see Note 2 to the Consolidated Financial Statements included in Part II, Item 8 of our 2021 Annual Report filed with the SEC on December 17, 2021.</w:t>
      </w:r>
    </w:p>
    <w:p>
      <w:pPr>
        <w:spacing w:after="0" w:line="31" w:lineRule="exact"/>
        <w:rPr>
          <w:rFonts w:ascii="Arial" w:cs="Arial" w:eastAsia="Arial" w:hAnsi="Arial"/>
          <w:sz w:val="14"/>
          <w:szCs w:val="14"/>
          <w:color w:val="242424"/>
        </w:rPr>
      </w:pPr>
    </w:p>
    <w:p>
      <w:pPr>
        <w:ind w:left="400" w:right="880" w:hanging="315"/>
        <w:spacing w:after="0" w:line="271" w:lineRule="auto"/>
        <w:tabs>
          <w:tab w:leader="none" w:pos="412" w:val="left"/>
        </w:tabs>
        <w:numPr>
          <w:ilvl w:val="0"/>
          <w:numId w:val="71"/>
        </w:numPr>
        <w:rPr>
          <w:rFonts w:ascii="Arial" w:cs="Arial" w:eastAsia="Arial" w:hAnsi="Arial"/>
          <w:sz w:val="14"/>
          <w:szCs w:val="14"/>
          <w:color w:val="242424"/>
        </w:rPr>
      </w:pPr>
      <w:r>
        <w:rPr>
          <w:rFonts w:ascii="Arial" w:cs="Arial" w:eastAsia="Arial" w:hAnsi="Arial"/>
          <w:sz w:val="14"/>
          <w:szCs w:val="14"/>
          <w:color w:val="242424"/>
        </w:rPr>
        <w:t>Represents amounts paid under the APB Plan for each fiscal year. See the plan description in “</w:t>
      </w:r>
      <w:r>
        <w:rPr>
          <w:rFonts w:ascii="Arial" w:cs="Arial" w:eastAsia="Arial" w:hAnsi="Arial"/>
          <w:sz w:val="14"/>
          <w:szCs w:val="14"/>
          <w:i w:val="1"/>
          <w:iCs w:val="1"/>
          <w:color w:val="242424"/>
        </w:rPr>
        <w:t>Compensation Discussion and Analysis—Elements of Executive</w:t>
      </w:r>
      <w:r>
        <w:rPr>
          <w:rFonts w:ascii="Arial" w:cs="Arial" w:eastAsia="Arial" w:hAnsi="Arial"/>
          <w:sz w:val="14"/>
          <w:szCs w:val="14"/>
          <w:color w:val="242424"/>
        </w:rPr>
        <w:t xml:space="preserve"> </w:t>
      </w:r>
      <w:r>
        <w:rPr>
          <w:rFonts w:ascii="Arial" w:cs="Arial" w:eastAsia="Arial" w:hAnsi="Arial"/>
          <w:sz w:val="14"/>
          <w:szCs w:val="14"/>
          <w:i w:val="1"/>
          <w:iCs w:val="1"/>
          <w:color w:val="242424"/>
        </w:rPr>
        <w:t>Compensation—Annual Cash Incentive Bonus Plan</w:t>
      </w:r>
      <w:r>
        <w:rPr>
          <w:rFonts w:ascii="Arial" w:cs="Arial" w:eastAsia="Arial" w:hAnsi="Arial"/>
          <w:sz w:val="14"/>
          <w:szCs w:val="14"/>
          <w:color w:val="242424"/>
        </w:rPr>
        <w:t>” above.</w:t>
      </w:r>
    </w:p>
    <w:p>
      <w:pPr>
        <w:spacing w:after="0" w:line="21" w:lineRule="exact"/>
        <w:rPr>
          <w:rFonts w:ascii="Arial" w:cs="Arial" w:eastAsia="Arial" w:hAnsi="Arial"/>
          <w:sz w:val="14"/>
          <w:szCs w:val="14"/>
          <w:color w:val="242424"/>
        </w:rPr>
      </w:pPr>
    </w:p>
    <w:p>
      <w:pPr>
        <w:ind w:left="400" w:right="180" w:hanging="315"/>
        <w:spacing w:after="0" w:line="243" w:lineRule="auto"/>
        <w:tabs>
          <w:tab w:leader="none" w:pos="404" w:val="left"/>
        </w:tabs>
        <w:numPr>
          <w:ilvl w:val="0"/>
          <w:numId w:val="71"/>
        </w:numPr>
        <w:rPr>
          <w:rFonts w:ascii="Arial" w:cs="Arial" w:eastAsia="Arial" w:hAnsi="Arial"/>
          <w:sz w:val="14"/>
          <w:szCs w:val="14"/>
          <w:color w:val="242424"/>
        </w:rPr>
      </w:pPr>
      <w:r>
        <w:rPr>
          <w:rFonts w:ascii="Arial" w:cs="Arial" w:eastAsia="Arial" w:hAnsi="Arial"/>
          <w:sz w:val="14"/>
          <w:szCs w:val="14"/>
          <w:color w:val="242424"/>
        </w:rPr>
        <w:t>Although the stock grant approved by the independent directors has a December 15, 2020 effective date, the stock award was contingent upon stockholder approval of the 2012 Plan at the 2021 annual meeting. The amount represents the value of the stock award as of April 5, 2021, the date when the stockholders approved the 2012 Plan. Target market value of the stock award was $25,000,000 when approved by the independent directors.</w:t>
      </w:r>
    </w:p>
    <w:p>
      <w:pPr>
        <w:spacing w:after="0" w:line="40" w:lineRule="exact"/>
        <w:rPr>
          <w:rFonts w:ascii="Arial" w:cs="Arial" w:eastAsia="Arial" w:hAnsi="Arial"/>
          <w:sz w:val="14"/>
          <w:szCs w:val="14"/>
          <w:color w:val="242424"/>
        </w:rPr>
      </w:pPr>
    </w:p>
    <w:p>
      <w:pPr>
        <w:ind w:left="400" w:right="240" w:hanging="315"/>
        <w:spacing w:after="0" w:line="250" w:lineRule="auto"/>
        <w:tabs>
          <w:tab w:leader="none" w:pos="412" w:val="left"/>
        </w:tabs>
        <w:numPr>
          <w:ilvl w:val="0"/>
          <w:numId w:val="71"/>
        </w:numPr>
        <w:rPr>
          <w:rFonts w:ascii="Arial" w:cs="Arial" w:eastAsia="Arial" w:hAnsi="Arial"/>
          <w:sz w:val="14"/>
          <w:szCs w:val="14"/>
          <w:color w:val="242424"/>
        </w:rPr>
      </w:pPr>
      <w:r>
        <w:rPr>
          <w:rFonts w:ascii="Arial" w:cs="Arial" w:eastAsia="Arial" w:hAnsi="Arial"/>
          <w:sz w:val="14"/>
          <w:szCs w:val="14"/>
          <w:color w:val="242424"/>
        </w:rPr>
        <w:t>Represents $2,020 in expense reimbursements for travel to Mr. Tan’s residence in Pennsylvania, $17,400 401(k) plan employer matching contribution and $27,400 for car service.</w:t>
      </w:r>
    </w:p>
    <w:p>
      <w:pPr>
        <w:spacing w:after="0" w:line="35" w:lineRule="exact"/>
        <w:rPr>
          <w:rFonts w:ascii="Arial" w:cs="Arial" w:eastAsia="Arial" w:hAnsi="Arial"/>
          <w:sz w:val="14"/>
          <w:szCs w:val="14"/>
          <w:color w:val="242424"/>
        </w:rPr>
      </w:pPr>
    </w:p>
    <w:p>
      <w:pPr>
        <w:ind w:left="420" w:hanging="335"/>
        <w:spacing w:after="0"/>
        <w:tabs>
          <w:tab w:leader="none" w:pos="420" w:val="left"/>
        </w:tabs>
        <w:numPr>
          <w:ilvl w:val="0"/>
          <w:numId w:val="71"/>
        </w:numPr>
        <w:rPr>
          <w:rFonts w:ascii="Arial" w:cs="Arial" w:eastAsia="Arial" w:hAnsi="Arial"/>
          <w:sz w:val="14"/>
          <w:szCs w:val="14"/>
          <w:color w:val="242424"/>
        </w:rPr>
      </w:pPr>
      <w:r>
        <w:rPr>
          <w:rFonts w:ascii="Arial" w:cs="Arial" w:eastAsia="Arial" w:hAnsi="Arial"/>
          <w:sz w:val="14"/>
          <w:szCs w:val="14"/>
          <w:color w:val="242424"/>
        </w:rPr>
        <w:t>Ms. Spears was promoted to Chief Financial Officer on December 10, 2020.</w:t>
      </w:r>
    </w:p>
    <w:p>
      <w:pPr>
        <w:spacing w:after="0" w:line="51" w:lineRule="exact"/>
        <w:rPr>
          <w:rFonts w:ascii="Arial" w:cs="Arial" w:eastAsia="Arial" w:hAnsi="Arial"/>
          <w:sz w:val="14"/>
          <w:szCs w:val="14"/>
          <w:color w:val="242424"/>
        </w:rPr>
      </w:pPr>
    </w:p>
    <w:p>
      <w:pPr>
        <w:ind w:left="420" w:hanging="335"/>
        <w:spacing w:after="0"/>
        <w:tabs>
          <w:tab w:leader="none" w:pos="420" w:val="left"/>
        </w:tabs>
        <w:numPr>
          <w:ilvl w:val="0"/>
          <w:numId w:val="71"/>
        </w:numPr>
        <w:rPr>
          <w:rFonts w:ascii="Arial" w:cs="Arial" w:eastAsia="Arial" w:hAnsi="Arial"/>
          <w:sz w:val="14"/>
          <w:szCs w:val="14"/>
          <w:color w:val="242424"/>
        </w:rPr>
      </w:pPr>
      <w:r>
        <w:rPr>
          <w:rFonts w:ascii="Arial" w:cs="Arial" w:eastAsia="Arial" w:hAnsi="Arial"/>
          <w:sz w:val="14"/>
          <w:szCs w:val="14"/>
          <w:color w:val="242424"/>
        </w:rPr>
        <w:t>Represents 401(k) plan employer matching contributions.</w:t>
      </w:r>
    </w:p>
    <w:p>
      <w:pPr>
        <w:spacing w:after="0" w:line="51" w:lineRule="exact"/>
        <w:rPr>
          <w:rFonts w:ascii="Arial" w:cs="Arial" w:eastAsia="Arial" w:hAnsi="Arial"/>
          <w:sz w:val="14"/>
          <w:szCs w:val="14"/>
          <w:color w:val="242424"/>
        </w:rPr>
      </w:pPr>
    </w:p>
    <w:p>
      <w:pPr>
        <w:ind w:left="420" w:hanging="335"/>
        <w:spacing w:after="0"/>
        <w:tabs>
          <w:tab w:leader="none" w:pos="420" w:val="left"/>
        </w:tabs>
        <w:numPr>
          <w:ilvl w:val="0"/>
          <w:numId w:val="71"/>
        </w:numPr>
        <w:rPr>
          <w:rFonts w:ascii="Arial" w:cs="Arial" w:eastAsia="Arial" w:hAnsi="Arial"/>
          <w:sz w:val="14"/>
          <w:szCs w:val="14"/>
          <w:color w:val="242424"/>
        </w:rPr>
      </w:pPr>
      <w:r>
        <w:rPr>
          <w:rFonts w:ascii="Arial" w:cs="Arial" w:eastAsia="Arial" w:hAnsi="Arial"/>
          <w:sz w:val="14"/>
          <w:szCs w:val="14"/>
          <w:color w:val="242424"/>
        </w:rPr>
        <w:t>Following the end of Fiscal Year 2021, Mr. Brazeal was promoted to Chief Legal and Corporate Affairs Officer.</w:t>
      </w:r>
    </w:p>
    <w:p>
      <w:pPr>
        <w:spacing w:after="0" w:line="51" w:lineRule="exact"/>
        <w:rPr>
          <w:rFonts w:ascii="Arial" w:cs="Arial" w:eastAsia="Arial" w:hAnsi="Arial"/>
          <w:sz w:val="14"/>
          <w:szCs w:val="14"/>
          <w:color w:val="242424"/>
        </w:rPr>
      </w:pPr>
    </w:p>
    <w:p>
      <w:pPr>
        <w:ind w:left="420" w:hanging="335"/>
        <w:spacing w:after="0"/>
        <w:tabs>
          <w:tab w:leader="none" w:pos="420" w:val="left"/>
        </w:tabs>
        <w:numPr>
          <w:ilvl w:val="0"/>
          <w:numId w:val="71"/>
        </w:numPr>
        <w:rPr>
          <w:rFonts w:ascii="Arial" w:cs="Arial" w:eastAsia="Arial" w:hAnsi="Arial"/>
          <w:sz w:val="14"/>
          <w:szCs w:val="14"/>
          <w:color w:val="242424"/>
        </w:rPr>
      </w:pPr>
      <w:r>
        <w:rPr>
          <w:rFonts w:ascii="Arial" w:cs="Arial" w:eastAsia="Arial" w:hAnsi="Arial"/>
          <w:sz w:val="14"/>
          <w:szCs w:val="14"/>
          <w:color w:val="242424"/>
        </w:rPr>
        <w:t>Dr. Kawwas was promoted to Chief Operating Officer on December 10, 2020.</w:t>
      </w:r>
    </w:p>
    <w:p>
      <w:pPr>
        <w:spacing w:after="0" w:line="51" w:lineRule="exact"/>
        <w:rPr>
          <w:rFonts w:ascii="Arial" w:cs="Arial" w:eastAsia="Arial" w:hAnsi="Arial"/>
          <w:sz w:val="14"/>
          <w:szCs w:val="14"/>
          <w:color w:val="242424"/>
        </w:rPr>
      </w:pPr>
    </w:p>
    <w:p>
      <w:pPr>
        <w:jc w:val="both"/>
        <w:ind w:left="400" w:right="100" w:hanging="315"/>
        <w:spacing w:after="0" w:line="243" w:lineRule="auto"/>
        <w:tabs>
          <w:tab w:leader="none" w:pos="404" w:val="left"/>
        </w:tabs>
        <w:numPr>
          <w:ilvl w:val="0"/>
          <w:numId w:val="71"/>
        </w:numPr>
        <w:rPr>
          <w:rFonts w:ascii="Arial" w:cs="Arial" w:eastAsia="Arial" w:hAnsi="Arial"/>
          <w:sz w:val="14"/>
          <w:szCs w:val="14"/>
          <w:color w:val="242424"/>
        </w:rPr>
      </w:pPr>
      <w:r>
        <w:rPr>
          <w:rFonts w:ascii="Arial" w:cs="Arial" w:eastAsia="Arial" w:hAnsi="Arial"/>
          <w:sz w:val="14"/>
          <w:szCs w:val="14"/>
          <w:color w:val="242424"/>
        </w:rPr>
        <w:t>Although the stock grants approved by the Compensation Committee has a December 15, 2020 effective date, the stock awards were contingent upon stockholder approval of the 2012 Plan at the 2021 annual meeting. The amount represents the accounting value of the stock awards as of April 5, 2021, the date when the stockholders approved the 2012 Plan. Target market value of the stock awards was $15,000,000 when approved by the Compensation Committee.</w:t>
      </w:r>
    </w:p>
    <w:p>
      <w:pPr>
        <w:spacing w:after="0" w:line="40" w:lineRule="exact"/>
        <w:rPr>
          <w:rFonts w:ascii="Arial" w:cs="Arial" w:eastAsia="Arial" w:hAnsi="Arial"/>
          <w:sz w:val="14"/>
          <w:szCs w:val="14"/>
          <w:color w:val="242424"/>
        </w:rPr>
      </w:pPr>
    </w:p>
    <w:p>
      <w:pPr>
        <w:ind w:left="400" w:right="420" w:hanging="315"/>
        <w:spacing w:after="0" w:line="250" w:lineRule="auto"/>
        <w:tabs>
          <w:tab w:leader="none" w:pos="490" w:val="left"/>
        </w:tabs>
        <w:numPr>
          <w:ilvl w:val="0"/>
          <w:numId w:val="71"/>
        </w:numPr>
        <w:rPr>
          <w:rFonts w:ascii="Arial" w:cs="Arial" w:eastAsia="Arial" w:hAnsi="Arial"/>
          <w:sz w:val="14"/>
          <w:szCs w:val="14"/>
          <w:color w:val="242424"/>
        </w:rPr>
      </w:pPr>
      <w:r>
        <w:rPr>
          <w:rFonts w:ascii="Arial" w:cs="Arial" w:eastAsia="Arial" w:hAnsi="Arial"/>
          <w:sz w:val="14"/>
          <w:szCs w:val="14"/>
          <w:color w:val="242424"/>
        </w:rPr>
        <w:t>Mr. Krause served as our Chief Financial Officer until his promotion to President, Infrastructure Software Group on December 10, 2020. In August 2021, Infrastructure Software Group changed its name to Broadcom Software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45</w:t>
      </w:r>
    </w:p>
    <w:p>
      <w:pPr>
        <w:sectPr>
          <w:pgSz w:w="11900" w:h="16838" w:orient="portrait"/>
          <w:cols w:equalWidth="0" w:num="1">
            <w:col w:w="11240"/>
          </w:cols>
          <w:pgMar w:left="320" w:top="340"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16"/>
          <w:szCs w:val="16"/>
          <w:color w:val="CC092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Fiscal Year 2021 Grants of Plan-Based Awards Table</w:t>
      </w:r>
    </w:p>
    <w:p>
      <w:pPr>
        <w:spacing w:after="0" w:line="18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242424"/>
        </w:rPr>
        <w:t>The following table sets forth information regarding grants of plan-based awards during Fiscal Year 2021 to each of our NEOs. All equity awards were granted under the 2012 Plan, unless otherwise noted.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20" w:type="dxa"/>
            <w:vAlign w:val="bottom"/>
            <w:tcBorders>
              <w:top w:val="single" w:sz="8" w:color="CC092F"/>
            </w:tcBorders>
            <w:shd w:val="clear" w:color="auto" w:fill="B8B8B8"/>
          </w:tcPr>
          <w:p>
            <w:pPr>
              <w:spacing w:after="0"/>
              <w:rPr>
                <w:sz w:val="19"/>
                <w:szCs w:val="19"/>
                <w:color w:val="auto"/>
              </w:rPr>
            </w:pPr>
          </w:p>
        </w:tc>
        <w:tc>
          <w:tcPr>
            <w:tcW w:w="780" w:type="dxa"/>
            <w:vAlign w:val="bottom"/>
            <w:tcBorders>
              <w:top w:val="single" w:sz="8" w:color="CC092F"/>
            </w:tcBorders>
            <w:shd w:val="clear" w:color="auto" w:fill="B8B8B8"/>
          </w:tcPr>
          <w:p>
            <w:pPr>
              <w:spacing w:after="0"/>
              <w:rPr>
                <w:sz w:val="19"/>
                <w:szCs w:val="19"/>
                <w:color w:val="auto"/>
              </w:rPr>
            </w:pPr>
          </w:p>
        </w:tc>
        <w:tc>
          <w:tcPr>
            <w:tcW w:w="780" w:type="dxa"/>
            <w:vAlign w:val="bottom"/>
            <w:tcBorders>
              <w:top w:val="single" w:sz="8" w:color="CC092F"/>
            </w:tcBorders>
            <w:shd w:val="clear" w:color="auto" w:fill="B8B8B8"/>
          </w:tcPr>
          <w:p>
            <w:pPr>
              <w:spacing w:after="0"/>
              <w:rPr>
                <w:sz w:val="19"/>
                <w:szCs w:val="19"/>
                <w:color w:val="auto"/>
              </w:rPr>
            </w:pPr>
          </w:p>
        </w:tc>
        <w:tc>
          <w:tcPr>
            <w:tcW w:w="2980" w:type="dxa"/>
            <w:vAlign w:val="bottom"/>
            <w:tcBorders>
              <w:top w:val="single" w:sz="8" w:color="CC092F"/>
            </w:tcBorders>
            <w:gridSpan w:val="3"/>
            <w:shd w:val="clear" w:color="auto" w:fill="B8B8B8"/>
          </w:tcPr>
          <w:p>
            <w:pPr>
              <w:jc w:val="center"/>
              <w:spacing w:after="0"/>
              <w:rPr>
                <w:sz w:val="20"/>
                <w:szCs w:val="20"/>
                <w:color w:val="auto"/>
              </w:rPr>
            </w:pPr>
            <w:r>
              <w:rPr>
                <w:rFonts w:ascii="Arial" w:cs="Arial" w:eastAsia="Arial" w:hAnsi="Arial"/>
                <w:sz w:val="13"/>
                <w:szCs w:val="13"/>
                <w:b w:val="1"/>
                <w:bCs w:val="1"/>
                <w:color w:val="FFFFFF"/>
              </w:rPr>
              <w:t>Estimated Future Payouts Under Non-Equity</w:t>
            </w:r>
          </w:p>
        </w:tc>
        <w:tc>
          <w:tcPr>
            <w:tcW w:w="2760" w:type="dxa"/>
            <w:vAlign w:val="bottom"/>
            <w:tcBorders>
              <w:top w:val="single" w:sz="8" w:color="CC092F"/>
            </w:tcBorders>
            <w:gridSpan w:val="3"/>
            <w:shd w:val="clear" w:color="auto" w:fill="B8B8B8"/>
          </w:tcPr>
          <w:p>
            <w:pPr>
              <w:jc w:val="center"/>
              <w:spacing w:after="0"/>
              <w:rPr>
                <w:sz w:val="20"/>
                <w:szCs w:val="20"/>
                <w:color w:val="auto"/>
              </w:rPr>
            </w:pPr>
            <w:r>
              <w:rPr>
                <w:rFonts w:ascii="Arial" w:cs="Arial" w:eastAsia="Arial" w:hAnsi="Arial"/>
                <w:sz w:val="13"/>
                <w:szCs w:val="13"/>
                <w:b w:val="1"/>
                <w:bCs w:val="1"/>
                <w:color w:val="FFFFFF"/>
              </w:rPr>
              <w:t>Estimated Future Payouts Under Equity</w:t>
            </w:r>
          </w:p>
        </w:tc>
        <w:tc>
          <w:tcPr>
            <w:tcW w:w="980" w:type="dxa"/>
            <w:vAlign w:val="bottom"/>
            <w:tcBorders>
              <w:top w:val="single" w:sz="8" w:color="CC092F"/>
            </w:tcBorders>
            <w:vMerge w:val="restart"/>
            <w:shd w:val="clear" w:color="auto" w:fill="B8B8B8"/>
          </w:tcPr>
          <w:p>
            <w:pPr>
              <w:jc w:val="center"/>
              <w:spacing w:after="0"/>
              <w:rPr>
                <w:sz w:val="20"/>
                <w:szCs w:val="20"/>
                <w:color w:val="auto"/>
              </w:rPr>
            </w:pPr>
            <w:r>
              <w:rPr>
                <w:rFonts w:ascii="Arial" w:cs="Arial" w:eastAsia="Arial" w:hAnsi="Arial"/>
                <w:sz w:val="13"/>
                <w:szCs w:val="13"/>
                <w:b w:val="1"/>
                <w:bCs w:val="1"/>
                <w:color w:val="FFFFFF"/>
              </w:rPr>
              <w:t>All Other</w:t>
            </w:r>
          </w:p>
        </w:tc>
        <w:tc>
          <w:tcPr>
            <w:tcW w:w="1020" w:type="dxa"/>
            <w:vAlign w:val="bottom"/>
            <w:tcBorders>
              <w:top w:val="single" w:sz="8" w:color="CC092F"/>
            </w:tcBorders>
            <w:shd w:val="clear" w:color="auto" w:fill="B8B8B8"/>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920" w:type="dxa"/>
            <w:vAlign w:val="bottom"/>
            <w:shd w:val="clear" w:color="auto" w:fill="B8B8B8"/>
          </w:tcPr>
          <w:p>
            <w:pPr>
              <w:spacing w:after="0"/>
              <w:rPr>
                <w:sz w:val="11"/>
                <w:szCs w:val="11"/>
                <w:color w:val="auto"/>
              </w:rPr>
            </w:pPr>
          </w:p>
        </w:tc>
        <w:tc>
          <w:tcPr>
            <w:tcW w:w="780" w:type="dxa"/>
            <w:vAlign w:val="bottom"/>
            <w:shd w:val="clear" w:color="auto" w:fill="B8B8B8"/>
          </w:tcPr>
          <w:p>
            <w:pPr>
              <w:spacing w:after="0"/>
              <w:rPr>
                <w:sz w:val="11"/>
                <w:szCs w:val="11"/>
                <w:color w:val="auto"/>
              </w:rPr>
            </w:pPr>
          </w:p>
        </w:tc>
        <w:tc>
          <w:tcPr>
            <w:tcW w:w="780" w:type="dxa"/>
            <w:vAlign w:val="bottom"/>
            <w:shd w:val="clear" w:color="auto" w:fill="B8B8B8"/>
          </w:tcPr>
          <w:p>
            <w:pPr>
              <w:spacing w:after="0"/>
              <w:rPr>
                <w:sz w:val="11"/>
                <w:szCs w:val="11"/>
                <w:color w:val="auto"/>
              </w:rPr>
            </w:pPr>
          </w:p>
        </w:tc>
        <w:tc>
          <w:tcPr>
            <w:tcW w:w="2980" w:type="dxa"/>
            <w:vAlign w:val="bottom"/>
            <w:gridSpan w:val="3"/>
            <w:shd w:val="clear" w:color="auto" w:fill="B8B8B8"/>
          </w:tcPr>
          <w:p>
            <w:pPr>
              <w:jc w:val="center"/>
              <w:spacing w:after="0" w:line="133" w:lineRule="exact"/>
              <w:rPr>
                <w:sz w:val="20"/>
                <w:szCs w:val="20"/>
                <w:color w:val="auto"/>
              </w:rPr>
            </w:pPr>
            <w:r>
              <w:rPr>
                <w:rFonts w:ascii="Arial" w:cs="Arial" w:eastAsia="Arial" w:hAnsi="Arial"/>
                <w:sz w:val="12"/>
                <w:szCs w:val="12"/>
                <w:b w:val="1"/>
                <w:bCs w:val="1"/>
                <w:color w:val="FFFFFF"/>
              </w:rPr>
              <w:t>Incentive Plan Awards</w:t>
            </w:r>
            <w:r>
              <w:rPr>
                <w:rFonts w:ascii="Arial" w:cs="Arial" w:eastAsia="Arial" w:hAnsi="Arial"/>
                <w:sz w:val="15"/>
                <w:szCs w:val="15"/>
                <w:b w:val="1"/>
                <w:bCs w:val="1"/>
                <w:color w:val="FFFFFF"/>
                <w:vertAlign w:val="superscript"/>
              </w:rPr>
              <w:t>(2)</w:t>
            </w:r>
          </w:p>
        </w:tc>
        <w:tc>
          <w:tcPr>
            <w:tcW w:w="2760" w:type="dxa"/>
            <w:vAlign w:val="bottom"/>
            <w:gridSpan w:val="3"/>
            <w:shd w:val="clear" w:color="auto" w:fill="B8B8B8"/>
          </w:tcPr>
          <w:p>
            <w:pPr>
              <w:jc w:val="center"/>
              <w:spacing w:after="0" w:line="133" w:lineRule="exact"/>
              <w:rPr>
                <w:sz w:val="20"/>
                <w:szCs w:val="20"/>
                <w:color w:val="auto"/>
              </w:rPr>
            </w:pPr>
            <w:r>
              <w:rPr>
                <w:rFonts w:ascii="Arial" w:cs="Arial" w:eastAsia="Arial" w:hAnsi="Arial"/>
                <w:sz w:val="13"/>
                <w:szCs w:val="13"/>
                <w:b w:val="1"/>
                <w:bCs w:val="1"/>
                <w:color w:val="FFFFFF"/>
              </w:rPr>
              <w:t>Incentive Plan Awards</w:t>
            </w:r>
          </w:p>
        </w:tc>
        <w:tc>
          <w:tcPr>
            <w:tcW w:w="980" w:type="dxa"/>
            <w:vAlign w:val="bottom"/>
            <w:vMerge w:val="continue"/>
            <w:shd w:val="clear" w:color="auto" w:fill="B8B8B8"/>
          </w:tcPr>
          <w:p>
            <w:pPr>
              <w:spacing w:after="0"/>
              <w:rPr>
                <w:sz w:val="11"/>
                <w:szCs w:val="11"/>
                <w:color w:val="auto"/>
              </w:rPr>
            </w:pPr>
          </w:p>
        </w:tc>
        <w:tc>
          <w:tcPr>
            <w:tcW w:w="1020" w:type="dxa"/>
            <w:vAlign w:val="bottom"/>
            <w:shd w:val="clear" w:color="auto" w:fill="B8B8B8"/>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920" w:type="dxa"/>
            <w:vAlign w:val="bottom"/>
            <w:shd w:val="clear" w:color="auto" w:fill="B8B8B8"/>
          </w:tcPr>
          <w:p>
            <w:pPr>
              <w:spacing w:after="0"/>
              <w:rPr>
                <w:sz w:val="8"/>
                <w:szCs w:val="8"/>
                <w:color w:val="auto"/>
              </w:rPr>
            </w:pPr>
          </w:p>
        </w:tc>
        <w:tc>
          <w:tcPr>
            <w:tcW w:w="780" w:type="dxa"/>
            <w:vAlign w:val="bottom"/>
            <w:shd w:val="clear" w:color="auto" w:fill="B8B8B8"/>
          </w:tcPr>
          <w:p>
            <w:pPr>
              <w:spacing w:after="0"/>
              <w:rPr>
                <w:sz w:val="8"/>
                <w:szCs w:val="8"/>
                <w:color w:val="auto"/>
              </w:rPr>
            </w:pPr>
          </w:p>
        </w:tc>
        <w:tc>
          <w:tcPr>
            <w:tcW w:w="780" w:type="dxa"/>
            <w:vAlign w:val="bottom"/>
            <w:shd w:val="clear" w:color="auto" w:fill="B8B8B8"/>
          </w:tcPr>
          <w:p>
            <w:pPr>
              <w:spacing w:after="0"/>
              <w:rPr>
                <w:sz w:val="8"/>
                <w:szCs w:val="8"/>
                <w:color w:val="auto"/>
              </w:rPr>
            </w:pPr>
          </w:p>
        </w:tc>
        <w:tc>
          <w:tcPr>
            <w:tcW w:w="1080" w:type="dxa"/>
            <w:vAlign w:val="bottom"/>
            <w:shd w:val="clear" w:color="auto" w:fill="B8B8B8"/>
          </w:tcPr>
          <w:p>
            <w:pPr>
              <w:spacing w:after="0"/>
              <w:rPr>
                <w:sz w:val="8"/>
                <w:szCs w:val="8"/>
                <w:color w:val="auto"/>
              </w:rPr>
            </w:pPr>
          </w:p>
        </w:tc>
        <w:tc>
          <w:tcPr>
            <w:tcW w:w="880" w:type="dxa"/>
            <w:vAlign w:val="bottom"/>
            <w:shd w:val="clear" w:color="auto" w:fill="B8B8B8"/>
          </w:tcPr>
          <w:p>
            <w:pPr>
              <w:spacing w:after="0"/>
              <w:rPr>
                <w:sz w:val="8"/>
                <w:szCs w:val="8"/>
                <w:color w:val="auto"/>
              </w:rPr>
            </w:pPr>
          </w:p>
        </w:tc>
        <w:tc>
          <w:tcPr>
            <w:tcW w:w="1020" w:type="dxa"/>
            <w:vAlign w:val="bottom"/>
            <w:shd w:val="clear" w:color="auto" w:fill="B8B8B8"/>
          </w:tcPr>
          <w:p>
            <w:pPr>
              <w:spacing w:after="0"/>
              <w:rPr>
                <w:sz w:val="8"/>
                <w:szCs w:val="8"/>
                <w:color w:val="auto"/>
              </w:rPr>
            </w:pPr>
          </w:p>
        </w:tc>
        <w:tc>
          <w:tcPr>
            <w:tcW w:w="1020" w:type="dxa"/>
            <w:vAlign w:val="bottom"/>
            <w:shd w:val="clear" w:color="auto" w:fill="B8B8B8"/>
          </w:tcPr>
          <w:p>
            <w:pPr>
              <w:spacing w:after="0"/>
              <w:rPr>
                <w:sz w:val="8"/>
                <w:szCs w:val="8"/>
                <w:color w:val="auto"/>
              </w:rPr>
            </w:pPr>
          </w:p>
        </w:tc>
        <w:tc>
          <w:tcPr>
            <w:tcW w:w="760" w:type="dxa"/>
            <w:vAlign w:val="bottom"/>
            <w:shd w:val="clear" w:color="auto" w:fill="B8B8B8"/>
          </w:tcPr>
          <w:p>
            <w:pPr>
              <w:spacing w:after="0"/>
              <w:rPr>
                <w:sz w:val="8"/>
                <w:szCs w:val="8"/>
                <w:color w:val="auto"/>
              </w:rPr>
            </w:pPr>
          </w:p>
        </w:tc>
        <w:tc>
          <w:tcPr>
            <w:tcW w:w="980" w:type="dxa"/>
            <w:vAlign w:val="bottom"/>
            <w:shd w:val="clear" w:color="auto" w:fill="B8B8B8"/>
          </w:tcPr>
          <w:p>
            <w:pPr>
              <w:spacing w:after="0"/>
              <w:rPr>
                <w:sz w:val="8"/>
                <w:szCs w:val="8"/>
                <w:color w:val="auto"/>
              </w:rPr>
            </w:pPr>
          </w:p>
        </w:tc>
        <w:tc>
          <w:tcPr>
            <w:tcW w:w="980" w:type="dxa"/>
            <w:vAlign w:val="bottom"/>
            <w:shd w:val="clear" w:color="auto" w:fill="B8B8B8"/>
          </w:tcPr>
          <w:p>
            <w:pPr>
              <w:jc w:val="center"/>
              <w:spacing w:after="0" w:line="103" w:lineRule="exact"/>
              <w:rPr>
                <w:sz w:val="20"/>
                <w:szCs w:val="20"/>
                <w:color w:val="auto"/>
              </w:rPr>
            </w:pPr>
            <w:r>
              <w:rPr>
                <w:rFonts w:ascii="Arial" w:cs="Arial" w:eastAsia="Arial" w:hAnsi="Arial"/>
                <w:sz w:val="11"/>
                <w:szCs w:val="11"/>
                <w:b w:val="1"/>
                <w:bCs w:val="1"/>
                <w:color w:val="FFFFFF"/>
              </w:rPr>
              <w:t>Stock Awards:</w:t>
            </w:r>
          </w:p>
        </w:tc>
        <w:tc>
          <w:tcPr>
            <w:tcW w:w="1020" w:type="dxa"/>
            <w:vAlign w:val="bottom"/>
            <w:shd w:val="clear" w:color="auto" w:fill="B8B8B8"/>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920" w:type="dxa"/>
            <w:vAlign w:val="bottom"/>
            <w:shd w:val="clear" w:color="auto" w:fill="B8B8B8"/>
          </w:tcPr>
          <w:p>
            <w:pPr>
              <w:spacing w:after="0"/>
              <w:rPr>
                <w:sz w:val="12"/>
                <w:szCs w:val="12"/>
                <w:color w:val="auto"/>
              </w:rPr>
            </w:pPr>
          </w:p>
        </w:tc>
        <w:tc>
          <w:tcPr>
            <w:tcW w:w="780" w:type="dxa"/>
            <w:vAlign w:val="bottom"/>
            <w:shd w:val="clear" w:color="auto" w:fill="B8B8B8"/>
          </w:tcPr>
          <w:p>
            <w:pPr>
              <w:spacing w:after="0"/>
              <w:rPr>
                <w:sz w:val="12"/>
                <w:szCs w:val="12"/>
                <w:color w:val="auto"/>
              </w:rPr>
            </w:pPr>
          </w:p>
        </w:tc>
        <w:tc>
          <w:tcPr>
            <w:tcW w:w="780" w:type="dxa"/>
            <w:vAlign w:val="bottom"/>
            <w:shd w:val="clear" w:color="auto" w:fill="B8B8B8"/>
          </w:tcPr>
          <w:p>
            <w:pPr>
              <w:spacing w:after="0"/>
              <w:rPr>
                <w:sz w:val="12"/>
                <w:szCs w:val="12"/>
                <w:color w:val="auto"/>
              </w:rPr>
            </w:pPr>
          </w:p>
        </w:tc>
        <w:tc>
          <w:tcPr>
            <w:tcW w:w="1080" w:type="dxa"/>
            <w:vAlign w:val="bottom"/>
            <w:shd w:val="clear" w:color="auto" w:fill="B8B8B8"/>
          </w:tcPr>
          <w:p>
            <w:pPr>
              <w:spacing w:after="0"/>
              <w:rPr>
                <w:sz w:val="12"/>
                <w:szCs w:val="12"/>
                <w:color w:val="auto"/>
              </w:rPr>
            </w:pPr>
          </w:p>
        </w:tc>
        <w:tc>
          <w:tcPr>
            <w:tcW w:w="880" w:type="dxa"/>
            <w:vAlign w:val="bottom"/>
            <w:shd w:val="clear" w:color="auto" w:fill="B8B8B8"/>
          </w:tcPr>
          <w:p>
            <w:pPr>
              <w:spacing w:after="0"/>
              <w:rPr>
                <w:sz w:val="12"/>
                <w:szCs w:val="12"/>
                <w:color w:val="auto"/>
              </w:rPr>
            </w:pPr>
          </w:p>
        </w:tc>
        <w:tc>
          <w:tcPr>
            <w:tcW w:w="1020" w:type="dxa"/>
            <w:vAlign w:val="bottom"/>
            <w:shd w:val="clear" w:color="auto" w:fill="B8B8B8"/>
          </w:tcPr>
          <w:p>
            <w:pPr>
              <w:spacing w:after="0"/>
              <w:rPr>
                <w:sz w:val="12"/>
                <w:szCs w:val="12"/>
                <w:color w:val="auto"/>
              </w:rPr>
            </w:pPr>
          </w:p>
        </w:tc>
        <w:tc>
          <w:tcPr>
            <w:tcW w:w="1020" w:type="dxa"/>
            <w:vAlign w:val="bottom"/>
            <w:shd w:val="clear" w:color="auto" w:fill="B8B8B8"/>
          </w:tcPr>
          <w:p>
            <w:pPr>
              <w:spacing w:after="0"/>
              <w:rPr>
                <w:sz w:val="12"/>
                <w:szCs w:val="12"/>
                <w:color w:val="auto"/>
              </w:rPr>
            </w:pPr>
          </w:p>
        </w:tc>
        <w:tc>
          <w:tcPr>
            <w:tcW w:w="760" w:type="dxa"/>
            <w:vAlign w:val="bottom"/>
            <w:shd w:val="clear" w:color="auto" w:fill="B8B8B8"/>
          </w:tcPr>
          <w:p>
            <w:pPr>
              <w:spacing w:after="0"/>
              <w:rPr>
                <w:sz w:val="12"/>
                <w:szCs w:val="12"/>
                <w:color w:val="auto"/>
              </w:rPr>
            </w:pPr>
          </w:p>
        </w:tc>
        <w:tc>
          <w:tcPr>
            <w:tcW w:w="980" w:type="dxa"/>
            <w:vAlign w:val="bottom"/>
            <w:shd w:val="clear" w:color="auto" w:fill="B8B8B8"/>
          </w:tcPr>
          <w:p>
            <w:pPr>
              <w:spacing w:after="0"/>
              <w:rPr>
                <w:sz w:val="12"/>
                <w:szCs w:val="12"/>
                <w:color w:val="auto"/>
              </w:rPr>
            </w:pPr>
          </w:p>
        </w:tc>
        <w:tc>
          <w:tcPr>
            <w:tcW w:w="980" w:type="dxa"/>
            <w:vAlign w:val="bottom"/>
            <w:shd w:val="clear" w:color="auto" w:fill="B8B8B8"/>
          </w:tcPr>
          <w:p>
            <w:pPr>
              <w:jc w:val="center"/>
              <w:spacing w:after="0" w:line="146" w:lineRule="exact"/>
              <w:rPr>
                <w:sz w:val="20"/>
                <w:szCs w:val="20"/>
                <w:color w:val="auto"/>
              </w:rPr>
            </w:pPr>
            <w:r>
              <w:rPr>
                <w:rFonts w:ascii="Arial" w:cs="Arial" w:eastAsia="Arial" w:hAnsi="Arial"/>
                <w:sz w:val="13"/>
                <w:szCs w:val="13"/>
                <w:b w:val="1"/>
                <w:bCs w:val="1"/>
                <w:color w:val="FFFFFF"/>
              </w:rPr>
              <w:t>Number of</w:t>
            </w:r>
          </w:p>
        </w:tc>
        <w:tc>
          <w:tcPr>
            <w:tcW w:w="1020" w:type="dxa"/>
            <w:vAlign w:val="bottom"/>
            <w:shd w:val="clear" w:color="auto" w:fill="B8B8B8"/>
          </w:tcPr>
          <w:p>
            <w:pPr>
              <w:jc w:val="center"/>
              <w:spacing w:after="0" w:line="146" w:lineRule="exact"/>
              <w:rPr>
                <w:sz w:val="20"/>
                <w:szCs w:val="20"/>
                <w:color w:val="auto"/>
              </w:rPr>
            </w:pPr>
            <w:r>
              <w:rPr>
                <w:rFonts w:ascii="Arial" w:cs="Arial" w:eastAsia="Arial" w:hAnsi="Arial"/>
                <w:sz w:val="13"/>
                <w:szCs w:val="13"/>
                <w:b w:val="1"/>
                <w:bCs w:val="1"/>
                <w:color w:val="FFFFFF"/>
              </w:rPr>
              <w:t>Grant Date Fair</w:t>
            </w:r>
          </w:p>
        </w:tc>
        <w:tc>
          <w:tcPr>
            <w:tcW w:w="0" w:type="dxa"/>
            <w:vAlign w:val="bottom"/>
          </w:tcPr>
          <w:p>
            <w:pPr>
              <w:spacing w:after="0"/>
              <w:rPr>
                <w:sz w:val="1"/>
                <w:szCs w:val="1"/>
                <w:color w:val="auto"/>
              </w:rPr>
            </w:pPr>
          </w:p>
        </w:tc>
      </w:tr>
      <w:tr>
        <w:trPr>
          <w:trHeight w:val="146"/>
        </w:trPr>
        <w:tc>
          <w:tcPr>
            <w:tcW w:w="1920" w:type="dxa"/>
            <w:vAlign w:val="bottom"/>
            <w:shd w:val="clear" w:color="auto" w:fill="B8B8B8"/>
          </w:tcPr>
          <w:p>
            <w:pPr>
              <w:spacing w:after="0"/>
              <w:rPr>
                <w:sz w:val="12"/>
                <w:szCs w:val="12"/>
                <w:color w:val="auto"/>
              </w:rPr>
            </w:pPr>
          </w:p>
        </w:tc>
        <w:tc>
          <w:tcPr>
            <w:tcW w:w="780" w:type="dxa"/>
            <w:vAlign w:val="bottom"/>
            <w:shd w:val="clear" w:color="auto" w:fill="B8B8B8"/>
          </w:tcPr>
          <w:p>
            <w:pPr>
              <w:spacing w:after="0"/>
              <w:rPr>
                <w:sz w:val="12"/>
                <w:szCs w:val="12"/>
                <w:color w:val="auto"/>
              </w:rPr>
            </w:pPr>
          </w:p>
        </w:tc>
        <w:tc>
          <w:tcPr>
            <w:tcW w:w="780" w:type="dxa"/>
            <w:vAlign w:val="bottom"/>
            <w:shd w:val="clear" w:color="auto" w:fill="B8B8B8"/>
          </w:tcPr>
          <w:p>
            <w:pPr>
              <w:spacing w:after="0"/>
              <w:rPr>
                <w:sz w:val="12"/>
                <w:szCs w:val="12"/>
                <w:color w:val="auto"/>
              </w:rPr>
            </w:pPr>
          </w:p>
        </w:tc>
        <w:tc>
          <w:tcPr>
            <w:tcW w:w="1080" w:type="dxa"/>
            <w:vAlign w:val="bottom"/>
            <w:shd w:val="clear" w:color="auto" w:fill="B8B8B8"/>
          </w:tcPr>
          <w:p>
            <w:pPr>
              <w:spacing w:after="0"/>
              <w:rPr>
                <w:sz w:val="12"/>
                <w:szCs w:val="12"/>
                <w:color w:val="auto"/>
              </w:rPr>
            </w:pPr>
          </w:p>
        </w:tc>
        <w:tc>
          <w:tcPr>
            <w:tcW w:w="880" w:type="dxa"/>
            <w:vAlign w:val="bottom"/>
            <w:shd w:val="clear" w:color="auto" w:fill="B8B8B8"/>
          </w:tcPr>
          <w:p>
            <w:pPr>
              <w:spacing w:after="0"/>
              <w:rPr>
                <w:sz w:val="12"/>
                <w:szCs w:val="12"/>
                <w:color w:val="auto"/>
              </w:rPr>
            </w:pPr>
          </w:p>
        </w:tc>
        <w:tc>
          <w:tcPr>
            <w:tcW w:w="1020" w:type="dxa"/>
            <w:vAlign w:val="bottom"/>
            <w:shd w:val="clear" w:color="auto" w:fill="B8B8B8"/>
          </w:tcPr>
          <w:p>
            <w:pPr>
              <w:spacing w:after="0"/>
              <w:rPr>
                <w:sz w:val="12"/>
                <w:szCs w:val="12"/>
                <w:color w:val="auto"/>
              </w:rPr>
            </w:pPr>
          </w:p>
        </w:tc>
        <w:tc>
          <w:tcPr>
            <w:tcW w:w="1020" w:type="dxa"/>
            <w:vAlign w:val="bottom"/>
            <w:shd w:val="clear" w:color="auto" w:fill="B8B8B8"/>
          </w:tcPr>
          <w:p>
            <w:pPr>
              <w:spacing w:after="0"/>
              <w:rPr>
                <w:sz w:val="12"/>
                <w:szCs w:val="12"/>
                <w:color w:val="auto"/>
              </w:rPr>
            </w:pPr>
          </w:p>
        </w:tc>
        <w:tc>
          <w:tcPr>
            <w:tcW w:w="760" w:type="dxa"/>
            <w:vAlign w:val="bottom"/>
            <w:shd w:val="clear" w:color="auto" w:fill="B8B8B8"/>
          </w:tcPr>
          <w:p>
            <w:pPr>
              <w:spacing w:after="0"/>
              <w:rPr>
                <w:sz w:val="12"/>
                <w:szCs w:val="12"/>
                <w:color w:val="auto"/>
              </w:rPr>
            </w:pPr>
          </w:p>
        </w:tc>
        <w:tc>
          <w:tcPr>
            <w:tcW w:w="980" w:type="dxa"/>
            <w:vAlign w:val="bottom"/>
            <w:shd w:val="clear" w:color="auto" w:fill="B8B8B8"/>
          </w:tcPr>
          <w:p>
            <w:pPr>
              <w:spacing w:after="0"/>
              <w:rPr>
                <w:sz w:val="12"/>
                <w:szCs w:val="12"/>
                <w:color w:val="auto"/>
              </w:rPr>
            </w:pPr>
          </w:p>
        </w:tc>
        <w:tc>
          <w:tcPr>
            <w:tcW w:w="980" w:type="dxa"/>
            <w:vAlign w:val="bottom"/>
            <w:shd w:val="clear" w:color="auto" w:fill="B8B8B8"/>
          </w:tcPr>
          <w:p>
            <w:pPr>
              <w:jc w:val="center"/>
              <w:spacing w:after="0" w:line="146" w:lineRule="exact"/>
              <w:rPr>
                <w:sz w:val="20"/>
                <w:szCs w:val="20"/>
                <w:color w:val="auto"/>
              </w:rPr>
            </w:pPr>
            <w:r>
              <w:rPr>
                <w:rFonts w:ascii="Arial" w:cs="Arial" w:eastAsia="Arial" w:hAnsi="Arial"/>
                <w:sz w:val="13"/>
                <w:szCs w:val="13"/>
                <w:b w:val="1"/>
                <w:bCs w:val="1"/>
                <w:color w:val="FFFFFF"/>
              </w:rPr>
              <w:t>Shares of</w:t>
            </w:r>
          </w:p>
        </w:tc>
        <w:tc>
          <w:tcPr>
            <w:tcW w:w="1020" w:type="dxa"/>
            <w:vAlign w:val="bottom"/>
            <w:shd w:val="clear" w:color="auto" w:fill="B8B8B8"/>
          </w:tcPr>
          <w:p>
            <w:pPr>
              <w:jc w:val="center"/>
              <w:spacing w:after="0" w:line="146" w:lineRule="exact"/>
              <w:rPr>
                <w:sz w:val="20"/>
                <w:szCs w:val="20"/>
                <w:color w:val="auto"/>
              </w:rPr>
            </w:pPr>
            <w:r>
              <w:rPr>
                <w:rFonts w:ascii="Arial" w:cs="Arial" w:eastAsia="Arial" w:hAnsi="Arial"/>
                <w:sz w:val="13"/>
                <w:szCs w:val="13"/>
                <w:b w:val="1"/>
                <w:bCs w:val="1"/>
                <w:color w:val="FFFFFF"/>
              </w:rPr>
              <w:t>Value of Stock</w:t>
            </w:r>
          </w:p>
        </w:tc>
        <w:tc>
          <w:tcPr>
            <w:tcW w:w="0" w:type="dxa"/>
            <w:vAlign w:val="bottom"/>
          </w:tcPr>
          <w:p>
            <w:pPr>
              <w:spacing w:after="0"/>
              <w:rPr>
                <w:sz w:val="1"/>
                <w:szCs w:val="1"/>
                <w:color w:val="auto"/>
              </w:rPr>
            </w:pPr>
          </w:p>
        </w:tc>
      </w:tr>
      <w:tr>
        <w:trPr>
          <w:trHeight w:val="141"/>
        </w:trPr>
        <w:tc>
          <w:tcPr>
            <w:tcW w:w="1920" w:type="dxa"/>
            <w:vAlign w:val="bottom"/>
            <w:shd w:val="clear" w:color="auto" w:fill="B8B8B8"/>
          </w:tcPr>
          <w:p>
            <w:pPr>
              <w:spacing w:after="0"/>
              <w:rPr>
                <w:sz w:val="12"/>
                <w:szCs w:val="12"/>
                <w:color w:val="auto"/>
              </w:rPr>
            </w:pPr>
          </w:p>
        </w:tc>
        <w:tc>
          <w:tcPr>
            <w:tcW w:w="780" w:type="dxa"/>
            <w:vAlign w:val="bottom"/>
            <w:shd w:val="clear" w:color="auto" w:fill="B8B8B8"/>
          </w:tcPr>
          <w:p>
            <w:pPr>
              <w:jc w:val="center"/>
              <w:spacing w:after="0" w:line="141" w:lineRule="exact"/>
              <w:rPr>
                <w:sz w:val="20"/>
                <w:szCs w:val="20"/>
                <w:color w:val="auto"/>
              </w:rPr>
            </w:pPr>
            <w:r>
              <w:rPr>
                <w:rFonts w:ascii="Arial" w:cs="Arial" w:eastAsia="Arial" w:hAnsi="Arial"/>
                <w:sz w:val="13"/>
                <w:szCs w:val="13"/>
                <w:b w:val="1"/>
                <w:bCs w:val="1"/>
                <w:color w:val="FFFFFF"/>
              </w:rPr>
              <w:t>Approval</w:t>
            </w:r>
          </w:p>
        </w:tc>
        <w:tc>
          <w:tcPr>
            <w:tcW w:w="780" w:type="dxa"/>
            <w:vAlign w:val="bottom"/>
            <w:shd w:val="clear" w:color="auto" w:fill="B8B8B8"/>
          </w:tcPr>
          <w:p>
            <w:pPr>
              <w:jc w:val="center"/>
              <w:spacing w:after="0" w:line="141" w:lineRule="exact"/>
              <w:rPr>
                <w:sz w:val="20"/>
                <w:szCs w:val="20"/>
                <w:color w:val="auto"/>
              </w:rPr>
            </w:pPr>
            <w:r>
              <w:rPr>
                <w:rFonts w:ascii="Arial" w:cs="Arial" w:eastAsia="Arial" w:hAnsi="Arial"/>
                <w:sz w:val="13"/>
                <w:szCs w:val="13"/>
                <w:b w:val="1"/>
                <w:bCs w:val="1"/>
                <w:color w:val="FFFFFF"/>
                <w:w w:val="97"/>
              </w:rPr>
              <w:t>Grant</w:t>
            </w:r>
          </w:p>
        </w:tc>
        <w:tc>
          <w:tcPr>
            <w:tcW w:w="1080" w:type="dxa"/>
            <w:vAlign w:val="bottom"/>
            <w:shd w:val="clear" w:color="auto" w:fill="B8B8B8"/>
          </w:tcPr>
          <w:p>
            <w:pPr>
              <w:spacing w:after="0"/>
              <w:rPr>
                <w:sz w:val="12"/>
                <w:szCs w:val="12"/>
                <w:color w:val="auto"/>
              </w:rPr>
            </w:pPr>
          </w:p>
        </w:tc>
        <w:tc>
          <w:tcPr>
            <w:tcW w:w="880" w:type="dxa"/>
            <w:vAlign w:val="bottom"/>
            <w:shd w:val="clear" w:color="auto" w:fill="B8B8B8"/>
          </w:tcPr>
          <w:p>
            <w:pPr>
              <w:jc w:val="center"/>
              <w:spacing w:after="0" w:line="141" w:lineRule="exact"/>
              <w:rPr>
                <w:sz w:val="20"/>
                <w:szCs w:val="20"/>
                <w:color w:val="auto"/>
              </w:rPr>
            </w:pPr>
            <w:r>
              <w:rPr>
                <w:rFonts w:ascii="Arial" w:cs="Arial" w:eastAsia="Arial" w:hAnsi="Arial"/>
                <w:sz w:val="13"/>
                <w:szCs w:val="13"/>
                <w:b w:val="1"/>
                <w:bCs w:val="1"/>
                <w:color w:val="FFFFFF"/>
              </w:rPr>
              <w:t>Target</w:t>
            </w:r>
          </w:p>
        </w:tc>
        <w:tc>
          <w:tcPr>
            <w:tcW w:w="1020" w:type="dxa"/>
            <w:vAlign w:val="bottom"/>
            <w:shd w:val="clear" w:color="auto" w:fill="B8B8B8"/>
          </w:tcPr>
          <w:p>
            <w:pPr>
              <w:spacing w:after="0"/>
              <w:rPr>
                <w:sz w:val="12"/>
                <w:szCs w:val="12"/>
                <w:color w:val="auto"/>
              </w:rPr>
            </w:pPr>
          </w:p>
        </w:tc>
        <w:tc>
          <w:tcPr>
            <w:tcW w:w="1020" w:type="dxa"/>
            <w:vAlign w:val="bottom"/>
            <w:shd w:val="clear" w:color="auto" w:fill="B8B8B8"/>
          </w:tcPr>
          <w:p>
            <w:pPr>
              <w:spacing w:after="0"/>
              <w:rPr>
                <w:sz w:val="12"/>
                <w:szCs w:val="12"/>
                <w:color w:val="auto"/>
              </w:rPr>
            </w:pPr>
          </w:p>
        </w:tc>
        <w:tc>
          <w:tcPr>
            <w:tcW w:w="760" w:type="dxa"/>
            <w:vAlign w:val="bottom"/>
            <w:shd w:val="clear" w:color="auto" w:fill="B8B8B8"/>
          </w:tcPr>
          <w:p>
            <w:pPr>
              <w:jc w:val="center"/>
              <w:spacing w:after="0" w:line="141" w:lineRule="exact"/>
              <w:rPr>
                <w:sz w:val="20"/>
                <w:szCs w:val="20"/>
                <w:color w:val="auto"/>
              </w:rPr>
            </w:pPr>
            <w:r>
              <w:rPr>
                <w:rFonts w:ascii="Arial" w:cs="Arial" w:eastAsia="Arial" w:hAnsi="Arial"/>
                <w:sz w:val="13"/>
                <w:szCs w:val="13"/>
                <w:b w:val="1"/>
                <w:bCs w:val="1"/>
                <w:color w:val="FFFFFF"/>
              </w:rPr>
              <w:t>Target</w:t>
            </w:r>
          </w:p>
        </w:tc>
        <w:tc>
          <w:tcPr>
            <w:tcW w:w="980" w:type="dxa"/>
            <w:vAlign w:val="bottom"/>
            <w:shd w:val="clear" w:color="auto" w:fill="B8B8B8"/>
          </w:tcPr>
          <w:p>
            <w:pPr>
              <w:spacing w:after="0"/>
              <w:rPr>
                <w:sz w:val="12"/>
                <w:szCs w:val="12"/>
                <w:color w:val="auto"/>
              </w:rPr>
            </w:pPr>
          </w:p>
        </w:tc>
        <w:tc>
          <w:tcPr>
            <w:tcW w:w="980" w:type="dxa"/>
            <w:vAlign w:val="bottom"/>
            <w:shd w:val="clear" w:color="auto" w:fill="B8B8B8"/>
          </w:tcPr>
          <w:p>
            <w:pPr>
              <w:jc w:val="center"/>
              <w:spacing w:after="0" w:line="141" w:lineRule="exact"/>
              <w:rPr>
                <w:sz w:val="20"/>
                <w:szCs w:val="20"/>
                <w:color w:val="auto"/>
              </w:rPr>
            </w:pPr>
            <w:r>
              <w:rPr>
                <w:rFonts w:ascii="Arial" w:cs="Arial" w:eastAsia="Arial" w:hAnsi="Arial"/>
                <w:sz w:val="13"/>
                <w:szCs w:val="13"/>
                <w:b w:val="1"/>
                <w:bCs w:val="1"/>
                <w:color w:val="FFFFFF"/>
              </w:rPr>
              <w:t>Stock or Units</w:t>
            </w:r>
          </w:p>
        </w:tc>
        <w:tc>
          <w:tcPr>
            <w:tcW w:w="1020" w:type="dxa"/>
            <w:vAlign w:val="bottom"/>
            <w:shd w:val="clear" w:color="auto" w:fill="B8B8B8"/>
          </w:tcPr>
          <w:p>
            <w:pPr>
              <w:jc w:val="center"/>
              <w:spacing w:after="0" w:line="141" w:lineRule="exact"/>
              <w:rPr>
                <w:sz w:val="20"/>
                <w:szCs w:val="20"/>
                <w:color w:val="auto"/>
              </w:rPr>
            </w:pPr>
            <w:r>
              <w:rPr>
                <w:rFonts w:ascii="Arial" w:cs="Arial" w:eastAsia="Arial" w:hAnsi="Arial"/>
                <w:sz w:val="13"/>
                <w:szCs w:val="13"/>
                <w:b w:val="1"/>
                <w:bCs w:val="1"/>
                <w:color w:val="FFFFFF"/>
              </w:rPr>
              <w:t>and Option</w:t>
            </w:r>
          </w:p>
        </w:tc>
        <w:tc>
          <w:tcPr>
            <w:tcW w:w="0" w:type="dxa"/>
            <w:vAlign w:val="bottom"/>
          </w:tcPr>
          <w:p>
            <w:pPr>
              <w:spacing w:after="0"/>
              <w:rPr>
                <w:sz w:val="1"/>
                <w:szCs w:val="1"/>
                <w:color w:val="auto"/>
              </w:rPr>
            </w:pPr>
          </w:p>
        </w:tc>
      </w:tr>
      <w:tr>
        <w:trPr>
          <w:trHeight w:val="194"/>
        </w:trPr>
        <w:tc>
          <w:tcPr>
            <w:tcW w:w="1920" w:type="dxa"/>
            <w:vAlign w:val="bottom"/>
            <w:tcBorders>
              <w:bottom w:val="single" w:sz="8" w:color="CC092F"/>
            </w:tcBorders>
            <w:shd w:val="clear" w:color="auto" w:fill="B8B8B8"/>
          </w:tcPr>
          <w:p>
            <w:pPr>
              <w:ind w:left="20"/>
              <w:spacing w:after="0"/>
              <w:rPr>
                <w:sz w:val="20"/>
                <w:szCs w:val="20"/>
                <w:color w:val="auto"/>
              </w:rPr>
            </w:pPr>
            <w:r>
              <w:rPr>
                <w:rFonts w:ascii="Arial" w:cs="Arial" w:eastAsia="Arial" w:hAnsi="Arial"/>
                <w:sz w:val="13"/>
                <w:szCs w:val="13"/>
                <w:b w:val="1"/>
                <w:bCs w:val="1"/>
                <w:color w:val="FFFFFF"/>
              </w:rPr>
              <w:t>Name</w:t>
            </w:r>
          </w:p>
        </w:tc>
        <w:tc>
          <w:tcPr>
            <w:tcW w:w="780" w:type="dxa"/>
            <w:vAlign w:val="bottom"/>
            <w:tcBorders>
              <w:bottom w:val="single" w:sz="8" w:color="CC092F"/>
            </w:tcBorders>
            <w:shd w:val="clear" w:color="auto" w:fill="B8B8B8"/>
          </w:tcPr>
          <w:p>
            <w:pPr>
              <w:jc w:val="center"/>
              <w:spacing w:after="0" w:line="194" w:lineRule="exact"/>
              <w:rPr>
                <w:sz w:val="20"/>
                <w:szCs w:val="20"/>
                <w:color w:val="auto"/>
              </w:rPr>
            </w:pPr>
            <w:r>
              <w:rPr>
                <w:rFonts w:ascii="Arial" w:cs="Arial" w:eastAsia="Arial" w:hAnsi="Arial"/>
                <w:sz w:val="13"/>
                <w:szCs w:val="13"/>
                <w:b w:val="1"/>
                <w:bCs w:val="1"/>
                <w:color w:val="FFFFFF"/>
                <w:w w:val="90"/>
              </w:rPr>
              <w:t>Date</w:t>
            </w:r>
            <w:r>
              <w:rPr>
                <w:rFonts w:ascii="Arial" w:cs="Arial" w:eastAsia="Arial" w:hAnsi="Arial"/>
                <w:sz w:val="17"/>
                <w:szCs w:val="17"/>
                <w:b w:val="1"/>
                <w:bCs w:val="1"/>
                <w:color w:val="FFFFFF"/>
                <w:w w:val="90"/>
                <w:vertAlign w:val="superscript"/>
              </w:rPr>
              <w:t>(1)</w:t>
            </w:r>
          </w:p>
        </w:tc>
        <w:tc>
          <w:tcPr>
            <w:tcW w:w="780" w:type="dxa"/>
            <w:vAlign w:val="bottom"/>
            <w:tcBorders>
              <w:bottom w:val="single" w:sz="8" w:color="CC092F"/>
            </w:tcBorders>
            <w:shd w:val="clear" w:color="auto" w:fill="B8B8B8"/>
          </w:tcPr>
          <w:p>
            <w:pPr>
              <w:jc w:val="center"/>
              <w:spacing w:after="0" w:line="194" w:lineRule="exact"/>
              <w:rPr>
                <w:sz w:val="20"/>
                <w:szCs w:val="20"/>
                <w:color w:val="auto"/>
              </w:rPr>
            </w:pPr>
            <w:r>
              <w:rPr>
                <w:rFonts w:ascii="Arial" w:cs="Arial" w:eastAsia="Arial" w:hAnsi="Arial"/>
                <w:sz w:val="13"/>
                <w:szCs w:val="13"/>
                <w:b w:val="1"/>
                <w:bCs w:val="1"/>
                <w:color w:val="FFFFFF"/>
                <w:w w:val="90"/>
              </w:rPr>
              <w:t>Date</w:t>
            </w:r>
            <w:r>
              <w:rPr>
                <w:rFonts w:ascii="Arial" w:cs="Arial" w:eastAsia="Arial" w:hAnsi="Arial"/>
                <w:sz w:val="17"/>
                <w:szCs w:val="17"/>
                <w:b w:val="1"/>
                <w:bCs w:val="1"/>
                <w:color w:val="FFFFFF"/>
                <w:w w:val="90"/>
                <w:vertAlign w:val="superscript"/>
              </w:rPr>
              <w:t>(1)</w:t>
            </w:r>
          </w:p>
        </w:tc>
        <w:tc>
          <w:tcPr>
            <w:tcW w:w="1080" w:type="dxa"/>
            <w:vAlign w:val="bottom"/>
            <w:tcBorders>
              <w:bottom w:val="single" w:sz="8" w:color="CC092F"/>
            </w:tcBorders>
            <w:shd w:val="clear" w:color="auto" w:fill="B8B8B8"/>
          </w:tcPr>
          <w:p>
            <w:pPr>
              <w:ind w:left="100"/>
              <w:spacing w:after="0"/>
              <w:rPr>
                <w:sz w:val="20"/>
                <w:szCs w:val="20"/>
                <w:color w:val="auto"/>
              </w:rPr>
            </w:pPr>
            <w:r>
              <w:rPr>
                <w:rFonts w:ascii="Arial" w:cs="Arial" w:eastAsia="Arial" w:hAnsi="Arial"/>
                <w:sz w:val="13"/>
                <w:szCs w:val="13"/>
                <w:b w:val="1"/>
                <w:bCs w:val="1"/>
                <w:color w:val="FFFFFF"/>
              </w:rPr>
              <w:t>Threshold ($)</w:t>
            </w:r>
          </w:p>
        </w:tc>
        <w:tc>
          <w:tcPr>
            <w:tcW w:w="88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3"/>
                <w:szCs w:val="13"/>
                <w:b w:val="1"/>
                <w:bCs w:val="1"/>
                <w:color w:val="FFFFFF"/>
              </w:rPr>
              <w:t>($)</w:t>
            </w:r>
          </w:p>
        </w:tc>
        <w:tc>
          <w:tcPr>
            <w:tcW w:w="1020" w:type="dxa"/>
            <w:vAlign w:val="bottom"/>
            <w:tcBorders>
              <w:bottom w:val="single" w:sz="8" w:color="CC092F"/>
            </w:tcBorders>
            <w:shd w:val="clear" w:color="auto" w:fill="B8B8B8"/>
          </w:tcPr>
          <w:p>
            <w:pPr>
              <w:ind w:left="140"/>
              <w:spacing w:after="0"/>
              <w:rPr>
                <w:sz w:val="20"/>
                <w:szCs w:val="20"/>
                <w:color w:val="auto"/>
              </w:rPr>
            </w:pPr>
            <w:r>
              <w:rPr>
                <w:rFonts w:ascii="Arial" w:cs="Arial" w:eastAsia="Arial" w:hAnsi="Arial"/>
                <w:sz w:val="13"/>
                <w:szCs w:val="13"/>
                <w:b w:val="1"/>
                <w:bCs w:val="1"/>
                <w:color w:val="FFFFFF"/>
              </w:rPr>
              <w:t>Maximum ($)</w:t>
            </w:r>
          </w:p>
        </w:tc>
        <w:tc>
          <w:tcPr>
            <w:tcW w:w="1020" w:type="dxa"/>
            <w:vAlign w:val="bottom"/>
            <w:tcBorders>
              <w:bottom w:val="single" w:sz="8" w:color="CC092F"/>
            </w:tcBorders>
            <w:shd w:val="clear" w:color="auto" w:fill="B8B8B8"/>
          </w:tcPr>
          <w:p>
            <w:pPr>
              <w:ind w:left="60"/>
              <w:spacing w:after="0"/>
              <w:rPr>
                <w:sz w:val="20"/>
                <w:szCs w:val="20"/>
                <w:color w:val="auto"/>
              </w:rPr>
            </w:pPr>
            <w:r>
              <w:rPr>
                <w:rFonts w:ascii="Arial" w:cs="Arial" w:eastAsia="Arial" w:hAnsi="Arial"/>
                <w:sz w:val="13"/>
                <w:szCs w:val="13"/>
                <w:b w:val="1"/>
                <w:bCs w:val="1"/>
                <w:color w:val="FFFFFF"/>
              </w:rPr>
              <w:t>Threshold (#)</w:t>
            </w:r>
          </w:p>
        </w:tc>
        <w:tc>
          <w:tcPr>
            <w:tcW w:w="76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3"/>
                <w:szCs w:val="13"/>
                <w:b w:val="1"/>
                <w:bCs w:val="1"/>
                <w:color w:val="FFFFFF"/>
              </w:rPr>
              <w:t>(#)</w:t>
            </w:r>
          </w:p>
        </w:tc>
        <w:tc>
          <w:tcPr>
            <w:tcW w:w="980" w:type="dxa"/>
            <w:vAlign w:val="bottom"/>
            <w:tcBorders>
              <w:bottom w:val="single" w:sz="8" w:color="CC092F"/>
            </w:tcBorders>
            <w:shd w:val="clear" w:color="auto" w:fill="B8B8B8"/>
          </w:tcPr>
          <w:p>
            <w:pPr>
              <w:ind w:left="120"/>
              <w:spacing w:after="0"/>
              <w:rPr>
                <w:sz w:val="20"/>
                <w:szCs w:val="20"/>
                <w:color w:val="auto"/>
              </w:rPr>
            </w:pPr>
            <w:r>
              <w:rPr>
                <w:rFonts w:ascii="Arial" w:cs="Arial" w:eastAsia="Arial" w:hAnsi="Arial"/>
                <w:sz w:val="13"/>
                <w:szCs w:val="13"/>
                <w:b w:val="1"/>
                <w:bCs w:val="1"/>
                <w:color w:val="FFFFFF"/>
              </w:rPr>
              <w:t>Maximum (#)</w:t>
            </w:r>
          </w:p>
        </w:tc>
        <w:tc>
          <w:tcPr>
            <w:tcW w:w="98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3"/>
                <w:szCs w:val="13"/>
                <w:b w:val="1"/>
                <w:bCs w:val="1"/>
                <w:color w:val="FFFFFF"/>
              </w:rPr>
              <w:t>(#)</w:t>
            </w:r>
          </w:p>
        </w:tc>
        <w:tc>
          <w:tcPr>
            <w:tcW w:w="1020" w:type="dxa"/>
            <w:vAlign w:val="bottom"/>
            <w:tcBorders>
              <w:bottom w:val="single" w:sz="8" w:color="CC092F"/>
            </w:tcBorders>
            <w:shd w:val="clear" w:color="auto" w:fill="B8B8B8"/>
          </w:tcPr>
          <w:p>
            <w:pPr>
              <w:jc w:val="center"/>
              <w:spacing w:after="0" w:line="194" w:lineRule="exact"/>
              <w:rPr>
                <w:sz w:val="20"/>
                <w:szCs w:val="20"/>
                <w:color w:val="auto"/>
              </w:rPr>
            </w:pPr>
            <w:r>
              <w:rPr>
                <w:rFonts w:ascii="Arial" w:cs="Arial" w:eastAsia="Arial" w:hAnsi="Arial"/>
                <w:sz w:val="13"/>
                <w:szCs w:val="13"/>
                <w:b w:val="1"/>
                <w:bCs w:val="1"/>
                <w:color w:val="FFFFFF"/>
                <w:w w:val="97"/>
              </w:rPr>
              <w:t>Awards ($)</w:t>
            </w:r>
            <w:r>
              <w:rPr>
                <w:rFonts w:ascii="Arial" w:cs="Arial" w:eastAsia="Arial" w:hAnsi="Arial"/>
                <w:sz w:val="17"/>
                <w:szCs w:val="17"/>
                <w:b w:val="1"/>
                <w:bCs w:val="1"/>
                <w:color w:val="FFFFFF"/>
                <w:w w:val="97"/>
                <w:vertAlign w:val="superscript"/>
              </w:rPr>
              <w:t>(3)</w:t>
            </w:r>
          </w:p>
        </w:tc>
        <w:tc>
          <w:tcPr>
            <w:tcW w:w="0" w:type="dxa"/>
            <w:vAlign w:val="bottom"/>
          </w:tcPr>
          <w:p>
            <w:pPr>
              <w:spacing w:after="0"/>
              <w:rPr>
                <w:sz w:val="1"/>
                <w:szCs w:val="1"/>
                <w:color w:val="auto"/>
              </w:rPr>
            </w:pPr>
          </w:p>
        </w:tc>
      </w:tr>
      <w:tr>
        <w:trPr>
          <w:trHeight w:val="179"/>
        </w:trPr>
        <w:tc>
          <w:tcPr>
            <w:tcW w:w="1920" w:type="dxa"/>
            <w:vAlign w:val="bottom"/>
          </w:tcPr>
          <w:p>
            <w:pPr>
              <w:ind w:left="20"/>
              <w:spacing w:after="0"/>
              <w:rPr>
                <w:sz w:val="20"/>
                <w:szCs w:val="20"/>
                <w:color w:val="auto"/>
              </w:rPr>
            </w:pPr>
            <w:r>
              <w:rPr>
                <w:rFonts w:ascii="Arial" w:cs="Arial" w:eastAsia="Arial" w:hAnsi="Arial"/>
                <w:sz w:val="13"/>
                <w:szCs w:val="13"/>
                <w:color w:val="242424"/>
              </w:rPr>
              <w:t>Hock E. Tan</w:t>
            </w: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242424"/>
              </w:rPr>
              <w:t>300,000</w:t>
            </w:r>
          </w:p>
        </w:tc>
        <w:tc>
          <w:tcPr>
            <w:tcW w:w="880" w:type="dxa"/>
            <w:vAlign w:val="bottom"/>
          </w:tcPr>
          <w:p>
            <w:pPr>
              <w:jc w:val="center"/>
              <w:spacing w:after="0"/>
              <w:rPr>
                <w:sz w:val="20"/>
                <w:szCs w:val="20"/>
                <w:color w:val="auto"/>
              </w:rPr>
            </w:pPr>
            <w:r>
              <w:rPr>
                <w:rFonts w:ascii="Arial" w:cs="Arial" w:eastAsia="Arial" w:hAnsi="Arial"/>
                <w:sz w:val="13"/>
                <w:szCs w:val="13"/>
                <w:color w:val="242424"/>
              </w:rPr>
              <w:t>2,400,000</w:t>
            </w:r>
          </w:p>
        </w:tc>
        <w:tc>
          <w:tcPr>
            <w:tcW w:w="1020" w:type="dxa"/>
            <w:vAlign w:val="bottom"/>
          </w:tcPr>
          <w:p>
            <w:pPr>
              <w:jc w:val="center"/>
              <w:ind w:left="14"/>
              <w:spacing w:after="0"/>
              <w:rPr>
                <w:sz w:val="20"/>
                <w:szCs w:val="20"/>
                <w:color w:val="auto"/>
              </w:rPr>
            </w:pPr>
            <w:r>
              <w:rPr>
                <w:rFonts w:ascii="Arial" w:cs="Arial" w:eastAsia="Arial" w:hAnsi="Arial"/>
                <w:sz w:val="13"/>
                <w:szCs w:val="13"/>
                <w:color w:val="242424"/>
              </w:rPr>
              <w:t>5,400,000</w:t>
            </w: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242424"/>
                <w:w w:val="98"/>
              </w:rPr>
              <w:t>12/09/20</w:t>
            </w:r>
          </w:p>
        </w:tc>
        <w:tc>
          <w:tcPr>
            <w:tcW w:w="780" w:type="dxa"/>
            <w:vAlign w:val="bottom"/>
          </w:tcPr>
          <w:p>
            <w:pPr>
              <w:jc w:val="center"/>
              <w:spacing w:after="0"/>
              <w:rPr>
                <w:sz w:val="20"/>
                <w:szCs w:val="20"/>
                <w:color w:val="auto"/>
              </w:rPr>
            </w:pPr>
            <w:r>
              <w:rPr>
                <w:rFonts w:ascii="Arial" w:cs="Arial" w:eastAsia="Arial" w:hAnsi="Arial"/>
                <w:sz w:val="13"/>
                <w:szCs w:val="13"/>
                <w:color w:val="242424"/>
              </w:rPr>
              <w:t>04/05/21</w:t>
            </w:r>
          </w:p>
        </w:tc>
        <w:tc>
          <w:tcPr>
            <w:tcW w:w="1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242424"/>
                <w:w w:val="94"/>
              </w:rPr>
              <w:t xml:space="preserve">14,950 </w:t>
            </w:r>
            <w:r>
              <w:rPr>
                <w:rFonts w:ascii="Arial" w:cs="Arial" w:eastAsia="Arial" w:hAnsi="Arial"/>
                <w:sz w:val="17"/>
                <w:szCs w:val="17"/>
                <w:color w:val="000000"/>
                <w:w w:val="94"/>
                <w:vertAlign w:val="superscript"/>
              </w:rPr>
              <w:t>(4)</w:t>
            </w:r>
          </w:p>
        </w:tc>
        <w:tc>
          <w:tcPr>
            <w:tcW w:w="760" w:type="dxa"/>
            <w:vAlign w:val="bottom"/>
          </w:tcPr>
          <w:p>
            <w:pPr>
              <w:jc w:val="center"/>
              <w:spacing w:after="0"/>
              <w:rPr>
                <w:sz w:val="20"/>
                <w:szCs w:val="20"/>
                <w:color w:val="auto"/>
              </w:rPr>
            </w:pPr>
            <w:r>
              <w:rPr>
                <w:rFonts w:ascii="Arial" w:cs="Arial" w:eastAsia="Arial" w:hAnsi="Arial"/>
                <w:sz w:val="13"/>
                <w:szCs w:val="13"/>
                <w:color w:val="242424"/>
                <w:w w:val="96"/>
              </w:rPr>
              <w:t>59,800</w:t>
            </w:r>
            <w:r>
              <w:rPr>
                <w:rFonts w:ascii="Arial" w:cs="Arial" w:eastAsia="Arial" w:hAnsi="Arial"/>
                <w:sz w:val="17"/>
                <w:szCs w:val="17"/>
                <w:color w:val="000000"/>
                <w:w w:val="96"/>
                <w:vertAlign w:val="superscript"/>
              </w:rPr>
              <w:t>(4)</w:t>
            </w:r>
          </w:p>
        </w:tc>
        <w:tc>
          <w:tcPr>
            <w:tcW w:w="980" w:type="dxa"/>
            <w:vAlign w:val="bottom"/>
          </w:tcPr>
          <w:p>
            <w:pPr>
              <w:jc w:val="center"/>
              <w:ind w:left="14"/>
              <w:spacing w:after="0"/>
              <w:rPr>
                <w:sz w:val="20"/>
                <w:szCs w:val="20"/>
                <w:color w:val="auto"/>
              </w:rPr>
            </w:pPr>
            <w:r>
              <w:rPr>
                <w:rFonts w:ascii="Arial" w:cs="Arial" w:eastAsia="Arial" w:hAnsi="Arial"/>
                <w:sz w:val="13"/>
                <w:szCs w:val="13"/>
                <w:color w:val="242424"/>
                <w:w w:val="95"/>
              </w:rPr>
              <w:t>179,400</w:t>
            </w:r>
            <w:r>
              <w:rPr>
                <w:rFonts w:ascii="Arial" w:cs="Arial" w:eastAsia="Arial" w:hAnsi="Arial"/>
                <w:sz w:val="17"/>
                <w:szCs w:val="17"/>
                <w:color w:val="000000"/>
                <w:w w:val="95"/>
                <w:vertAlign w:val="superscript"/>
              </w:rPr>
              <w:t>(4)</w:t>
            </w:r>
          </w:p>
        </w:tc>
        <w:tc>
          <w:tcPr>
            <w:tcW w:w="9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242424"/>
              </w:rPr>
              <w:t>54,056,808</w:t>
            </w:r>
          </w:p>
        </w:tc>
        <w:tc>
          <w:tcPr>
            <w:tcW w:w="0" w:type="dxa"/>
            <w:vAlign w:val="bottom"/>
          </w:tcPr>
          <w:p>
            <w:pPr>
              <w:spacing w:after="0"/>
              <w:rPr>
                <w:sz w:val="1"/>
                <w:szCs w:val="1"/>
                <w:color w:val="auto"/>
              </w:rPr>
            </w:pPr>
          </w:p>
        </w:tc>
      </w:tr>
      <w:tr>
        <w:trPr>
          <w:trHeight w:val="195"/>
        </w:trPr>
        <w:tc>
          <w:tcPr>
            <w:tcW w:w="1920" w:type="dxa"/>
            <w:vAlign w:val="bottom"/>
            <w:shd w:val="clear" w:color="auto" w:fill="EAEAEA"/>
          </w:tcPr>
          <w:p>
            <w:pPr>
              <w:ind w:left="20"/>
              <w:spacing w:after="0"/>
              <w:rPr>
                <w:sz w:val="20"/>
                <w:szCs w:val="20"/>
                <w:color w:val="auto"/>
              </w:rPr>
            </w:pPr>
            <w:r>
              <w:rPr>
                <w:rFonts w:ascii="Arial" w:cs="Arial" w:eastAsia="Arial" w:hAnsi="Arial"/>
                <w:sz w:val="13"/>
                <w:szCs w:val="13"/>
                <w:color w:val="242424"/>
              </w:rPr>
              <w:t>Kirsten M. Spears</w:t>
            </w:r>
          </w:p>
        </w:tc>
        <w:tc>
          <w:tcPr>
            <w:tcW w:w="780" w:type="dxa"/>
            <w:vAlign w:val="bottom"/>
            <w:shd w:val="clear" w:color="auto" w:fill="EAEAEA"/>
          </w:tcPr>
          <w:p>
            <w:pPr>
              <w:spacing w:after="0"/>
              <w:rPr>
                <w:sz w:val="16"/>
                <w:szCs w:val="16"/>
                <w:color w:val="auto"/>
              </w:rPr>
            </w:pPr>
          </w:p>
        </w:tc>
        <w:tc>
          <w:tcPr>
            <w:tcW w:w="780" w:type="dxa"/>
            <w:vAlign w:val="bottom"/>
            <w:shd w:val="clear" w:color="auto" w:fill="EAEAEA"/>
          </w:tcPr>
          <w:p>
            <w:pPr>
              <w:spacing w:after="0"/>
              <w:rPr>
                <w:sz w:val="16"/>
                <w:szCs w:val="16"/>
                <w:color w:val="auto"/>
              </w:rPr>
            </w:pPr>
          </w:p>
        </w:tc>
        <w:tc>
          <w:tcPr>
            <w:tcW w:w="1080" w:type="dxa"/>
            <w:vAlign w:val="bottom"/>
            <w:shd w:val="clear" w:color="auto" w:fill="EAEAEA"/>
          </w:tcPr>
          <w:p>
            <w:pPr>
              <w:jc w:val="center"/>
              <w:spacing w:after="0"/>
              <w:rPr>
                <w:sz w:val="20"/>
                <w:szCs w:val="20"/>
                <w:color w:val="auto"/>
              </w:rPr>
            </w:pPr>
            <w:r>
              <w:rPr>
                <w:rFonts w:ascii="Arial" w:cs="Arial" w:eastAsia="Arial" w:hAnsi="Arial"/>
                <w:sz w:val="13"/>
                <w:szCs w:val="13"/>
                <w:color w:val="242424"/>
              </w:rPr>
              <w:t>23,191</w:t>
            </w:r>
          </w:p>
        </w:tc>
        <w:tc>
          <w:tcPr>
            <w:tcW w:w="880" w:type="dxa"/>
            <w:vAlign w:val="bottom"/>
            <w:shd w:val="clear" w:color="auto" w:fill="EAEAEA"/>
          </w:tcPr>
          <w:p>
            <w:pPr>
              <w:jc w:val="center"/>
              <w:spacing w:after="0"/>
              <w:rPr>
                <w:sz w:val="20"/>
                <w:szCs w:val="20"/>
                <w:color w:val="auto"/>
              </w:rPr>
            </w:pPr>
            <w:r>
              <w:rPr>
                <w:rFonts w:ascii="Arial" w:cs="Arial" w:eastAsia="Arial" w:hAnsi="Arial"/>
                <w:sz w:val="13"/>
                <w:szCs w:val="13"/>
                <w:color w:val="242424"/>
              </w:rPr>
              <w:t>371,057</w:t>
            </w:r>
          </w:p>
        </w:tc>
        <w:tc>
          <w:tcPr>
            <w:tcW w:w="1020" w:type="dxa"/>
            <w:vAlign w:val="bottom"/>
            <w:shd w:val="clear" w:color="auto" w:fill="EAEAEA"/>
          </w:tcPr>
          <w:p>
            <w:pPr>
              <w:jc w:val="center"/>
              <w:spacing w:after="0"/>
              <w:rPr>
                <w:sz w:val="20"/>
                <w:szCs w:val="20"/>
                <w:color w:val="auto"/>
              </w:rPr>
            </w:pPr>
            <w:r>
              <w:rPr>
                <w:rFonts w:ascii="Arial" w:cs="Arial" w:eastAsia="Arial" w:hAnsi="Arial"/>
                <w:sz w:val="13"/>
                <w:szCs w:val="13"/>
                <w:color w:val="242424"/>
              </w:rPr>
              <w:t>751,390</w:t>
            </w:r>
          </w:p>
        </w:tc>
        <w:tc>
          <w:tcPr>
            <w:tcW w:w="1020" w:type="dxa"/>
            <w:vAlign w:val="bottom"/>
            <w:shd w:val="clear" w:color="auto" w:fill="EAEAEA"/>
          </w:tcPr>
          <w:p>
            <w:pPr>
              <w:spacing w:after="0"/>
              <w:rPr>
                <w:sz w:val="16"/>
                <w:szCs w:val="16"/>
                <w:color w:val="auto"/>
              </w:rPr>
            </w:pPr>
          </w:p>
        </w:tc>
        <w:tc>
          <w:tcPr>
            <w:tcW w:w="760" w:type="dxa"/>
            <w:vAlign w:val="bottom"/>
            <w:shd w:val="clear" w:color="auto" w:fill="EAEAEA"/>
          </w:tcPr>
          <w:p>
            <w:pPr>
              <w:spacing w:after="0"/>
              <w:rPr>
                <w:sz w:val="16"/>
                <w:szCs w:val="16"/>
                <w:color w:val="auto"/>
              </w:rPr>
            </w:pPr>
          </w:p>
        </w:tc>
        <w:tc>
          <w:tcPr>
            <w:tcW w:w="980" w:type="dxa"/>
            <w:vAlign w:val="bottom"/>
            <w:shd w:val="clear" w:color="auto" w:fill="EAEAEA"/>
          </w:tcPr>
          <w:p>
            <w:pPr>
              <w:spacing w:after="0"/>
              <w:rPr>
                <w:sz w:val="16"/>
                <w:szCs w:val="16"/>
                <w:color w:val="auto"/>
              </w:rPr>
            </w:pPr>
          </w:p>
        </w:tc>
        <w:tc>
          <w:tcPr>
            <w:tcW w:w="980" w:type="dxa"/>
            <w:vAlign w:val="bottom"/>
            <w:shd w:val="clear" w:color="auto" w:fill="EAEAEA"/>
          </w:tcPr>
          <w:p>
            <w:pPr>
              <w:spacing w:after="0"/>
              <w:rPr>
                <w:sz w:val="16"/>
                <w:szCs w:val="16"/>
                <w:color w:val="auto"/>
              </w:rPr>
            </w:pPr>
          </w:p>
        </w:tc>
        <w:tc>
          <w:tcPr>
            <w:tcW w:w="102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20" w:type="dxa"/>
            <w:vAlign w:val="bottom"/>
            <w:shd w:val="clear" w:color="auto" w:fill="EAEAEA"/>
          </w:tcPr>
          <w:p>
            <w:pPr>
              <w:spacing w:after="0"/>
              <w:rPr>
                <w:sz w:val="18"/>
                <w:szCs w:val="18"/>
                <w:color w:val="auto"/>
              </w:rPr>
            </w:pPr>
          </w:p>
        </w:tc>
        <w:tc>
          <w:tcPr>
            <w:tcW w:w="780" w:type="dxa"/>
            <w:vAlign w:val="bottom"/>
            <w:shd w:val="clear" w:color="auto" w:fill="EAEAEA"/>
          </w:tcPr>
          <w:p>
            <w:pPr>
              <w:jc w:val="center"/>
              <w:spacing w:after="0"/>
              <w:rPr>
                <w:sz w:val="20"/>
                <w:szCs w:val="20"/>
                <w:color w:val="auto"/>
              </w:rPr>
            </w:pPr>
            <w:r>
              <w:rPr>
                <w:rFonts w:ascii="Arial" w:cs="Arial" w:eastAsia="Arial" w:hAnsi="Arial"/>
                <w:sz w:val="13"/>
                <w:szCs w:val="13"/>
                <w:color w:val="242424"/>
                <w:w w:val="98"/>
              </w:rPr>
              <w:t>12/08/20</w:t>
            </w:r>
          </w:p>
        </w:tc>
        <w:tc>
          <w:tcPr>
            <w:tcW w:w="780" w:type="dxa"/>
            <w:vAlign w:val="bottom"/>
            <w:shd w:val="clear" w:color="auto" w:fill="EAEAEA"/>
          </w:tcPr>
          <w:p>
            <w:pPr>
              <w:jc w:val="center"/>
              <w:spacing w:after="0"/>
              <w:rPr>
                <w:sz w:val="20"/>
                <w:szCs w:val="20"/>
                <w:color w:val="auto"/>
              </w:rPr>
            </w:pPr>
            <w:r>
              <w:rPr>
                <w:rFonts w:ascii="Arial" w:cs="Arial" w:eastAsia="Arial" w:hAnsi="Arial"/>
                <w:sz w:val="13"/>
                <w:szCs w:val="13"/>
                <w:color w:val="242424"/>
              </w:rPr>
              <w:t>12/15/20</w:t>
            </w:r>
          </w:p>
        </w:tc>
        <w:tc>
          <w:tcPr>
            <w:tcW w:w="1080" w:type="dxa"/>
            <w:vAlign w:val="bottom"/>
            <w:shd w:val="clear" w:color="auto" w:fill="EAEAEA"/>
          </w:tcPr>
          <w:p>
            <w:pPr>
              <w:spacing w:after="0"/>
              <w:rPr>
                <w:sz w:val="18"/>
                <w:szCs w:val="18"/>
                <w:color w:val="auto"/>
              </w:rPr>
            </w:pPr>
          </w:p>
        </w:tc>
        <w:tc>
          <w:tcPr>
            <w:tcW w:w="880" w:type="dxa"/>
            <w:vAlign w:val="bottom"/>
            <w:shd w:val="clear" w:color="auto" w:fill="EAEAEA"/>
          </w:tcPr>
          <w:p>
            <w:pPr>
              <w:spacing w:after="0"/>
              <w:rPr>
                <w:sz w:val="18"/>
                <w:szCs w:val="18"/>
                <w:color w:val="auto"/>
              </w:rPr>
            </w:pPr>
          </w:p>
        </w:tc>
        <w:tc>
          <w:tcPr>
            <w:tcW w:w="1020" w:type="dxa"/>
            <w:vAlign w:val="bottom"/>
            <w:shd w:val="clear" w:color="auto" w:fill="EAEAEA"/>
          </w:tcPr>
          <w:p>
            <w:pPr>
              <w:spacing w:after="0"/>
              <w:rPr>
                <w:sz w:val="18"/>
                <w:szCs w:val="18"/>
                <w:color w:val="auto"/>
              </w:rPr>
            </w:pPr>
          </w:p>
        </w:tc>
        <w:tc>
          <w:tcPr>
            <w:tcW w:w="1020" w:type="dxa"/>
            <w:vAlign w:val="bottom"/>
            <w:shd w:val="clear" w:color="auto" w:fill="EAEAEA"/>
          </w:tcPr>
          <w:p>
            <w:pPr>
              <w:jc w:val="center"/>
              <w:spacing w:after="0"/>
              <w:rPr>
                <w:sz w:val="20"/>
                <w:szCs w:val="20"/>
                <w:color w:val="auto"/>
              </w:rPr>
            </w:pPr>
            <w:r>
              <w:rPr>
                <w:rFonts w:ascii="Arial" w:cs="Arial" w:eastAsia="Arial" w:hAnsi="Arial"/>
                <w:sz w:val="13"/>
                <w:szCs w:val="13"/>
                <w:color w:val="242424"/>
                <w:w w:val="90"/>
              </w:rPr>
              <w:t>1,625</w:t>
            </w:r>
            <w:r>
              <w:rPr>
                <w:rFonts w:ascii="Arial" w:cs="Arial" w:eastAsia="Arial" w:hAnsi="Arial"/>
                <w:sz w:val="17"/>
                <w:szCs w:val="17"/>
                <w:color w:val="000000"/>
                <w:w w:val="90"/>
                <w:vertAlign w:val="superscript"/>
              </w:rPr>
              <w:t>(5)</w:t>
            </w:r>
          </w:p>
        </w:tc>
        <w:tc>
          <w:tcPr>
            <w:tcW w:w="760" w:type="dxa"/>
            <w:vAlign w:val="bottom"/>
            <w:shd w:val="clear" w:color="auto" w:fill="EAEAEA"/>
          </w:tcPr>
          <w:p>
            <w:pPr>
              <w:jc w:val="center"/>
              <w:spacing w:after="0"/>
              <w:rPr>
                <w:sz w:val="20"/>
                <w:szCs w:val="20"/>
                <w:color w:val="auto"/>
              </w:rPr>
            </w:pPr>
            <w:r>
              <w:rPr>
                <w:rFonts w:ascii="Arial" w:cs="Arial" w:eastAsia="Arial" w:hAnsi="Arial"/>
                <w:sz w:val="13"/>
                <w:szCs w:val="13"/>
                <w:color w:val="242424"/>
                <w:w w:val="96"/>
              </w:rPr>
              <w:t>13,000</w:t>
            </w:r>
            <w:r>
              <w:rPr>
                <w:rFonts w:ascii="Arial" w:cs="Arial" w:eastAsia="Arial" w:hAnsi="Arial"/>
                <w:sz w:val="17"/>
                <w:szCs w:val="17"/>
                <w:color w:val="000000"/>
                <w:w w:val="96"/>
                <w:vertAlign w:val="superscript"/>
              </w:rPr>
              <w:t>(5)</w:t>
            </w:r>
          </w:p>
        </w:tc>
        <w:tc>
          <w:tcPr>
            <w:tcW w:w="980" w:type="dxa"/>
            <w:vAlign w:val="bottom"/>
            <w:shd w:val="clear" w:color="auto" w:fill="EAEAEA"/>
          </w:tcPr>
          <w:p>
            <w:pPr>
              <w:jc w:val="center"/>
              <w:spacing w:after="0"/>
              <w:rPr>
                <w:sz w:val="20"/>
                <w:szCs w:val="20"/>
                <w:color w:val="auto"/>
              </w:rPr>
            </w:pPr>
            <w:r>
              <w:rPr>
                <w:rFonts w:ascii="Arial" w:cs="Arial" w:eastAsia="Arial" w:hAnsi="Arial"/>
                <w:sz w:val="13"/>
                <w:szCs w:val="13"/>
                <w:color w:val="242424"/>
                <w:w w:val="96"/>
              </w:rPr>
              <w:t>26,000</w:t>
            </w:r>
            <w:r>
              <w:rPr>
                <w:rFonts w:ascii="Arial" w:cs="Arial" w:eastAsia="Arial" w:hAnsi="Arial"/>
                <w:sz w:val="17"/>
                <w:szCs w:val="17"/>
                <w:color w:val="000000"/>
                <w:w w:val="96"/>
                <w:vertAlign w:val="superscript"/>
              </w:rPr>
              <w:t>(5)</w:t>
            </w:r>
          </w:p>
        </w:tc>
        <w:tc>
          <w:tcPr>
            <w:tcW w:w="980" w:type="dxa"/>
            <w:vAlign w:val="bottom"/>
            <w:shd w:val="clear" w:color="auto" w:fill="EAEAEA"/>
          </w:tcPr>
          <w:p>
            <w:pPr>
              <w:spacing w:after="0"/>
              <w:rPr>
                <w:sz w:val="18"/>
                <w:szCs w:val="18"/>
                <w:color w:val="auto"/>
              </w:rPr>
            </w:pPr>
          </w:p>
        </w:tc>
        <w:tc>
          <w:tcPr>
            <w:tcW w:w="1020" w:type="dxa"/>
            <w:vAlign w:val="bottom"/>
            <w:shd w:val="clear" w:color="auto" w:fill="EAEAEA"/>
          </w:tcPr>
          <w:p>
            <w:pPr>
              <w:jc w:val="right"/>
              <w:spacing w:after="0"/>
              <w:rPr>
                <w:sz w:val="20"/>
                <w:szCs w:val="20"/>
                <w:color w:val="auto"/>
              </w:rPr>
            </w:pPr>
            <w:r>
              <w:rPr>
                <w:rFonts w:ascii="Arial" w:cs="Arial" w:eastAsia="Arial" w:hAnsi="Arial"/>
                <w:sz w:val="13"/>
                <w:szCs w:val="13"/>
                <w:color w:val="242424"/>
              </w:rPr>
              <w:t>8,483,357</w:t>
            </w:r>
          </w:p>
        </w:tc>
        <w:tc>
          <w:tcPr>
            <w:tcW w:w="0" w:type="dxa"/>
            <w:vAlign w:val="bottom"/>
          </w:tcPr>
          <w:p>
            <w:pPr>
              <w:spacing w:after="0"/>
              <w:rPr>
                <w:sz w:val="1"/>
                <w:szCs w:val="1"/>
                <w:color w:val="auto"/>
              </w:rPr>
            </w:pPr>
          </w:p>
        </w:tc>
      </w:tr>
      <w:tr>
        <w:trPr>
          <w:trHeight w:val="199"/>
        </w:trPr>
        <w:tc>
          <w:tcPr>
            <w:tcW w:w="1920" w:type="dxa"/>
            <w:vAlign w:val="bottom"/>
            <w:shd w:val="clear" w:color="auto" w:fill="EAEAEA"/>
          </w:tcPr>
          <w:p>
            <w:pPr>
              <w:spacing w:after="0"/>
              <w:rPr>
                <w:sz w:val="17"/>
                <w:szCs w:val="17"/>
                <w:color w:val="auto"/>
              </w:rPr>
            </w:pPr>
          </w:p>
        </w:tc>
        <w:tc>
          <w:tcPr>
            <w:tcW w:w="780" w:type="dxa"/>
            <w:vAlign w:val="bottom"/>
            <w:shd w:val="clear" w:color="auto" w:fill="EAEAEA"/>
          </w:tcPr>
          <w:p>
            <w:pPr>
              <w:jc w:val="center"/>
              <w:spacing w:after="0"/>
              <w:rPr>
                <w:sz w:val="20"/>
                <w:szCs w:val="20"/>
                <w:color w:val="auto"/>
              </w:rPr>
            </w:pPr>
            <w:r>
              <w:rPr>
                <w:rFonts w:ascii="Arial" w:cs="Arial" w:eastAsia="Arial" w:hAnsi="Arial"/>
                <w:sz w:val="13"/>
                <w:szCs w:val="13"/>
                <w:color w:val="242424"/>
                <w:w w:val="98"/>
              </w:rPr>
              <w:t>12/08/20</w:t>
            </w:r>
          </w:p>
        </w:tc>
        <w:tc>
          <w:tcPr>
            <w:tcW w:w="780" w:type="dxa"/>
            <w:vAlign w:val="bottom"/>
            <w:shd w:val="clear" w:color="auto" w:fill="EAEAEA"/>
          </w:tcPr>
          <w:p>
            <w:pPr>
              <w:jc w:val="center"/>
              <w:spacing w:after="0"/>
              <w:rPr>
                <w:sz w:val="20"/>
                <w:szCs w:val="20"/>
                <w:color w:val="auto"/>
              </w:rPr>
            </w:pPr>
            <w:r>
              <w:rPr>
                <w:rFonts w:ascii="Arial" w:cs="Arial" w:eastAsia="Arial" w:hAnsi="Arial"/>
                <w:sz w:val="13"/>
                <w:szCs w:val="13"/>
                <w:color w:val="242424"/>
              </w:rPr>
              <w:t>12/15/20</w:t>
            </w:r>
          </w:p>
        </w:tc>
        <w:tc>
          <w:tcPr>
            <w:tcW w:w="1080" w:type="dxa"/>
            <w:vAlign w:val="bottom"/>
            <w:shd w:val="clear" w:color="auto" w:fill="EAEAEA"/>
          </w:tcPr>
          <w:p>
            <w:pPr>
              <w:spacing w:after="0"/>
              <w:rPr>
                <w:sz w:val="17"/>
                <w:szCs w:val="17"/>
                <w:color w:val="auto"/>
              </w:rPr>
            </w:pPr>
          </w:p>
        </w:tc>
        <w:tc>
          <w:tcPr>
            <w:tcW w:w="880" w:type="dxa"/>
            <w:vAlign w:val="bottom"/>
            <w:shd w:val="clear" w:color="auto" w:fill="EAEAEA"/>
          </w:tcPr>
          <w:p>
            <w:pPr>
              <w:spacing w:after="0"/>
              <w:rPr>
                <w:sz w:val="17"/>
                <w:szCs w:val="17"/>
                <w:color w:val="auto"/>
              </w:rPr>
            </w:pPr>
          </w:p>
        </w:tc>
        <w:tc>
          <w:tcPr>
            <w:tcW w:w="1020" w:type="dxa"/>
            <w:vAlign w:val="bottom"/>
            <w:shd w:val="clear" w:color="auto" w:fill="EAEAEA"/>
          </w:tcPr>
          <w:p>
            <w:pPr>
              <w:spacing w:after="0"/>
              <w:rPr>
                <w:sz w:val="17"/>
                <w:szCs w:val="17"/>
                <w:color w:val="auto"/>
              </w:rPr>
            </w:pPr>
          </w:p>
        </w:tc>
        <w:tc>
          <w:tcPr>
            <w:tcW w:w="102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980" w:type="dxa"/>
            <w:vAlign w:val="bottom"/>
            <w:shd w:val="clear" w:color="auto" w:fill="EAEAEA"/>
          </w:tcPr>
          <w:p>
            <w:pPr>
              <w:spacing w:after="0"/>
              <w:rPr>
                <w:sz w:val="17"/>
                <w:szCs w:val="17"/>
                <w:color w:val="auto"/>
              </w:rPr>
            </w:pPr>
          </w:p>
        </w:tc>
        <w:tc>
          <w:tcPr>
            <w:tcW w:w="980" w:type="dxa"/>
            <w:vAlign w:val="bottom"/>
            <w:shd w:val="clear" w:color="auto" w:fill="EAEAEA"/>
          </w:tcPr>
          <w:p>
            <w:pPr>
              <w:jc w:val="center"/>
              <w:spacing w:after="0"/>
              <w:rPr>
                <w:sz w:val="20"/>
                <w:szCs w:val="20"/>
                <w:color w:val="auto"/>
              </w:rPr>
            </w:pPr>
            <w:r>
              <w:rPr>
                <w:rFonts w:ascii="Arial" w:cs="Arial" w:eastAsia="Arial" w:hAnsi="Arial"/>
                <w:sz w:val="13"/>
                <w:szCs w:val="13"/>
                <w:color w:val="242424"/>
                <w:w w:val="96"/>
              </w:rPr>
              <w:t>13,000</w:t>
            </w:r>
            <w:r>
              <w:rPr>
                <w:rFonts w:ascii="Arial" w:cs="Arial" w:eastAsia="Arial" w:hAnsi="Arial"/>
                <w:sz w:val="17"/>
                <w:szCs w:val="17"/>
                <w:color w:val="000000"/>
                <w:w w:val="96"/>
                <w:vertAlign w:val="superscript"/>
              </w:rPr>
              <w:t>(6)</w:t>
            </w:r>
          </w:p>
        </w:tc>
        <w:tc>
          <w:tcPr>
            <w:tcW w:w="1020" w:type="dxa"/>
            <w:vAlign w:val="bottom"/>
            <w:shd w:val="clear" w:color="auto" w:fill="EAEAEA"/>
          </w:tcPr>
          <w:p>
            <w:pPr>
              <w:jc w:val="right"/>
              <w:spacing w:after="0"/>
              <w:rPr>
                <w:sz w:val="20"/>
                <w:szCs w:val="20"/>
                <w:color w:val="auto"/>
              </w:rPr>
            </w:pPr>
            <w:r>
              <w:rPr>
                <w:rFonts w:ascii="Arial" w:cs="Arial" w:eastAsia="Arial" w:hAnsi="Arial"/>
                <w:sz w:val="13"/>
                <w:szCs w:val="13"/>
                <w:color w:val="242424"/>
              </w:rPr>
              <w:t>4,967,690</w:t>
            </w:r>
          </w:p>
        </w:tc>
        <w:tc>
          <w:tcPr>
            <w:tcW w:w="0" w:type="dxa"/>
            <w:vAlign w:val="bottom"/>
          </w:tcPr>
          <w:p>
            <w:pPr>
              <w:spacing w:after="0"/>
              <w:rPr>
                <w:sz w:val="1"/>
                <w:szCs w:val="1"/>
                <w:color w:val="auto"/>
              </w:rPr>
            </w:pPr>
          </w:p>
        </w:tc>
      </w:tr>
      <w:tr>
        <w:trPr>
          <w:trHeight w:val="239"/>
        </w:trPr>
        <w:tc>
          <w:tcPr>
            <w:tcW w:w="1920" w:type="dxa"/>
            <w:vAlign w:val="bottom"/>
          </w:tcPr>
          <w:p>
            <w:pPr>
              <w:ind w:left="20"/>
              <w:spacing w:after="0"/>
              <w:rPr>
                <w:sz w:val="20"/>
                <w:szCs w:val="20"/>
                <w:color w:val="auto"/>
              </w:rPr>
            </w:pPr>
            <w:r>
              <w:rPr>
                <w:rFonts w:ascii="Arial" w:cs="Arial" w:eastAsia="Arial" w:hAnsi="Arial"/>
                <w:sz w:val="13"/>
                <w:szCs w:val="13"/>
                <w:color w:val="auto"/>
              </w:rPr>
              <w:t>Mark D. Brazeal</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rPr>
              <w:t>31,250</w:t>
            </w:r>
          </w:p>
        </w:tc>
        <w:tc>
          <w:tcPr>
            <w:tcW w:w="880" w:type="dxa"/>
            <w:vAlign w:val="bottom"/>
          </w:tcPr>
          <w:p>
            <w:pPr>
              <w:jc w:val="center"/>
              <w:spacing w:after="0"/>
              <w:rPr>
                <w:sz w:val="20"/>
                <w:szCs w:val="20"/>
                <w:color w:val="auto"/>
              </w:rPr>
            </w:pPr>
            <w:r>
              <w:rPr>
                <w:rFonts w:ascii="Arial" w:cs="Arial" w:eastAsia="Arial" w:hAnsi="Arial"/>
                <w:sz w:val="13"/>
                <w:szCs w:val="13"/>
                <w:color w:val="auto"/>
              </w:rPr>
              <w:t>500,000</w:t>
            </w:r>
          </w:p>
        </w:tc>
        <w:tc>
          <w:tcPr>
            <w:tcW w:w="1020" w:type="dxa"/>
            <w:vAlign w:val="bottom"/>
          </w:tcPr>
          <w:p>
            <w:pPr>
              <w:jc w:val="center"/>
              <w:ind w:left="14"/>
              <w:spacing w:after="0"/>
              <w:rPr>
                <w:sz w:val="20"/>
                <w:szCs w:val="20"/>
                <w:color w:val="auto"/>
              </w:rPr>
            </w:pPr>
            <w:r>
              <w:rPr>
                <w:rFonts w:ascii="Arial" w:cs="Arial" w:eastAsia="Arial" w:hAnsi="Arial"/>
                <w:sz w:val="13"/>
                <w:szCs w:val="13"/>
                <w:color w:val="auto"/>
              </w:rPr>
              <w:t>1,012,500</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1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920" w:type="dxa"/>
            <w:vAlign w:val="bottom"/>
            <w:shd w:val="clear" w:color="auto" w:fill="EAEAEA"/>
          </w:tcPr>
          <w:p>
            <w:pPr>
              <w:ind w:left="20"/>
              <w:spacing w:after="0"/>
              <w:rPr>
                <w:sz w:val="20"/>
                <w:szCs w:val="20"/>
                <w:color w:val="auto"/>
              </w:rPr>
            </w:pPr>
            <w:r>
              <w:rPr>
                <w:rFonts w:ascii="Arial" w:cs="Arial" w:eastAsia="Arial" w:hAnsi="Arial"/>
                <w:sz w:val="13"/>
                <w:szCs w:val="13"/>
                <w:color w:val="242424"/>
              </w:rPr>
              <w:t>Charlie B. Kawwas, Ph.D.</w:t>
            </w:r>
          </w:p>
        </w:tc>
        <w:tc>
          <w:tcPr>
            <w:tcW w:w="780" w:type="dxa"/>
            <w:vAlign w:val="bottom"/>
            <w:shd w:val="clear" w:color="auto" w:fill="EAEAEA"/>
          </w:tcPr>
          <w:p>
            <w:pPr>
              <w:spacing w:after="0"/>
              <w:rPr>
                <w:sz w:val="16"/>
                <w:szCs w:val="16"/>
                <w:color w:val="auto"/>
              </w:rPr>
            </w:pPr>
          </w:p>
        </w:tc>
        <w:tc>
          <w:tcPr>
            <w:tcW w:w="780" w:type="dxa"/>
            <w:vAlign w:val="bottom"/>
            <w:shd w:val="clear" w:color="auto" w:fill="EAEAEA"/>
          </w:tcPr>
          <w:p>
            <w:pPr>
              <w:spacing w:after="0"/>
              <w:rPr>
                <w:sz w:val="16"/>
                <w:szCs w:val="16"/>
                <w:color w:val="auto"/>
              </w:rPr>
            </w:pPr>
          </w:p>
        </w:tc>
        <w:tc>
          <w:tcPr>
            <w:tcW w:w="1080" w:type="dxa"/>
            <w:vAlign w:val="bottom"/>
            <w:shd w:val="clear" w:color="auto" w:fill="EAEAEA"/>
          </w:tcPr>
          <w:p>
            <w:pPr>
              <w:jc w:val="center"/>
              <w:spacing w:after="0"/>
              <w:rPr>
                <w:sz w:val="20"/>
                <w:szCs w:val="20"/>
                <w:color w:val="auto"/>
              </w:rPr>
            </w:pPr>
            <w:r>
              <w:rPr>
                <w:rFonts w:ascii="Arial" w:cs="Arial" w:eastAsia="Arial" w:hAnsi="Arial"/>
                <w:sz w:val="13"/>
                <w:szCs w:val="13"/>
                <w:color w:val="242424"/>
              </w:rPr>
              <w:t>84,327</w:t>
            </w:r>
          </w:p>
        </w:tc>
        <w:tc>
          <w:tcPr>
            <w:tcW w:w="880" w:type="dxa"/>
            <w:vAlign w:val="bottom"/>
            <w:shd w:val="clear" w:color="auto" w:fill="EAEAEA"/>
          </w:tcPr>
          <w:p>
            <w:pPr>
              <w:jc w:val="center"/>
              <w:spacing w:after="0"/>
              <w:rPr>
                <w:sz w:val="20"/>
                <w:szCs w:val="20"/>
                <w:color w:val="auto"/>
              </w:rPr>
            </w:pPr>
            <w:r>
              <w:rPr>
                <w:rFonts w:ascii="Arial" w:cs="Arial" w:eastAsia="Arial" w:hAnsi="Arial"/>
                <w:sz w:val="13"/>
                <w:szCs w:val="13"/>
                <w:color w:val="242424"/>
              </w:rPr>
              <w:t>674,615</w:t>
            </w:r>
          </w:p>
        </w:tc>
        <w:tc>
          <w:tcPr>
            <w:tcW w:w="1020" w:type="dxa"/>
            <w:vAlign w:val="bottom"/>
            <w:shd w:val="clear" w:color="auto" w:fill="EAEAEA"/>
          </w:tcPr>
          <w:p>
            <w:pPr>
              <w:jc w:val="center"/>
              <w:ind w:left="14"/>
              <w:spacing w:after="0"/>
              <w:rPr>
                <w:sz w:val="20"/>
                <w:szCs w:val="20"/>
                <w:color w:val="auto"/>
              </w:rPr>
            </w:pPr>
            <w:r>
              <w:rPr>
                <w:rFonts w:ascii="Arial" w:cs="Arial" w:eastAsia="Arial" w:hAnsi="Arial"/>
                <w:sz w:val="13"/>
                <w:szCs w:val="13"/>
                <w:color w:val="242424"/>
              </w:rPr>
              <w:t>1,517,885</w:t>
            </w:r>
          </w:p>
        </w:tc>
        <w:tc>
          <w:tcPr>
            <w:tcW w:w="1020" w:type="dxa"/>
            <w:vAlign w:val="bottom"/>
            <w:shd w:val="clear" w:color="auto" w:fill="EAEAEA"/>
          </w:tcPr>
          <w:p>
            <w:pPr>
              <w:spacing w:after="0"/>
              <w:rPr>
                <w:sz w:val="16"/>
                <w:szCs w:val="16"/>
                <w:color w:val="auto"/>
              </w:rPr>
            </w:pPr>
          </w:p>
        </w:tc>
        <w:tc>
          <w:tcPr>
            <w:tcW w:w="760" w:type="dxa"/>
            <w:vAlign w:val="bottom"/>
            <w:shd w:val="clear" w:color="auto" w:fill="EAEAEA"/>
          </w:tcPr>
          <w:p>
            <w:pPr>
              <w:spacing w:after="0"/>
              <w:rPr>
                <w:sz w:val="16"/>
                <w:szCs w:val="16"/>
                <w:color w:val="auto"/>
              </w:rPr>
            </w:pPr>
          </w:p>
        </w:tc>
        <w:tc>
          <w:tcPr>
            <w:tcW w:w="980" w:type="dxa"/>
            <w:vAlign w:val="bottom"/>
            <w:shd w:val="clear" w:color="auto" w:fill="EAEAEA"/>
          </w:tcPr>
          <w:p>
            <w:pPr>
              <w:spacing w:after="0"/>
              <w:rPr>
                <w:sz w:val="16"/>
                <w:szCs w:val="16"/>
                <w:color w:val="auto"/>
              </w:rPr>
            </w:pPr>
          </w:p>
        </w:tc>
        <w:tc>
          <w:tcPr>
            <w:tcW w:w="980" w:type="dxa"/>
            <w:vAlign w:val="bottom"/>
            <w:shd w:val="clear" w:color="auto" w:fill="EAEAEA"/>
          </w:tcPr>
          <w:p>
            <w:pPr>
              <w:spacing w:after="0"/>
              <w:rPr>
                <w:sz w:val="16"/>
                <w:szCs w:val="16"/>
                <w:color w:val="auto"/>
              </w:rPr>
            </w:pPr>
          </w:p>
        </w:tc>
        <w:tc>
          <w:tcPr>
            <w:tcW w:w="102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20" w:type="dxa"/>
            <w:vAlign w:val="bottom"/>
            <w:shd w:val="clear" w:color="auto" w:fill="EAEAEA"/>
          </w:tcPr>
          <w:p>
            <w:pPr>
              <w:spacing w:after="0"/>
              <w:rPr>
                <w:sz w:val="18"/>
                <w:szCs w:val="18"/>
                <w:color w:val="auto"/>
              </w:rPr>
            </w:pPr>
          </w:p>
        </w:tc>
        <w:tc>
          <w:tcPr>
            <w:tcW w:w="780" w:type="dxa"/>
            <w:vAlign w:val="bottom"/>
            <w:shd w:val="clear" w:color="auto" w:fill="EAEAEA"/>
          </w:tcPr>
          <w:p>
            <w:pPr>
              <w:jc w:val="center"/>
              <w:spacing w:after="0"/>
              <w:rPr>
                <w:sz w:val="20"/>
                <w:szCs w:val="20"/>
                <w:color w:val="auto"/>
              </w:rPr>
            </w:pPr>
            <w:r>
              <w:rPr>
                <w:rFonts w:ascii="Arial" w:cs="Arial" w:eastAsia="Arial" w:hAnsi="Arial"/>
                <w:sz w:val="13"/>
                <w:szCs w:val="13"/>
                <w:color w:val="242424"/>
                <w:w w:val="98"/>
              </w:rPr>
              <w:t>12/08/20</w:t>
            </w:r>
          </w:p>
        </w:tc>
        <w:tc>
          <w:tcPr>
            <w:tcW w:w="780" w:type="dxa"/>
            <w:vAlign w:val="bottom"/>
            <w:shd w:val="clear" w:color="auto" w:fill="EAEAEA"/>
          </w:tcPr>
          <w:p>
            <w:pPr>
              <w:jc w:val="center"/>
              <w:spacing w:after="0"/>
              <w:rPr>
                <w:sz w:val="20"/>
                <w:szCs w:val="20"/>
                <w:color w:val="auto"/>
              </w:rPr>
            </w:pPr>
            <w:r>
              <w:rPr>
                <w:rFonts w:ascii="Arial" w:cs="Arial" w:eastAsia="Arial" w:hAnsi="Arial"/>
                <w:sz w:val="13"/>
                <w:szCs w:val="13"/>
                <w:color w:val="242424"/>
              </w:rPr>
              <w:t>04/05/21</w:t>
            </w:r>
          </w:p>
        </w:tc>
        <w:tc>
          <w:tcPr>
            <w:tcW w:w="1080" w:type="dxa"/>
            <w:vAlign w:val="bottom"/>
            <w:shd w:val="clear" w:color="auto" w:fill="EAEAEA"/>
          </w:tcPr>
          <w:p>
            <w:pPr>
              <w:spacing w:after="0"/>
              <w:rPr>
                <w:sz w:val="18"/>
                <w:szCs w:val="18"/>
                <w:color w:val="auto"/>
              </w:rPr>
            </w:pPr>
          </w:p>
        </w:tc>
        <w:tc>
          <w:tcPr>
            <w:tcW w:w="880" w:type="dxa"/>
            <w:vAlign w:val="bottom"/>
            <w:shd w:val="clear" w:color="auto" w:fill="EAEAEA"/>
          </w:tcPr>
          <w:p>
            <w:pPr>
              <w:spacing w:after="0"/>
              <w:rPr>
                <w:sz w:val="18"/>
                <w:szCs w:val="18"/>
                <w:color w:val="auto"/>
              </w:rPr>
            </w:pPr>
          </w:p>
        </w:tc>
        <w:tc>
          <w:tcPr>
            <w:tcW w:w="1020" w:type="dxa"/>
            <w:vAlign w:val="bottom"/>
            <w:shd w:val="clear" w:color="auto" w:fill="EAEAEA"/>
          </w:tcPr>
          <w:p>
            <w:pPr>
              <w:spacing w:after="0"/>
              <w:rPr>
                <w:sz w:val="18"/>
                <w:szCs w:val="18"/>
                <w:color w:val="auto"/>
              </w:rPr>
            </w:pPr>
          </w:p>
        </w:tc>
        <w:tc>
          <w:tcPr>
            <w:tcW w:w="1020" w:type="dxa"/>
            <w:vAlign w:val="bottom"/>
            <w:shd w:val="clear" w:color="auto" w:fill="EAEAEA"/>
          </w:tcPr>
          <w:p>
            <w:pPr>
              <w:jc w:val="center"/>
              <w:spacing w:after="0"/>
              <w:rPr>
                <w:sz w:val="20"/>
                <w:szCs w:val="20"/>
                <w:color w:val="auto"/>
              </w:rPr>
            </w:pPr>
            <w:r>
              <w:rPr>
                <w:rFonts w:ascii="Arial" w:cs="Arial" w:eastAsia="Arial" w:hAnsi="Arial"/>
                <w:sz w:val="13"/>
                <w:szCs w:val="13"/>
                <w:color w:val="242424"/>
                <w:w w:val="91"/>
              </w:rPr>
              <w:t xml:space="preserve">8,970 </w:t>
            </w:r>
            <w:r>
              <w:rPr>
                <w:rFonts w:ascii="Arial" w:cs="Arial" w:eastAsia="Arial" w:hAnsi="Arial"/>
                <w:sz w:val="17"/>
                <w:szCs w:val="17"/>
                <w:color w:val="000000"/>
                <w:w w:val="91"/>
                <w:vertAlign w:val="superscript"/>
              </w:rPr>
              <w:t>(7)</w:t>
            </w:r>
          </w:p>
        </w:tc>
        <w:tc>
          <w:tcPr>
            <w:tcW w:w="760" w:type="dxa"/>
            <w:vAlign w:val="bottom"/>
            <w:shd w:val="clear" w:color="auto" w:fill="EAEAEA"/>
          </w:tcPr>
          <w:p>
            <w:pPr>
              <w:jc w:val="center"/>
              <w:spacing w:after="0"/>
              <w:rPr>
                <w:sz w:val="20"/>
                <w:szCs w:val="20"/>
                <w:color w:val="auto"/>
              </w:rPr>
            </w:pPr>
            <w:r>
              <w:rPr>
                <w:rFonts w:ascii="Arial" w:cs="Arial" w:eastAsia="Arial" w:hAnsi="Arial"/>
                <w:sz w:val="13"/>
                <w:szCs w:val="13"/>
                <w:color w:val="242424"/>
                <w:w w:val="96"/>
              </w:rPr>
              <w:t>17,940</w:t>
            </w:r>
            <w:r>
              <w:rPr>
                <w:rFonts w:ascii="Arial" w:cs="Arial" w:eastAsia="Arial" w:hAnsi="Arial"/>
                <w:sz w:val="17"/>
                <w:szCs w:val="17"/>
                <w:color w:val="000000"/>
                <w:w w:val="96"/>
                <w:vertAlign w:val="superscript"/>
              </w:rPr>
              <w:t>(7)</w:t>
            </w:r>
          </w:p>
        </w:tc>
        <w:tc>
          <w:tcPr>
            <w:tcW w:w="980" w:type="dxa"/>
            <w:vAlign w:val="bottom"/>
            <w:shd w:val="clear" w:color="auto" w:fill="EAEAEA"/>
          </w:tcPr>
          <w:p>
            <w:pPr>
              <w:jc w:val="center"/>
              <w:spacing w:after="0"/>
              <w:rPr>
                <w:sz w:val="20"/>
                <w:szCs w:val="20"/>
                <w:color w:val="auto"/>
              </w:rPr>
            </w:pPr>
            <w:r>
              <w:rPr>
                <w:rFonts w:ascii="Arial" w:cs="Arial" w:eastAsia="Arial" w:hAnsi="Arial"/>
                <w:sz w:val="13"/>
                <w:szCs w:val="13"/>
                <w:color w:val="242424"/>
                <w:w w:val="96"/>
              </w:rPr>
              <w:t>35,880</w:t>
            </w:r>
            <w:r>
              <w:rPr>
                <w:rFonts w:ascii="Arial" w:cs="Arial" w:eastAsia="Arial" w:hAnsi="Arial"/>
                <w:sz w:val="17"/>
                <w:szCs w:val="17"/>
                <w:color w:val="000000"/>
                <w:w w:val="96"/>
                <w:vertAlign w:val="superscript"/>
              </w:rPr>
              <w:t>(7)</w:t>
            </w:r>
          </w:p>
        </w:tc>
        <w:tc>
          <w:tcPr>
            <w:tcW w:w="980" w:type="dxa"/>
            <w:vAlign w:val="bottom"/>
            <w:shd w:val="clear" w:color="auto" w:fill="EAEAEA"/>
          </w:tcPr>
          <w:p>
            <w:pPr>
              <w:spacing w:after="0"/>
              <w:rPr>
                <w:sz w:val="18"/>
                <w:szCs w:val="18"/>
                <w:color w:val="auto"/>
              </w:rPr>
            </w:pPr>
          </w:p>
        </w:tc>
        <w:tc>
          <w:tcPr>
            <w:tcW w:w="1020" w:type="dxa"/>
            <w:vAlign w:val="bottom"/>
            <w:shd w:val="clear" w:color="auto" w:fill="EAEAEA"/>
          </w:tcPr>
          <w:p>
            <w:pPr>
              <w:jc w:val="right"/>
              <w:spacing w:after="0"/>
              <w:rPr>
                <w:sz w:val="20"/>
                <w:szCs w:val="20"/>
                <w:color w:val="auto"/>
              </w:rPr>
            </w:pPr>
            <w:r>
              <w:rPr>
                <w:rFonts w:ascii="Arial" w:cs="Arial" w:eastAsia="Arial" w:hAnsi="Arial"/>
                <w:sz w:val="13"/>
                <w:szCs w:val="13"/>
                <w:color w:val="242424"/>
              </w:rPr>
              <w:t>11,738,860</w:t>
            </w:r>
          </w:p>
        </w:tc>
        <w:tc>
          <w:tcPr>
            <w:tcW w:w="0" w:type="dxa"/>
            <w:vAlign w:val="bottom"/>
          </w:tcPr>
          <w:p>
            <w:pPr>
              <w:spacing w:after="0"/>
              <w:rPr>
                <w:sz w:val="1"/>
                <w:szCs w:val="1"/>
                <w:color w:val="auto"/>
              </w:rPr>
            </w:pPr>
          </w:p>
        </w:tc>
      </w:tr>
      <w:tr>
        <w:trPr>
          <w:trHeight w:val="199"/>
        </w:trPr>
        <w:tc>
          <w:tcPr>
            <w:tcW w:w="1920" w:type="dxa"/>
            <w:vAlign w:val="bottom"/>
            <w:shd w:val="clear" w:color="auto" w:fill="EAEAEA"/>
          </w:tcPr>
          <w:p>
            <w:pPr>
              <w:spacing w:after="0"/>
              <w:rPr>
                <w:sz w:val="17"/>
                <w:szCs w:val="17"/>
                <w:color w:val="auto"/>
              </w:rPr>
            </w:pPr>
          </w:p>
        </w:tc>
        <w:tc>
          <w:tcPr>
            <w:tcW w:w="780" w:type="dxa"/>
            <w:vAlign w:val="bottom"/>
            <w:shd w:val="clear" w:color="auto" w:fill="EAEAEA"/>
          </w:tcPr>
          <w:p>
            <w:pPr>
              <w:jc w:val="center"/>
              <w:spacing w:after="0"/>
              <w:rPr>
                <w:sz w:val="20"/>
                <w:szCs w:val="20"/>
                <w:color w:val="auto"/>
              </w:rPr>
            </w:pPr>
            <w:r>
              <w:rPr>
                <w:rFonts w:ascii="Arial" w:cs="Arial" w:eastAsia="Arial" w:hAnsi="Arial"/>
                <w:sz w:val="13"/>
                <w:szCs w:val="13"/>
                <w:color w:val="242424"/>
                <w:w w:val="98"/>
              </w:rPr>
              <w:t>12/08/20</w:t>
            </w:r>
          </w:p>
        </w:tc>
        <w:tc>
          <w:tcPr>
            <w:tcW w:w="780" w:type="dxa"/>
            <w:vAlign w:val="bottom"/>
            <w:shd w:val="clear" w:color="auto" w:fill="EAEAEA"/>
          </w:tcPr>
          <w:p>
            <w:pPr>
              <w:jc w:val="center"/>
              <w:spacing w:after="0"/>
              <w:rPr>
                <w:sz w:val="20"/>
                <w:szCs w:val="20"/>
                <w:color w:val="auto"/>
              </w:rPr>
            </w:pPr>
            <w:r>
              <w:rPr>
                <w:rFonts w:ascii="Arial" w:cs="Arial" w:eastAsia="Arial" w:hAnsi="Arial"/>
                <w:sz w:val="13"/>
                <w:szCs w:val="13"/>
                <w:color w:val="242424"/>
              </w:rPr>
              <w:t>04/05/21</w:t>
            </w:r>
          </w:p>
        </w:tc>
        <w:tc>
          <w:tcPr>
            <w:tcW w:w="1080" w:type="dxa"/>
            <w:vAlign w:val="bottom"/>
            <w:shd w:val="clear" w:color="auto" w:fill="EAEAEA"/>
          </w:tcPr>
          <w:p>
            <w:pPr>
              <w:spacing w:after="0"/>
              <w:rPr>
                <w:sz w:val="17"/>
                <w:szCs w:val="17"/>
                <w:color w:val="auto"/>
              </w:rPr>
            </w:pPr>
          </w:p>
        </w:tc>
        <w:tc>
          <w:tcPr>
            <w:tcW w:w="880" w:type="dxa"/>
            <w:vAlign w:val="bottom"/>
            <w:shd w:val="clear" w:color="auto" w:fill="EAEAEA"/>
          </w:tcPr>
          <w:p>
            <w:pPr>
              <w:spacing w:after="0"/>
              <w:rPr>
                <w:sz w:val="17"/>
                <w:szCs w:val="17"/>
                <w:color w:val="auto"/>
              </w:rPr>
            </w:pPr>
          </w:p>
        </w:tc>
        <w:tc>
          <w:tcPr>
            <w:tcW w:w="1020" w:type="dxa"/>
            <w:vAlign w:val="bottom"/>
            <w:shd w:val="clear" w:color="auto" w:fill="EAEAEA"/>
          </w:tcPr>
          <w:p>
            <w:pPr>
              <w:spacing w:after="0"/>
              <w:rPr>
                <w:sz w:val="17"/>
                <w:szCs w:val="17"/>
                <w:color w:val="auto"/>
              </w:rPr>
            </w:pPr>
          </w:p>
        </w:tc>
        <w:tc>
          <w:tcPr>
            <w:tcW w:w="102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980" w:type="dxa"/>
            <w:vAlign w:val="bottom"/>
            <w:shd w:val="clear" w:color="auto" w:fill="EAEAEA"/>
          </w:tcPr>
          <w:p>
            <w:pPr>
              <w:spacing w:after="0"/>
              <w:rPr>
                <w:sz w:val="17"/>
                <w:szCs w:val="17"/>
                <w:color w:val="auto"/>
              </w:rPr>
            </w:pPr>
          </w:p>
        </w:tc>
        <w:tc>
          <w:tcPr>
            <w:tcW w:w="980" w:type="dxa"/>
            <w:vAlign w:val="bottom"/>
            <w:shd w:val="clear" w:color="auto" w:fill="EAEAEA"/>
          </w:tcPr>
          <w:p>
            <w:pPr>
              <w:jc w:val="center"/>
              <w:spacing w:after="0"/>
              <w:rPr>
                <w:sz w:val="20"/>
                <w:szCs w:val="20"/>
                <w:color w:val="auto"/>
              </w:rPr>
            </w:pPr>
            <w:r>
              <w:rPr>
                <w:rFonts w:ascii="Arial" w:cs="Arial" w:eastAsia="Arial" w:hAnsi="Arial"/>
                <w:sz w:val="13"/>
                <w:szCs w:val="13"/>
                <w:color w:val="242424"/>
                <w:w w:val="90"/>
              </w:rPr>
              <w:t xml:space="preserve">17,940 </w:t>
            </w:r>
            <w:r>
              <w:rPr>
                <w:rFonts w:ascii="Arial" w:cs="Arial" w:eastAsia="Arial" w:hAnsi="Arial"/>
                <w:sz w:val="17"/>
                <w:szCs w:val="17"/>
                <w:color w:val="000000"/>
                <w:w w:val="90"/>
                <w:vertAlign w:val="superscript"/>
              </w:rPr>
              <w:t>(8)</w:t>
            </w:r>
          </w:p>
        </w:tc>
        <w:tc>
          <w:tcPr>
            <w:tcW w:w="1020" w:type="dxa"/>
            <w:vAlign w:val="bottom"/>
            <w:shd w:val="clear" w:color="auto" w:fill="EAEAEA"/>
          </w:tcPr>
          <w:p>
            <w:pPr>
              <w:jc w:val="right"/>
              <w:spacing w:after="0"/>
              <w:rPr>
                <w:sz w:val="20"/>
                <w:szCs w:val="20"/>
                <w:color w:val="auto"/>
              </w:rPr>
            </w:pPr>
            <w:r>
              <w:rPr>
                <w:rFonts w:ascii="Arial" w:cs="Arial" w:eastAsia="Arial" w:hAnsi="Arial"/>
                <w:sz w:val="13"/>
                <w:szCs w:val="13"/>
                <w:color w:val="242424"/>
              </w:rPr>
              <w:t>8,376,186</w:t>
            </w:r>
          </w:p>
        </w:tc>
        <w:tc>
          <w:tcPr>
            <w:tcW w:w="0" w:type="dxa"/>
            <w:vAlign w:val="bottom"/>
          </w:tcPr>
          <w:p>
            <w:pPr>
              <w:spacing w:after="0"/>
              <w:rPr>
                <w:sz w:val="1"/>
                <w:szCs w:val="1"/>
                <w:color w:val="auto"/>
              </w:rPr>
            </w:pPr>
          </w:p>
        </w:tc>
      </w:tr>
      <w:tr>
        <w:trPr>
          <w:trHeight w:val="239"/>
        </w:trPr>
        <w:tc>
          <w:tcPr>
            <w:tcW w:w="1920" w:type="dxa"/>
            <w:vAlign w:val="bottom"/>
          </w:tcPr>
          <w:p>
            <w:pPr>
              <w:ind w:left="20"/>
              <w:spacing w:after="0"/>
              <w:rPr>
                <w:sz w:val="20"/>
                <w:szCs w:val="20"/>
                <w:color w:val="auto"/>
              </w:rPr>
            </w:pPr>
            <w:r>
              <w:rPr>
                <w:rFonts w:ascii="Arial" w:cs="Arial" w:eastAsia="Arial" w:hAnsi="Arial"/>
                <w:sz w:val="13"/>
                <w:szCs w:val="13"/>
                <w:color w:val="242424"/>
              </w:rPr>
              <w:t>Thomas H. Krause, Jr.</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242424"/>
              </w:rPr>
              <w:t>84,327</w:t>
            </w:r>
          </w:p>
        </w:tc>
        <w:tc>
          <w:tcPr>
            <w:tcW w:w="880" w:type="dxa"/>
            <w:vAlign w:val="bottom"/>
          </w:tcPr>
          <w:p>
            <w:pPr>
              <w:jc w:val="center"/>
              <w:spacing w:after="0"/>
              <w:rPr>
                <w:sz w:val="20"/>
                <w:szCs w:val="20"/>
                <w:color w:val="auto"/>
              </w:rPr>
            </w:pPr>
            <w:r>
              <w:rPr>
                <w:rFonts w:ascii="Arial" w:cs="Arial" w:eastAsia="Arial" w:hAnsi="Arial"/>
                <w:sz w:val="13"/>
                <w:szCs w:val="13"/>
                <w:color w:val="242424"/>
              </w:rPr>
              <w:t>674,615</w:t>
            </w:r>
          </w:p>
        </w:tc>
        <w:tc>
          <w:tcPr>
            <w:tcW w:w="1020" w:type="dxa"/>
            <w:vAlign w:val="bottom"/>
          </w:tcPr>
          <w:p>
            <w:pPr>
              <w:jc w:val="center"/>
              <w:ind w:left="14"/>
              <w:spacing w:after="0"/>
              <w:rPr>
                <w:sz w:val="20"/>
                <w:szCs w:val="20"/>
                <w:color w:val="auto"/>
              </w:rPr>
            </w:pPr>
            <w:r>
              <w:rPr>
                <w:rFonts w:ascii="Arial" w:cs="Arial" w:eastAsia="Arial" w:hAnsi="Arial"/>
                <w:sz w:val="13"/>
                <w:szCs w:val="13"/>
                <w:color w:val="242424"/>
              </w:rPr>
              <w:t>1,517,885</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242424"/>
                <w:w w:val="98"/>
              </w:rPr>
              <w:t>12/08/20</w:t>
            </w:r>
          </w:p>
        </w:tc>
        <w:tc>
          <w:tcPr>
            <w:tcW w:w="780" w:type="dxa"/>
            <w:vAlign w:val="bottom"/>
          </w:tcPr>
          <w:p>
            <w:pPr>
              <w:jc w:val="center"/>
              <w:spacing w:after="0"/>
              <w:rPr>
                <w:sz w:val="20"/>
                <w:szCs w:val="20"/>
                <w:color w:val="auto"/>
              </w:rPr>
            </w:pPr>
            <w:r>
              <w:rPr>
                <w:rFonts w:ascii="Arial" w:cs="Arial" w:eastAsia="Arial" w:hAnsi="Arial"/>
                <w:sz w:val="13"/>
                <w:szCs w:val="13"/>
                <w:color w:val="242424"/>
              </w:rPr>
              <w:t>04/05/21</w:t>
            </w: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242424"/>
                <w:w w:val="91"/>
              </w:rPr>
              <w:t xml:space="preserve">8,970 </w:t>
            </w:r>
            <w:r>
              <w:rPr>
                <w:rFonts w:ascii="Arial" w:cs="Arial" w:eastAsia="Arial" w:hAnsi="Arial"/>
                <w:sz w:val="17"/>
                <w:szCs w:val="17"/>
                <w:color w:val="000000"/>
                <w:w w:val="91"/>
                <w:vertAlign w:val="superscript"/>
              </w:rPr>
              <w:t>(7)</w:t>
            </w:r>
          </w:p>
        </w:tc>
        <w:tc>
          <w:tcPr>
            <w:tcW w:w="760" w:type="dxa"/>
            <w:vAlign w:val="bottom"/>
          </w:tcPr>
          <w:p>
            <w:pPr>
              <w:jc w:val="center"/>
              <w:spacing w:after="0"/>
              <w:rPr>
                <w:sz w:val="20"/>
                <w:szCs w:val="20"/>
                <w:color w:val="auto"/>
              </w:rPr>
            </w:pPr>
            <w:r>
              <w:rPr>
                <w:rFonts w:ascii="Arial" w:cs="Arial" w:eastAsia="Arial" w:hAnsi="Arial"/>
                <w:sz w:val="13"/>
                <w:szCs w:val="13"/>
                <w:color w:val="242424"/>
                <w:w w:val="96"/>
              </w:rPr>
              <w:t>17,940</w:t>
            </w:r>
            <w:r>
              <w:rPr>
                <w:rFonts w:ascii="Arial" w:cs="Arial" w:eastAsia="Arial" w:hAnsi="Arial"/>
                <w:sz w:val="17"/>
                <w:szCs w:val="17"/>
                <w:color w:val="000000"/>
                <w:w w:val="96"/>
                <w:vertAlign w:val="superscript"/>
              </w:rPr>
              <w:t>(7)</w:t>
            </w:r>
          </w:p>
        </w:tc>
        <w:tc>
          <w:tcPr>
            <w:tcW w:w="980" w:type="dxa"/>
            <w:vAlign w:val="bottom"/>
          </w:tcPr>
          <w:p>
            <w:pPr>
              <w:jc w:val="center"/>
              <w:spacing w:after="0"/>
              <w:rPr>
                <w:sz w:val="20"/>
                <w:szCs w:val="20"/>
                <w:color w:val="auto"/>
              </w:rPr>
            </w:pPr>
            <w:r>
              <w:rPr>
                <w:rFonts w:ascii="Arial" w:cs="Arial" w:eastAsia="Arial" w:hAnsi="Arial"/>
                <w:sz w:val="13"/>
                <w:szCs w:val="13"/>
                <w:color w:val="242424"/>
                <w:w w:val="96"/>
              </w:rPr>
              <w:t>35,880</w:t>
            </w:r>
            <w:r>
              <w:rPr>
                <w:rFonts w:ascii="Arial" w:cs="Arial" w:eastAsia="Arial" w:hAnsi="Arial"/>
                <w:sz w:val="17"/>
                <w:szCs w:val="17"/>
                <w:color w:val="000000"/>
                <w:w w:val="96"/>
                <w:vertAlign w:val="superscript"/>
              </w:rPr>
              <w:t>(7)</w:t>
            </w:r>
          </w:p>
        </w:tc>
        <w:tc>
          <w:tcPr>
            <w:tcW w:w="9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242424"/>
              </w:rPr>
              <w:t>11,738,860</w:t>
            </w:r>
          </w:p>
        </w:tc>
        <w:tc>
          <w:tcPr>
            <w:tcW w:w="0" w:type="dxa"/>
            <w:vAlign w:val="bottom"/>
          </w:tcPr>
          <w:p>
            <w:pPr>
              <w:spacing w:after="0"/>
              <w:rPr>
                <w:sz w:val="1"/>
                <w:szCs w:val="1"/>
                <w:color w:val="auto"/>
              </w:rPr>
            </w:pPr>
          </w:p>
        </w:tc>
      </w:tr>
      <w:tr>
        <w:trPr>
          <w:trHeight w:val="219"/>
        </w:trPr>
        <w:tc>
          <w:tcPr>
            <w:tcW w:w="19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242424"/>
                <w:w w:val="98"/>
              </w:rPr>
              <w:t>12/08/20</w:t>
            </w:r>
          </w:p>
        </w:tc>
        <w:tc>
          <w:tcPr>
            <w:tcW w:w="780" w:type="dxa"/>
            <w:vAlign w:val="bottom"/>
          </w:tcPr>
          <w:p>
            <w:pPr>
              <w:jc w:val="center"/>
              <w:spacing w:after="0"/>
              <w:rPr>
                <w:sz w:val="20"/>
                <w:szCs w:val="20"/>
                <w:color w:val="auto"/>
              </w:rPr>
            </w:pPr>
            <w:r>
              <w:rPr>
                <w:rFonts w:ascii="Arial" w:cs="Arial" w:eastAsia="Arial" w:hAnsi="Arial"/>
                <w:sz w:val="13"/>
                <w:szCs w:val="13"/>
                <w:color w:val="242424"/>
              </w:rPr>
              <w:t>04/05/21</w:t>
            </w: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242424"/>
                <w:w w:val="96"/>
              </w:rPr>
              <w:t>17,940</w:t>
            </w:r>
            <w:r>
              <w:rPr>
                <w:rFonts w:ascii="Arial" w:cs="Arial" w:eastAsia="Arial" w:hAnsi="Arial"/>
                <w:sz w:val="17"/>
                <w:szCs w:val="17"/>
                <w:color w:val="000000"/>
                <w:w w:val="96"/>
                <w:vertAlign w:val="superscript"/>
              </w:rPr>
              <w:t>(8)</w:t>
            </w:r>
          </w:p>
        </w:tc>
        <w:tc>
          <w:tcPr>
            <w:tcW w:w="1020" w:type="dxa"/>
            <w:vAlign w:val="bottom"/>
          </w:tcPr>
          <w:p>
            <w:pPr>
              <w:jc w:val="right"/>
              <w:spacing w:after="0"/>
              <w:rPr>
                <w:sz w:val="20"/>
                <w:szCs w:val="20"/>
                <w:color w:val="auto"/>
              </w:rPr>
            </w:pPr>
            <w:r>
              <w:rPr>
                <w:rFonts w:ascii="Arial" w:cs="Arial" w:eastAsia="Arial" w:hAnsi="Arial"/>
                <w:sz w:val="13"/>
                <w:szCs w:val="13"/>
                <w:color w:val="242424"/>
              </w:rPr>
              <w:t>8,376,186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-2108200</wp:posOffset>
            </wp:positionV>
            <wp:extent cx="36347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34740"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121285</wp:posOffset>
            </wp:positionV>
            <wp:extent cx="1993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41" w:lineRule="exact"/>
        <w:rPr>
          <w:sz w:val="20"/>
          <w:szCs w:val="20"/>
          <w:color w:val="auto"/>
        </w:rPr>
      </w:pPr>
    </w:p>
    <w:p>
      <w:pPr>
        <w:jc w:val="both"/>
        <w:ind w:left="400" w:right="60" w:hanging="315"/>
        <w:spacing w:after="0" w:line="243" w:lineRule="auto"/>
        <w:tabs>
          <w:tab w:leader="none" w:pos="409" w:val="left"/>
        </w:tabs>
        <w:numPr>
          <w:ilvl w:val="0"/>
          <w:numId w:val="72"/>
        </w:numPr>
        <w:rPr>
          <w:rFonts w:ascii="Arial" w:cs="Arial" w:eastAsia="Arial" w:hAnsi="Arial"/>
          <w:sz w:val="14"/>
          <w:szCs w:val="14"/>
          <w:color w:val="242424"/>
        </w:rPr>
      </w:pPr>
      <w:r>
        <w:rPr>
          <w:rFonts w:ascii="Arial" w:cs="Arial" w:eastAsia="Arial" w:hAnsi="Arial"/>
          <w:sz w:val="14"/>
          <w:szCs w:val="14"/>
          <w:color w:val="242424"/>
        </w:rPr>
        <w:t>The approval date represents the date on which the equity award was approved by the Compensation Committee or the independent directors, as applicable. The grant date is determined in accordance with ASC 718. Awards in this table with a grant date listed as April 5, 2021 were granted effective as of December 15, 2020 but contingent upon stockholder approval of the 2012 Plan at the 2021 annual meeting.</w:t>
      </w:r>
    </w:p>
    <w:p>
      <w:pPr>
        <w:spacing w:after="0" w:line="40" w:lineRule="exact"/>
        <w:rPr>
          <w:rFonts w:ascii="Arial" w:cs="Arial" w:eastAsia="Arial" w:hAnsi="Arial"/>
          <w:sz w:val="14"/>
          <w:szCs w:val="14"/>
          <w:color w:val="242424"/>
        </w:rPr>
      </w:pPr>
    </w:p>
    <w:p>
      <w:pPr>
        <w:ind w:left="400" w:hanging="315"/>
        <w:spacing w:after="0" w:line="238" w:lineRule="auto"/>
        <w:tabs>
          <w:tab w:leader="none" w:pos="412" w:val="left"/>
        </w:tabs>
        <w:numPr>
          <w:ilvl w:val="0"/>
          <w:numId w:val="72"/>
        </w:numPr>
        <w:rPr>
          <w:rFonts w:ascii="Arial" w:cs="Arial" w:eastAsia="Arial" w:hAnsi="Arial"/>
          <w:sz w:val="14"/>
          <w:szCs w:val="14"/>
          <w:color w:val="242424"/>
        </w:rPr>
      </w:pPr>
      <w:r>
        <w:rPr>
          <w:rFonts w:ascii="Arial" w:cs="Arial" w:eastAsia="Arial" w:hAnsi="Arial"/>
          <w:sz w:val="14"/>
          <w:szCs w:val="14"/>
          <w:color w:val="242424"/>
        </w:rPr>
        <w:t>Represents potential payouts under the APB Plan for Fiscal Year 2021. Target bonus amounts were as follows, in each case, as a percentage of eligible earnings: Mr. Tan 200%, Ms. Spears 95% (represents pro-rated percentage due to her promotion on December 10, 2020), Mr. Brazeal 100%, Dr. Kawwas 100% and Mr. Krause 100%. The threshold amounts for Mr. Tan, Dr. Kawwas and Mr. Krause was 12.5% of their respective target bonus amounts, calculated based on the achievement of a single corporate goal at 50% of the target for such goal and with the individual performance multiplier of 50%. The threshold amount for each of Ms. Spears and Mr. Brazeal was 6.25% of their respective target bonus amounts, calculated based on the achievement of a single corporate or divisional goal at 25% of the target for such goal and with the individual performance multiplier of 50%. The maximum bonus payable was 225% of the target bonus amount for Mr. Tan, Dr. Kawwas and Mr. Krause, which assumes maximum (150%) performance for each corporate goal and with the individual performance multiplier of 150%.The maximum bonus payable was 202.5% of the target bonus amount for each of Ms. Spears and Mr. Brazeal, which assumes maximum (150%) performance for each corporate goal and maximum (120%) performance for their divisional goals and with the maximum individual performance multiplier of 150%.</w:t>
      </w:r>
    </w:p>
    <w:p>
      <w:pPr>
        <w:spacing w:after="0" w:line="47" w:lineRule="exact"/>
        <w:rPr>
          <w:rFonts w:ascii="Arial" w:cs="Arial" w:eastAsia="Arial" w:hAnsi="Arial"/>
          <w:sz w:val="14"/>
          <w:szCs w:val="14"/>
          <w:color w:val="242424"/>
        </w:rPr>
      </w:pPr>
    </w:p>
    <w:p>
      <w:pPr>
        <w:jc w:val="both"/>
        <w:ind w:left="400" w:right="760" w:hanging="315"/>
        <w:spacing w:after="0" w:line="250" w:lineRule="auto"/>
        <w:tabs>
          <w:tab w:leader="none" w:pos="451" w:val="left"/>
        </w:tabs>
        <w:numPr>
          <w:ilvl w:val="0"/>
          <w:numId w:val="72"/>
        </w:numPr>
        <w:rPr>
          <w:rFonts w:ascii="Arial" w:cs="Arial" w:eastAsia="Arial" w:hAnsi="Arial"/>
          <w:sz w:val="14"/>
          <w:szCs w:val="14"/>
          <w:color w:val="242424"/>
        </w:rPr>
      </w:pPr>
      <w:r>
        <w:rPr>
          <w:rFonts w:ascii="Arial" w:cs="Arial" w:eastAsia="Arial" w:hAnsi="Arial"/>
          <w:sz w:val="14"/>
          <w:szCs w:val="14"/>
          <w:color w:val="242424"/>
        </w:rPr>
        <w:t>Represents the grant date fair value of the equity awards, as determined in accordance with ASC 718. For a discussion of the valuation assumptions used in the calculations, see Note 2 to the Consolidated Financial Statements included in Part II, Item 8 of our 2021 Annual Report filed with the SEC on December 17, 2021.</w:t>
      </w:r>
    </w:p>
    <w:p>
      <w:pPr>
        <w:spacing w:after="0" w:line="35" w:lineRule="exact"/>
        <w:rPr>
          <w:rFonts w:ascii="Arial" w:cs="Arial" w:eastAsia="Arial" w:hAnsi="Arial"/>
          <w:sz w:val="14"/>
          <w:szCs w:val="14"/>
          <w:color w:val="242424"/>
        </w:rPr>
      </w:pPr>
    </w:p>
    <w:p>
      <w:pPr>
        <w:ind w:left="400" w:right="80" w:hanging="315"/>
        <w:spacing w:after="0" w:line="239" w:lineRule="auto"/>
        <w:tabs>
          <w:tab w:leader="none" w:pos="451" w:val="left"/>
        </w:tabs>
        <w:numPr>
          <w:ilvl w:val="0"/>
          <w:numId w:val="72"/>
        </w:numPr>
        <w:rPr>
          <w:rFonts w:ascii="Arial" w:cs="Arial" w:eastAsia="Arial" w:hAnsi="Arial"/>
          <w:sz w:val="14"/>
          <w:szCs w:val="14"/>
          <w:color w:val="242424"/>
        </w:rPr>
      </w:pPr>
      <w:r>
        <w:rPr>
          <w:rFonts w:ascii="Arial" w:cs="Arial" w:eastAsia="Arial" w:hAnsi="Arial"/>
          <w:sz w:val="14"/>
          <w:szCs w:val="14"/>
          <w:color w:val="242424"/>
        </w:rPr>
        <w:t>Represents a PSU award earned based on our Relative TSR and absolute TSR performance measured over the period beginning on November 2, 2020 and ending on October 29, 2023, as determined by the independent directors and subject to Mr. Tan’s continued employment on the vesting date of October 29, 2023. In the aggregate, Mr. Tan may earn up to 300% of the target number of shares if our Relative TSR is at or above the 75th percentile of the S&amp;P 500 Index and absolute TSR is not negative, provided that no shares will be earned if our Relative TSR is below the 25th percentile of the S&amp;P 500 Index. However, as Mr. Tan has reached the age of 70, if he retires from Broadcom on or after the last day of Fiscal Year 2021, the performance period will end on the date of his retirement notice and vest on his retirement date. In the event Mr. Tan’s employment terminates due to his death or permanent disability prior to October 29, 2023, 100% of the PSU award will automatically vest with respect to the target number of shares.</w:t>
      </w:r>
    </w:p>
    <w:p>
      <w:pPr>
        <w:spacing w:after="0" w:line="43" w:lineRule="exact"/>
        <w:rPr>
          <w:rFonts w:ascii="Arial" w:cs="Arial" w:eastAsia="Arial" w:hAnsi="Arial"/>
          <w:sz w:val="14"/>
          <w:szCs w:val="14"/>
          <w:color w:val="242424"/>
        </w:rPr>
      </w:pPr>
    </w:p>
    <w:p>
      <w:pPr>
        <w:ind w:left="400" w:right="20" w:hanging="315"/>
        <w:spacing w:after="0" w:line="239" w:lineRule="auto"/>
        <w:tabs>
          <w:tab w:leader="none" w:pos="412" w:val="left"/>
        </w:tabs>
        <w:numPr>
          <w:ilvl w:val="0"/>
          <w:numId w:val="72"/>
        </w:numPr>
        <w:rPr>
          <w:rFonts w:ascii="Arial" w:cs="Arial" w:eastAsia="Arial" w:hAnsi="Arial"/>
          <w:sz w:val="14"/>
          <w:szCs w:val="14"/>
          <w:color w:val="242424"/>
        </w:rPr>
      </w:pPr>
      <w:r>
        <w:rPr>
          <w:rFonts w:ascii="Arial" w:cs="Arial" w:eastAsia="Arial" w:hAnsi="Arial"/>
          <w:sz w:val="14"/>
          <w:szCs w:val="14"/>
          <w:color w:val="242424"/>
        </w:rPr>
        <w:t>Represents a PSU award earned based on our Relative TSR and absolute TSR over four overlapping performance periods that begin on March 2, 2020 and end on March 1 of 2021, 2022, 2023 and 2024, as determined by the Compensation Committee. The number of shares that may be earned is capped at 25% of the target number of shares for each of the first three performance periods. In the aggregate, Ms. Spears may earn up to 200% of the target number of shares if during the fourth performance period our Relative TSR is at or above the 75th percentile of the S&amp;P 500 Index and our absolute TSR is not negative, provided that no shares will be earned for a performance period if our Relative TSR is below the 25th percentile of the S&amp;P 500 Index. This PSU award will vest on each anniversary of the grant date, subject to Ms. Spears’ continued employment as of the vesting dates.</w:t>
      </w:r>
    </w:p>
    <w:p>
      <w:pPr>
        <w:spacing w:after="0" w:line="45" w:lineRule="exact"/>
        <w:rPr>
          <w:rFonts w:ascii="Arial" w:cs="Arial" w:eastAsia="Arial" w:hAnsi="Arial"/>
          <w:sz w:val="14"/>
          <w:szCs w:val="14"/>
          <w:color w:val="242424"/>
        </w:rPr>
      </w:pPr>
    </w:p>
    <w:p>
      <w:pPr>
        <w:ind w:left="400" w:right="420" w:hanging="315"/>
        <w:spacing w:after="0" w:line="250" w:lineRule="auto"/>
        <w:tabs>
          <w:tab w:leader="none" w:pos="412" w:val="left"/>
        </w:tabs>
        <w:numPr>
          <w:ilvl w:val="0"/>
          <w:numId w:val="72"/>
        </w:numPr>
        <w:rPr>
          <w:rFonts w:ascii="Arial" w:cs="Arial" w:eastAsia="Arial" w:hAnsi="Arial"/>
          <w:sz w:val="14"/>
          <w:szCs w:val="14"/>
          <w:color w:val="242424"/>
        </w:rPr>
      </w:pPr>
      <w:r>
        <w:rPr>
          <w:rFonts w:ascii="Arial" w:cs="Arial" w:eastAsia="Arial" w:hAnsi="Arial"/>
          <w:sz w:val="14"/>
          <w:szCs w:val="14"/>
          <w:color w:val="242424"/>
        </w:rPr>
        <w:t>Represents a service-based RSU award that will vest over four years at a rate of 25% per year on each anniversary of the grant date, subject to Ms. Spears’ continued employment on the relevant vesting dates.</w:t>
      </w:r>
    </w:p>
    <w:p>
      <w:pPr>
        <w:spacing w:after="0" w:line="35" w:lineRule="exact"/>
        <w:rPr>
          <w:rFonts w:ascii="Arial" w:cs="Arial" w:eastAsia="Arial" w:hAnsi="Arial"/>
          <w:sz w:val="14"/>
          <w:szCs w:val="14"/>
          <w:color w:val="242424"/>
        </w:rPr>
      </w:pPr>
    </w:p>
    <w:p>
      <w:pPr>
        <w:ind w:left="400" w:right="60" w:hanging="315"/>
        <w:spacing w:after="0" w:line="241" w:lineRule="auto"/>
        <w:tabs>
          <w:tab w:leader="none" w:pos="412" w:val="left"/>
        </w:tabs>
        <w:numPr>
          <w:ilvl w:val="0"/>
          <w:numId w:val="72"/>
        </w:numPr>
        <w:rPr>
          <w:rFonts w:ascii="Arial" w:cs="Arial" w:eastAsia="Arial" w:hAnsi="Arial"/>
          <w:sz w:val="14"/>
          <w:szCs w:val="14"/>
          <w:color w:val="242424"/>
        </w:rPr>
      </w:pPr>
      <w:r>
        <w:rPr>
          <w:rFonts w:ascii="Arial" w:cs="Arial" w:eastAsia="Arial" w:hAnsi="Arial"/>
          <w:sz w:val="14"/>
          <w:szCs w:val="14"/>
          <w:color w:val="242424"/>
        </w:rPr>
        <w:t>Represents PSU awards earned based on our Relative TSR and absolute TSR measured over the period beginning on November 2, 2020 and ending on October 29, 2023, as determined by the Compensation Committee, subject to the NEO’s continued employment on the vesting date of October 29, 2023. In the aggregate, the NEO may earn up to 200% of the target number of shares if our Relative TSR is at or above the 75th percentile of the S&amp;P 500 Index and our absolute TSR is not negative, provided that no shares will be earned if our Relative TSR is below the 25th percentile of the S&amp;P 500 Index.</w:t>
      </w:r>
    </w:p>
    <w:p>
      <w:pPr>
        <w:spacing w:after="0" w:line="42" w:lineRule="exact"/>
        <w:rPr>
          <w:rFonts w:ascii="Arial" w:cs="Arial" w:eastAsia="Arial" w:hAnsi="Arial"/>
          <w:sz w:val="14"/>
          <w:szCs w:val="14"/>
          <w:color w:val="242424"/>
        </w:rPr>
      </w:pPr>
    </w:p>
    <w:p>
      <w:pPr>
        <w:ind w:left="400" w:right="420" w:hanging="315"/>
        <w:spacing w:after="0" w:line="250" w:lineRule="auto"/>
        <w:tabs>
          <w:tab w:leader="none" w:pos="412" w:val="left"/>
        </w:tabs>
        <w:numPr>
          <w:ilvl w:val="0"/>
          <w:numId w:val="72"/>
        </w:numPr>
        <w:rPr>
          <w:rFonts w:ascii="Arial" w:cs="Arial" w:eastAsia="Arial" w:hAnsi="Arial"/>
          <w:sz w:val="14"/>
          <w:szCs w:val="14"/>
          <w:color w:val="242424"/>
        </w:rPr>
      </w:pPr>
      <w:r>
        <w:rPr>
          <w:rFonts w:ascii="Arial" w:cs="Arial" w:eastAsia="Arial" w:hAnsi="Arial"/>
          <w:sz w:val="14"/>
          <w:szCs w:val="14"/>
          <w:color w:val="242424"/>
        </w:rPr>
        <w:t>Represents service-based RSU awards that will vest over three years at a rate of one-third on each anniversary of December 15, 2020, subject to the NEO’s continued employment on the relevant vesting dates.</w:t>
      </w:r>
    </w:p>
    <w:p>
      <w:pPr>
        <w:spacing w:after="0" w:line="200" w:lineRule="exact"/>
        <w:rPr>
          <w:sz w:val="20"/>
          <w:szCs w:val="20"/>
          <w:color w:val="auto"/>
        </w:rPr>
      </w:pPr>
    </w:p>
    <w:p>
      <w:pPr>
        <w:spacing w:after="0" w:line="230" w:lineRule="exact"/>
        <w:rPr>
          <w:sz w:val="20"/>
          <w:szCs w:val="20"/>
          <w:color w:val="auto"/>
        </w:rPr>
      </w:pPr>
    </w:p>
    <w:p>
      <w:pPr>
        <w:ind w:left="360" w:hanging="354"/>
        <w:spacing w:after="0"/>
        <w:tabs>
          <w:tab w:leader="none" w:pos="360" w:val="left"/>
        </w:tabs>
        <w:numPr>
          <w:ilvl w:val="0"/>
          <w:numId w:val="73"/>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40"/>
          </w:cols>
          <w:pgMar w:left="320" w:top="340" w:right="339" w:bottom="1440" w:gutter="0" w:footer="0" w:header="0"/>
        </w:sectPr>
      </w:pPr>
    </w:p>
    <w:bookmarkStart w:id="49" w:name="page50"/>
    <w:bookmarkEnd w:id="49"/>
    <w:p>
      <w:pPr>
        <w:ind w:left="9000"/>
        <w:spacing w:after="0"/>
        <w:rPr>
          <w:sz w:val="20"/>
          <w:szCs w:val="20"/>
          <w:color w:val="auto"/>
        </w:rPr>
      </w:pPr>
      <w:r>
        <w:rPr>
          <w:rFonts w:ascii="Arial" w:cs="Arial" w:eastAsia="Arial" w:hAnsi="Arial"/>
          <w:sz w:val="15"/>
          <w:szCs w:val="15"/>
          <w:color w:val="CC092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Fiscal Year 2021 Outstanding Equity Awards at Fiscal Year-End Table</w:t>
      </w:r>
    </w:p>
    <w:p>
      <w:pPr>
        <w:spacing w:after="0" w:line="188"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242424"/>
        </w:rPr>
        <w:t>The following table sets forth information about stock options and RSU awards outstanding on October 31, 2021, the last day of Fiscal Year 2021, held by each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7042150" cy="546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42150" cy="546735"/>
                    </a:xfrm>
                    <a:prstGeom prst="rect">
                      <a:avLst/>
                    </a:prstGeom>
                    <a:noFill/>
                  </pic:spPr>
                </pic:pic>
              </a:graphicData>
            </a:graphic>
          </wp:anchor>
        </w:drawing>
      </w:r>
    </w:p>
    <w:p>
      <w:pPr>
        <w:spacing w:after="0" w:line="104"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16"/>
          <w:szCs w:val="16"/>
          <w:b w:val="1"/>
          <w:bCs w:val="1"/>
          <w:color w:val="FFFFFF"/>
          <w:vertAlign w:val="superscript"/>
        </w:rPr>
        <w:t>(1)</w:t>
      </w:r>
    </w:p>
    <w:tbl>
      <w:tblPr>
        <w:tblLayout w:type="fixed"/>
        <w:tblInd w:w="80" w:type="dxa"/>
        <w:tblCellMar>
          <w:top w:w="0" w:type="dxa"/>
          <w:left w:w="0" w:type="dxa"/>
          <w:bottom w:w="0" w:type="dxa"/>
          <w:right w:w="0" w:type="dxa"/>
        </w:tblCellMar>
      </w:tblPr>
      <w:tr>
        <w:trPr>
          <w:trHeight w:val="134"/>
        </w:trPr>
        <w:tc>
          <w:tcPr>
            <w:tcW w:w="1880" w:type="dxa"/>
            <w:vAlign w:val="bottom"/>
          </w:tcPr>
          <w:p>
            <w:pPr>
              <w:spacing w:after="0"/>
              <w:rPr>
                <w:sz w:val="11"/>
                <w:szCs w:val="11"/>
                <w:color w:val="auto"/>
              </w:rPr>
            </w:pPr>
          </w:p>
        </w:tc>
        <w:tc>
          <w:tcPr>
            <w:tcW w:w="860" w:type="dxa"/>
            <w:vAlign w:val="bottom"/>
            <w:shd w:val="clear" w:color="auto" w:fill="B8B8B8"/>
          </w:tcPr>
          <w:p>
            <w:pPr>
              <w:spacing w:after="0"/>
              <w:rPr>
                <w:sz w:val="11"/>
                <w:szCs w:val="11"/>
                <w:color w:val="auto"/>
              </w:rPr>
            </w:pPr>
          </w:p>
        </w:tc>
        <w:tc>
          <w:tcPr>
            <w:tcW w:w="1420" w:type="dxa"/>
            <w:vAlign w:val="bottom"/>
            <w:vMerge w:val="restart"/>
            <w:shd w:val="clear" w:color="auto" w:fill="B8B8B8"/>
          </w:tcPr>
          <w:p>
            <w:pPr>
              <w:jc w:val="center"/>
              <w:spacing w:after="0"/>
              <w:rPr>
                <w:sz w:val="20"/>
                <w:szCs w:val="20"/>
                <w:color w:val="auto"/>
              </w:rPr>
            </w:pPr>
            <w:r>
              <w:rPr>
                <w:rFonts w:ascii="Arial" w:cs="Arial" w:eastAsia="Arial" w:hAnsi="Arial"/>
                <w:sz w:val="12"/>
                <w:szCs w:val="12"/>
                <w:b w:val="1"/>
                <w:bCs w:val="1"/>
                <w:color w:val="FFFFFF"/>
              </w:rPr>
              <w:t>Number of Shares or</w:t>
            </w:r>
          </w:p>
        </w:tc>
        <w:tc>
          <w:tcPr>
            <w:tcW w:w="1500" w:type="dxa"/>
            <w:vAlign w:val="bottom"/>
            <w:vMerge w:val="restart"/>
            <w:shd w:val="clear" w:color="auto" w:fill="B8B8B8"/>
          </w:tcPr>
          <w:p>
            <w:pPr>
              <w:jc w:val="center"/>
              <w:spacing w:after="0"/>
              <w:rPr>
                <w:sz w:val="20"/>
                <w:szCs w:val="20"/>
                <w:color w:val="auto"/>
              </w:rPr>
            </w:pPr>
            <w:r>
              <w:rPr>
                <w:rFonts w:ascii="Arial" w:cs="Arial" w:eastAsia="Arial" w:hAnsi="Arial"/>
                <w:sz w:val="12"/>
                <w:szCs w:val="12"/>
                <w:b w:val="1"/>
                <w:bCs w:val="1"/>
                <w:color w:val="FFFFFF"/>
              </w:rPr>
              <w:t>Market Value of Shares</w:t>
            </w:r>
          </w:p>
        </w:tc>
        <w:tc>
          <w:tcPr>
            <w:tcW w:w="2180" w:type="dxa"/>
            <w:vAlign w:val="bottom"/>
            <w:shd w:val="clear" w:color="auto" w:fill="B8B8B8"/>
          </w:tcPr>
          <w:p>
            <w:pPr>
              <w:jc w:val="center"/>
              <w:spacing w:after="0" w:line="134" w:lineRule="exact"/>
              <w:rPr>
                <w:sz w:val="20"/>
                <w:szCs w:val="20"/>
                <w:color w:val="auto"/>
              </w:rPr>
            </w:pPr>
            <w:r>
              <w:rPr>
                <w:rFonts w:ascii="Arial" w:cs="Arial" w:eastAsia="Arial" w:hAnsi="Arial"/>
                <w:sz w:val="12"/>
                <w:szCs w:val="12"/>
                <w:b w:val="1"/>
                <w:bCs w:val="1"/>
                <w:color w:val="FFFFFF"/>
              </w:rPr>
              <w:t>Equity Incentive Plan Awards:</w:t>
            </w:r>
          </w:p>
        </w:tc>
        <w:tc>
          <w:tcPr>
            <w:tcW w:w="1760" w:type="dxa"/>
            <w:vAlign w:val="bottom"/>
            <w:shd w:val="clear" w:color="auto" w:fill="B8B8B8"/>
          </w:tcPr>
          <w:p>
            <w:pPr>
              <w:jc w:val="center"/>
              <w:spacing w:after="0" w:line="134" w:lineRule="exact"/>
              <w:rPr>
                <w:sz w:val="20"/>
                <w:szCs w:val="20"/>
                <w:color w:val="auto"/>
              </w:rPr>
            </w:pPr>
            <w:r>
              <w:rPr>
                <w:rFonts w:ascii="Arial" w:cs="Arial" w:eastAsia="Arial" w:hAnsi="Arial"/>
                <w:sz w:val="12"/>
                <w:szCs w:val="12"/>
                <w:b w:val="1"/>
                <w:bCs w:val="1"/>
                <w:color w:val="FFFFFF"/>
              </w:rPr>
              <w:t>Market Value of Unearned</w:t>
            </w:r>
          </w:p>
        </w:tc>
        <w:tc>
          <w:tcPr>
            <w:tcW w:w="1500" w:type="dxa"/>
            <w:vAlign w:val="bottom"/>
            <w:shd w:val="clear" w:color="auto" w:fill="B8B8B8"/>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860" w:type="dxa"/>
            <w:vAlign w:val="bottom"/>
            <w:shd w:val="clear" w:color="auto" w:fill="B8B8B8"/>
          </w:tcPr>
          <w:p>
            <w:pPr>
              <w:spacing w:after="0"/>
              <w:rPr>
                <w:sz w:val="10"/>
                <w:szCs w:val="10"/>
                <w:color w:val="auto"/>
              </w:rPr>
            </w:pPr>
          </w:p>
        </w:tc>
        <w:tc>
          <w:tcPr>
            <w:tcW w:w="1420" w:type="dxa"/>
            <w:vAlign w:val="bottom"/>
            <w:vMerge w:val="continue"/>
            <w:shd w:val="clear" w:color="auto" w:fill="B8B8B8"/>
          </w:tcPr>
          <w:p>
            <w:pPr>
              <w:spacing w:after="0"/>
              <w:rPr>
                <w:sz w:val="10"/>
                <w:szCs w:val="10"/>
                <w:color w:val="auto"/>
              </w:rPr>
            </w:pPr>
          </w:p>
        </w:tc>
        <w:tc>
          <w:tcPr>
            <w:tcW w:w="1500" w:type="dxa"/>
            <w:vAlign w:val="bottom"/>
            <w:vMerge w:val="continue"/>
            <w:shd w:val="clear" w:color="auto" w:fill="B8B8B8"/>
          </w:tcPr>
          <w:p>
            <w:pPr>
              <w:spacing w:after="0"/>
              <w:rPr>
                <w:sz w:val="10"/>
                <w:szCs w:val="10"/>
                <w:color w:val="auto"/>
              </w:rPr>
            </w:pPr>
          </w:p>
        </w:tc>
        <w:tc>
          <w:tcPr>
            <w:tcW w:w="2180" w:type="dxa"/>
            <w:vAlign w:val="bottom"/>
            <w:shd w:val="clear" w:color="auto" w:fill="B8B8B8"/>
          </w:tcPr>
          <w:p>
            <w:pPr>
              <w:jc w:val="center"/>
              <w:spacing w:after="0" w:line="120" w:lineRule="exact"/>
              <w:rPr>
                <w:sz w:val="20"/>
                <w:szCs w:val="20"/>
                <w:color w:val="auto"/>
              </w:rPr>
            </w:pPr>
            <w:r>
              <w:rPr>
                <w:rFonts w:ascii="Arial" w:cs="Arial" w:eastAsia="Arial" w:hAnsi="Arial"/>
                <w:sz w:val="12"/>
                <w:szCs w:val="12"/>
                <w:b w:val="1"/>
                <w:bCs w:val="1"/>
                <w:color w:val="FFFFFF"/>
              </w:rPr>
              <w:t>Number of Unearned Shares, Units</w:t>
            </w:r>
          </w:p>
        </w:tc>
        <w:tc>
          <w:tcPr>
            <w:tcW w:w="1760" w:type="dxa"/>
            <w:vAlign w:val="bottom"/>
            <w:shd w:val="clear" w:color="auto" w:fill="B8B8B8"/>
          </w:tcPr>
          <w:p>
            <w:pPr>
              <w:jc w:val="center"/>
              <w:spacing w:after="0" w:line="120" w:lineRule="exact"/>
              <w:rPr>
                <w:sz w:val="20"/>
                <w:szCs w:val="20"/>
                <w:color w:val="auto"/>
              </w:rPr>
            </w:pPr>
            <w:r>
              <w:rPr>
                <w:rFonts w:ascii="Arial" w:cs="Arial" w:eastAsia="Arial" w:hAnsi="Arial"/>
                <w:sz w:val="12"/>
                <w:szCs w:val="12"/>
                <w:b w:val="1"/>
                <w:bCs w:val="1"/>
                <w:color w:val="FFFFFF"/>
              </w:rPr>
              <w:t>Shares, Units or Other</w:t>
            </w:r>
          </w:p>
        </w:tc>
        <w:tc>
          <w:tcPr>
            <w:tcW w:w="1500" w:type="dxa"/>
            <w:vAlign w:val="bottom"/>
            <w:shd w:val="clear" w:color="auto" w:fill="B8B8B8"/>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860" w:type="dxa"/>
            <w:vAlign w:val="bottom"/>
            <w:shd w:val="clear" w:color="auto" w:fill="B8B8B8"/>
          </w:tcPr>
          <w:p>
            <w:pPr>
              <w:spacing w:after="0"/>
              <w:rPr>
                <w:sz w:val="10"/>
                <w:szCs w:val="10"/>
                <w:color w:val="auto"/>
              </w:rPr>
            </w:pPr>
          </w:p>
        </w:tc>
        <w:tc>
          <w:tcPr>
            <w:tcW w:w="1420" w:type="dxa"/>
            <w:vAlign w:val="bottom"/>
            <w:shd w:val="clear" w:color="auto" w:fill="B8B8B8"/>
          </w:tcPr>
          <w:p>
            <w:pPr>
              <w:jc w:val="center"/>
              <w:spacing w:after="0" w:line="120" w:lineRule="exact"/>
              <w:rPr>
                <w:sz w:val="20"/>
                <w:szCs w:val="20"/>
                <w:color w:val="auto"/>
              </w:rPr>
            </w:pPr>
            <w:r>
              <w:rPr>
                <w:rFonts w:ascii="Arial" w:cs="Arial" w:eastAsia="Arial" w:hAnsi="Arial"/>
                <w:sz w:val="12"/>
                <w:szCs w:val="12"/>
                <w:b w:val="1"/>
                <w:bCs w:val="1"/>
                <w:color w:val="FFFFFF"/>
              </w:rPr>
              <w:t>Units of Stock that</w:t>
            </w:r>
          </w:p>
        </w:tc>
        <w:tc>
          <w:tcPr>
            <w:tcW w:w="1500" w:type="dxa"/>
            <w:vAlign w:val="bottom"/>
            <w:shd w:val="clear" w:color="auto" w:fill="B8B8B8"/>
          </w:tcPr>
          <w:p>
            <w:pPr>
              <w:jc w:val="center"/>
              <w:spacing w:after="0" w:line="120" w:lineRule="exact"/>
              <w:rPr>
                <w:sz w:val="20"/>
                <w:szCs w:val="20"/>
                <w:color w:val="auto"/>
              </w:rPr>
            </w:pPr>
            <w:r>
              <w:rPr>
                <w:rFonts w:ascii="Arial" w:cs="Arial" w:eastAsia="Arial" w:hAnsi="Arial"/>
                <w:sz w:val="12"/>
                <w:szCs w:val="12"/>
                <w:b w:val="1"/>
                <w:bCs w:val="1"/>
                <w:color w:val="FFFFFF"/>
              </w:rPr>
              <w:t>or Units of Stock that</w:t>
            </w:r>
          </w:p>
        </w:tc>
        <w:tc>
          <w:tcPr>
            <w:tcW w:w="2180" w:type="dxa"/>
            <w:vAlign w:val="bottom"/>
            <w:shd w:val="clear" w:color="auto" w:fill="B8B8B8"/>
          </w:tcPr>
          <w:p>
            <w:pPr>
              <w:jc w:val="center"/>
              <w:spacing w:after="0" w:line="120" w:lineRule="exact"/>
              <w:rPr>
                <w:sz w:val="20"/>
                <w:szCs w:val="20"/>
                <w:color w:val="auto"/>
              </w:rPr>
            </w:pPr>
            <w:r>
              <w:rPr>
                <w:rFonts w:ascii="Arial" w:cs="Arial" w:eastAsia="Arial" w:hAnsi="Arial"/>
                <w:sz w:val="12"/>
                <w:szCs w:val="12"/>
                <w:b w:val="1"/>
                <w:bCs w:val="1"/>
                <w:color w:val="FFFFFF"/>
              </w:rPr>
              <w:t>or Other Rights that Have Not</w:t>
            </w:r>
          </w:p>
        </w:tc>
        <w:tc>
          <w:tcPr>
            <w:tcW w:w="1760" w:type="dxa"/>
            <w:vAlign w:val="bottom"/>
            <w:shd w:val="clear" w:color="auto" w:fill="B8B8B8"/>
          </w:tcPr>
          <w:p>
            <w:pPr>
              <w:jc w:val="center"/>
              <w:spacing w:after="0" w:line="120" w:lineRule="exact"/>
              <w:rPr>
                <w:sz w:val="20"/>
                <w:szCs w:val="20"/>
                <w:color w:val="auto"/>
              </w:rPr>
            </w:pPr>
            <w:r>
              <w:rPr>
                <w:rFonts w:ascii="Arial" w:cs="Arial" w:eastAsia="Arial" w:hAnsi="Arial"/>
                <w:sz w:val="12"/>
                <w:szCs w:val="12"/>
                <w:b w:val="1"/>
                <w:bCs w:val="1"/>
                <w:color w:val="FFFFFF"/>
              </w:rPr>
              <w:t>Rights that Have Not</w:t>
            </w:r>
          </w:p>
        </w:tc>
        <w:tc>
          <w:tcPr>
            <w:tcW w:w="1500" w:type="dxa"/>
            <w:vAlign w:val="bottom"/>
            <w:vMerge w:val="restart"/>
            <w:shd w:val="clear" w:color="auto" w:fill="B8B8B8"/>
          </w:tcPr>
          <w:p>
            <w:pPr>
              <w:jc w:val="center"/>
              <w:spacing w:after="0"/>
              <w:rPr>
                <w:sz w:val="20"/>
                <w:szCs w:val="20"/>
                <w:color w:val="auto"/>
              </w:rPr>
            </w:pPr>
            <w:r>
              <w:rPr>
                <w:rFonts w:ascii="Arial" w:cs="Arial" w:eastAsia="Arial" w:hAnsi="Arial"/>
                <w:sz w:val="12"/>
                <w:szCs w:val="12"/>
                <w:b w:val="1"/>
                <w:bCs w:val="1"/>
                <w:color w:val="FFFFFF"/>
              </w:rPr>
              <w:t>2019 Multi-Year Equity</w:t>
            </w:r>
          </w:p>
        </w:tc>
        <w:tc>
          <w:tcPr>
            <w:tcW w:w="0" w:type="dxa"/>
            <w:vAlign w:val="bottom"/>
          </w:tcPr>
          <w:p>
            <w:pPr>
              <w:spacing w:after="0"/>
              <w:rPr>
                <w:sz w:val="1"/>
                <w:szCs w:val="1"/>
                <w:color w:val="auto"/>
              </w:rPr>
            </w:pPr>
          </w:p>
        </w:tc>
      </w:tr>
      <w:tr>
        <w:trPr>
          <w:trHeight w:val="119"/>
        </w:trPr>
        <w:tc>
          <w:tcPr>
            <w:tcW w:w="1880" w:type="dxa"/>
            <w:vAlign w:val="bottom"/>
            <w:vMerge w:val="restart"/>
          </w:tcPr>
          <w:p>
            <w:pPr>
              <w:ind w:left="60"/>
              <w:spacing w:after="0"/>
              <w:rPr>
                <w:sz w:val="20"/>
                <w:szCs w:val="20"/>
                <w:color w:val="auto"/>
              </w:rPr>
            </w:pPr>
            <w:r>
              <w:rPr>
                <w:rFonts w:ascii="Arial" w:cs="Arial" w:eastAsia="Arial" w:hAnsi="Arial"/>
                <w:sz w:val="12"/>
                <w:szCs w:val="12"/>
                <w:b w:val="1"/>
                <w:bCs w:val="1"/>
                <w:color w:val="FFFFFF"/>
              </w:rPr>
              <w:t>Name</w:t>
            </w:r>
          </w:p>
        </w:tc>
        <w:tc>
          <w:tcPr>
            <w:tcW w:w="860" w:type="dxa"/>
            <w:vAlign w:val="bottom"/>
            <w:vMerge w:val="restart"/>
            <w:shd w:val="clear" w:color="auto" w:fill="B8B8B8"/>
          </w:tcPr>
          <w:p>
            <w:pPr>
              <w:jc w:val="center"/>
              <w:spacing w:after="0"/>
              <w:rPr>
                <w:sz w:val="20"/>
                <w:szCs w:val="20"/>
                <w:color w:val="auto"/>
              </w:rPr>
            </w:pPr>
            <w:r>
              <w:rPr>
                <w:rFonts w:ascii="Arial" w:cs="Arial" w:eastAsia="Arial" w:hAnsi="Arial"/>
                <w:sz w:val="12"/>
                <w:szCs w:val="12"/>
                <w:b w:val="1"/>
                <w:bCs w:val="1"/>
                <w:color w:val="FFFFFF"/>
              </w:rPr>
              <w:t>Grant Date</w:t>
            </w:r>
          </w:p>
        </w:tc>
        <w:tc>
          <w:tcPr>
            <w:tcW w:w="1420" w:type="dxa"/>
            <w:vAlign w:val="bottom"/>
            <w:shd w:val="clear" w:color="auto" w:fill="B8B8B8"/>
          </w:tcPr>
          <w:p>
            <w:pPr>
              <w:jc w:val="right"/>
              <w:ind w:right="179"/>
              <w:spacing w:after="0" w:line="120" w:lineRule="exact"/>
              <w:rPr>
                <w:sz w:val="20"/>
                <w:szCs w:val="20"/>
                <w:color w:val="auto"/>
              </w:rPr>
            </w:pPr>
            <w:r>
              <w:rPr>
                <w:rFonts w:ascii="Arial" w:cs="Arial" w:eastAsia="Arial" w:hAnsi="Arial"/>
                <w:sz w:val="12"/>
                <w:szCs w:val="12"/>
                <w:b w:val="1"/>
                <w:bCs w:val="1"/>
                <w:color w:val="FFFFFF"/>
              </w:rPr>
              <w:t>Have Not Vested</w:t>
            </w:r>
          </w:p>
        </w:tc>
        <w:tc>
          <w:tcPr>
            <w:tcW w:w="1500" w:type="dxa"/>
            <w:vAlign w:val="bottom"/>
            <w:shd w:val="clear" w:color="auto" w:fill="B8B8B8"/>
          </w:tcPr>
          <w:p>
            <w:pPr>
              <w:jc w:val="right"/>
              <w:ind w:right="219"/>
              <w:spacing w:after="0" w:line="120" w:lineRule="exact"/>
              <w:rPr>
                <w:sz w:val="20"/>
                <w:szCs w:val="20"/>
                <w:color w:val="auto"/>
              </w:rPr>
            </w:pPr>
            <w:r>
              <w:rPr>
                <w:rFonts w:ascii="Arial" w:cs="Arial" w:eastAsia="Arial" w:hAnsi="Arial"/>
                <w:sz w:val="12"/>
                <w:szCs w:val="12"/>
                <w:b w:val="1"/>
                <w:bCs w:val="1"/>
                <w:color w:val="FFFFFF"/>
              </w:rPr>
              <w:t>Have Not Vested</w:t>
            </w:r>
          </w:p>
        </w:tc>
        <w:tc>
          <w:tcPr>
            <w:tcW w:w="2180" w:type="dxa"/>
            <w:vAlign w:val="bottom"/>
            <w:shd w:val="clear" w:color="auto" w:fill="B8B8B8"/>
          </w:tcPr>
          <w:p>
            <w:pPr>
              <w:jc w:val="right"/>
              <w:ind w:right="839"/>
              <w:spacing w:after="0" w:line="120" w:lineRule="exact"/>
              <w:rPr>
                <w:sz w:val="20"/>
                <w:szCs w:val="20"/>
                <w:color w:val="auto"/>
              </w:rPr>
            </w:pPr>
            <w:r>
              <w:rPr>
                <w:rFonts w:ascii="Arial" w:cs="Arial" w:eastAsia="Arial" w:hAnsi="Arial"/>
                <w:sz w:val="12"/>
                <w:szCs w:val="12"/>
                <w:b w:val="1"/>
                <w:bCs w:val="1"/>
                <w:color w:val="FFFFFF"/>
              </w:rPr>
              <w:t>Vested</w:t>
            </w:r>
          </w:p>
        </w:tc>
        <w:tc>
          <w:tcPr>
            <w:tcW w:w="1760" w:type="dxa"/>
            <w:vAlign w:val="bottom"/>
            <w:shd w:val="clear" w:color="auto" w:fill="B8B8B8"/>
          </w:tcPr>
          <w:p>
            <w:pPr>
              <w:jc w:val="right"/>
              <w:ind w:right="639"/>
              <w:spacing w:after="0" w:line="120" w:lineRule="exact"/>
              <w:rPr>
                <w:sz w:val="20"/>
                <w:szCs w:val="20"/>
                <w:color w:val="auto"/>
              </w:rPr>
            </w:pPr>
            <w:r>
              <w:rPr>
                <w:rFonts w:ascii="Arial" w:cs="Arial" w:eastAsia="Arial" w:hAnsi="Arial"/>
                <w:sz w:val="12"/>
                <w:szCs w:val="12"/>
                <w:b w:val="1"/>
                <w:bCs w:val="1"/>
                <w:color w:val="FFFFFF"/>
              </w:rPr>
              <w:t>Vested</w:t>
            </w:r>
          </w:p>
        </w:tc>
        <w:tc>
          <w:tcPr>
            <w:tcW w:w="1500" w:type="dxa"/>
            <w:vAlign w:val="bottom"/>
            <w:vMerge w:val="continue"/>
            <w:shd w:val="clear" w:color="auto" w:fill="B8B8B8"/>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880" w:type="dxa"/>
            <w:vAlign w:val="bottom"/>
            <w:tcBorders>
              <w:bottom w:val="single" w:sz="8" w:color="CC092F"/>
            </w:tcBorders>
            <w:vMerge w:val="continue"/>
          </w:tcPr>
          <w:p>
            <w:pPr>
              <w:spacing w:after="0"/>
              <w:rPr>
                <w:sz w:val="14"/>
                <w:szCs w:val="14"/>
                <w:color w:val="auto"/>
              </w:rPr>
            </w:pPr>
          </w:p>
        </w:tc>
        <w:tc>
          <w:tcPr>
            <w:tcW w:w="860" w:type="dxa"/>
            <w:vAlign w:val="bottom"/>
            <w:tcBorders>
              <w:bottom w:val="single" w:sz="8" w:color="CC092F"/>
            </w:tcBorders>
            <w:vMerge w:val="continue"/>
            <w:shd w:val="clear" w:color="auto" w:fill="B8B8B8"/>
          </w:tcPr>
          <w:p>
            <w:pPr>
              <w:spacing w:after="0"/>
              <w:rPr>
                <w:sz w:val="14"/>
                <w:szCs w:val="14"/>
                <w:color w:val="auto"/>
              </w:rPr>
            </w:pPr>
          </w:p>
        </w:tc>
        <w:tc>
          <w:tcPr>
            <w:tcW w:w="142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2"/>
                <w:szCs w:val="12"/>
                <w:b w:val="1"/>
                <w:bCs w:val="1"/>
                <w:color w:val="FFFFFF"/>
                <w:w w:val="95"/>
              </w:rPr>
              <w:t>(#)</w:t>
            </w:r>
          </w:p>
        </w:tc>
        <w:tc>
          <w:tcPr>
            <w:tcW w:w="1500" w:type="dxa"/>
            <w:vAlign w:val="bottom"/>
            <w:tcBorders>
              <w:bottom w:val="single" w:sz="8" w:color="CC092F"/>
            </w:tcBorders>
            <w:shd w:val="clear" w:color="auto" w:fill="B8B8B8"/>
          </w:tcPr>
          <w:p>
            <w:pPr>
              <w:jc w:val="center"/>
              <w:spacing w:after="0" w:line="173"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7"/>
                <w:szCs w:val="7"/>
                <w:b w:val="1"/>
                <w:bCs w:val="1"/>
                <w:color w:val="FFFFFF"/>
              </w:rPr>
              <w:t>(2)</w:t>
            </w:r>
          </w:p>
        </w:tc>
        <w:tc>
          <w:tcPr>
            <w:tcW w:w="218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2"/>
                <w:szCs w:val="12"/>
                <w:b w:val="1"/>
                <w:bCs w:val="1"/>
                <w:color w:val="FFFFFF"/>
                <w:w w:val="95"/>
              </w:rPr>
              <w:t>(#)</w:t>
            </w:r>
          </w:p>
        </w:tc>
        <w:tc>
          <w:tcPr>
            <w:tcW w:w="1760" w:type="dxa"/>
            <w:vAlign w:val="bottom"/>
            <w:tcBorders>
              <w:bottom w:val="single" w:sz="8" w:color="CC092F"/>
            </w:tcBorders>
            <w:shd w:val="clear" w:color="auto" w:fill="B8B8B8"/>
          </w:tcPr>
          <w:p>
            <w:pPr>
              <w:jc w:val="center"/>
              <w:spacing w:after="0" w:line="173" w:lineRule="exact"/>
              <w:rPr>
                <w:sz w:val="20"/>
                <w:szCs w:val="20"/>
                <w:color w:val="auto"/>
              </w:rPr>
            </w:pPr>
            <w:r>
              <w:rPr>
                <w:rFonts w:ascii="Arial" w:cs="Arial" w:eastAsia="Arial" w:hAnsi="Arial"/>
                <w:sz w:val="19"/>
                <w:szCs w:val="19"/>
                <w:b w:val="1"/>
                <w:bCs w:val="1"/>
                <w:color w:val="FFFFFF"/>
                <w:w w:val="99"/>
                <w:vertAlign w:val="subscript"/>
              </w:rPr>
              <w:t>($)</w:t>
            </w:r>
            <w:r>
              <w:rPr>
                <w:rFonts w:ascii="Arial" w:cs="Arial" w:eastAsia="Arial" w:hAnsi="Arial"/>
                <w:sz w:val="7"/>
                <w:szCs w:val="7"/>
                <w:b w:val="1"/>
                <w:bCs w:val="1"/>
                <w:color w:val="FFFFFF"/>
                <w:w w:val="99"/>
              </w:rPr>
              <w:t>(2)</w:t>
            </w:r>
          </w:p>
        </w:tc>
        <w:tc>
          <w:tcPr>
            <w:tcW w:w="150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2"/>
                <w:szCs w:val="12"/>
                <w:b w:val="1"/>
                <w:bCs w:val="1"/>
                <w:color w:val="FFFFFF"/>
              </w:rPr>
              <w:t>Award Vest Start Date</w:t>
            </w:r>
          </w:p>
        </w:tc>
        <w:tc>
          <w:tcPr>
            <w:tcW w:w="0" w:type="dxa"/>
            <w:vAlign w:val="bottom"/>
          </w:tcPr>
          <w:p>
            <w:pPr>
              <w:spacing w:after="0"/>
              <w:rPr>
                <w:sz w:val="1"/>
                <w:szCs w:val="1"/>
                <w:color w:val="auto"/>
              </w:rPr>
            </w:pPr>
          </w:p>
        </w:tc>
      </w:tr>
      <w:tr>
        <w:trPr>
          <w:trHeight w:val="199"/>
        </w:trPr>
        <w:tc>
          <w:tcPr>
            <w:tcW w:w="1880" w:type="dxa"/>
            <w:vAlign w:val="bottom"/>
          </w:tcPr>
          <w:p>
            <w:pPr>
              <w:ind w:left="20"/>
              <w:spacing w:after="0"/>
              <w:rPr>
                <w:sz w:val="20"/>
                <w:szCs w:val="20"/>
                <w:color w:val="auto"/>
              </w:rPr>
            </w:pPr>
            <w:r>
              <w:rPr>
                <w:rFonts w:ascii="Arial" w:cs="Arial" w:eastAsia="Arial" w:hAnsi="Arial"/>
                <w:sz w:val="12"/>
                <w:szCs w:val="12"/>
                <w:color w:val="242424"/>
              </w:rPr>
              <w:t>Hock E. Tan</w:t>
            </w:r>
          </w:p>
        </w:tc>
        <w:tc>
          <w:tcPr>
            <w:tcW w:w="860" w:type="dxa"/>
            <w:vAlign w:val="bottom"/>
          </w:tcPr>
          <w:p>
            <w:pPr>
              <w:jc w:val="center"/>
              <w:spacing w:after="0"/>
              <w:rPr>
                <w:sz w:val="20"/>
                <w:szCs w:val="20"/>
                <w:color w:val="auto"/>
              </w:rPr>
            </w:pPr>
            <w:r>
              <w:rPr>
                <w:rFonts w:ascii="Arial" w:cs="Arial" w:eastAsia="Arial" w:hAnsi="Arial"/>
                <w:sz w:val="12"/>
                <w:szCs w:val="12"/>
                <w:color w:val="242424"/>
              </w:rPr>
              <w:t>04/05/21</w:t>
            </w:r>
          </w:p>
        </w:tc>
        <w:tc>
          <w:tcPr>
            <w:tcW w:w="1420" w:type="dxa"/>
            <w:vAlign w:val="bottom"/>
          </w:tcPr>
          <w:p>
            <w:pPr>
              <w:jc w:val="right"/>
              <w:ind w:right="439"/>
              <w:spacing w:after="0"/>
              <w:rPr>
                <w:sz w:val="20"/>
                <w:szCs w:val="20"/>
                <w:color w:val="auto"/>
              </w:rPr>
            </w:pPr>
            <w:r>
              <w:rPr>
                <w:rFonts w:ascii="Arial" w:cs="Arial" w:eastAsia="Arial" w:hAnsi="Arial"/>
                <w:sz w:val="12"/>
                <w:szCs w:val="12"/>
                <w:color w:val="242424"/>
              </w:rPr>
              <w:t>—</w:t>
            </w:r>
          </w:p>
        </w:tc>
        <w:tc>
          <w:tcPr>
            <w:tcW w:w="1500" w:type="dxa"/>
            <w:vAlign w:val="bottom"/>
          </w:tcPr>
          <w:p>
            <w:pPr>
              <w:jc w:val="right"/>
              <w:ind w:right="439"/>
              <w:spacing w:after="0"/>
              <w:rPr>
                <w:sz w:val="20"/>
                <w:szCs w:val="20"/>
                <w:color w:val="auto"/>
              </w:rPr>
            </w:pPr>
            <w:r>
              <w:rPr>
                <w:rFonts w:ascii="Arial" w:cs="Arial" w:eastAsia="Arial" w:hAnsi="Arial"/>
                <w:sz w:val="12"/>
                <w:szCs w:val="12"/>
                <w:color w:val="242424"/>
              </w:rPr>
              <w:t>—</w:t>
            </w:r>
          </w:p>
        </w:tc>
        <w:tc>
          <w:tcPr>
            <w:tcW w:w="2180" w:type="dxa"/>
            <w:vAlign w:val="bottom"/>
          </w:tcPr>
          <w:p>
            <w:pPr>
              <w:jc w:val="right"/>
              <w:ind w:right="319"/>
              <w:spacing w:after="0"/>
              <w:rPr>
                <w:sz w:val="20"/>
                <w:szCs w:val="20"/>
                <w:color w:val="auto"/>
              </w:rPr>
            </w:pPr>
            <w:r>
              <w:rPr>
                <w:rFonts w:ascii="Arial" w:cs="Arial" w:eastAsia="Arial" w:hAnsi="Arial"/>
                <w:sz w:val="12"/>
                <w:szCs w:val="12"/>
                <w:color w:val="242424"/>
              </w:rPr>
              <w:t>179,400</w:t>
            </w:r>
            <w:r>
              <w:rPr>
                <w:rFonts w:ascii="Arial" w:cs="Arial" w:eastAsia="Arial" w:hAnsi="Arial"/>
                <w:sz w:val="16"/>
                <w:szCs w:val="16"/>
                <w:color w:val="242424"/>
                <w:vertAlign w:val="superscript"/>
              </w:rPr>
              <w:t>(3)</w:t>
            </w:r>
          </w:p>
        </w:tc>
        <w:tc>
          <w:tcPr>
            <w:tcW w:w="1760" w:type="dxa"/>
            <w:vAlign w:val="bottom"/>
          </w:tcPr>
          <w:p>
            <w:pPr>
              <w:jc w:val="right"/>
              <w:ind w:right="279"/>
              <w:spacing w:after="0"/>
              <w:rPr>
                <w:sz w:val="20"/>
                <w:szCs w:val="20"/>
                <w:color w:val="auto"/>
              </w:rPr>
            </w:pPr>
            <w:r>
              <w:rPr>
                <w:rFonts w:ascii="Arial" w:cs="Arial" w:eastAsia="Arial" w:hAnsi="Arial"/>
                <w:sz w:val="12"/>
                <w:szCs w:val="12"/>
                <w:color w:val="242424"/>
              </w:rPr>
              <w:t>95,381,598</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1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880" w:type="dxa"/>
            <w:vAlign w:val="bottom"/>
            <w:shd w:val="clear" w:color="auto" w:fill="EAEAEA"/>
          </w:tcPr>
          <w:p>
            <w:pPr>
              <w:ind w:left="20"/>
              <w:spacing w:after="0"/>
              <w:rPr>
                <w:sz w:val="20"/>
                <w:szCs w:val="20"/>
                <w:color w:val="auto"/>
              </w:rPr>
            </w:pPr>
            <w:r>
              <w:rPr>
                <w:rFonts w:ascii="Arial" w:cs="Arial" w:eastAsia="Arial" w:hAnsi="Arial"/>
                <w:sz w:val="12"/>
                <w:szCs w:val="12"/>
                <w:color w:val="242424"/>
              </w:rPr>
              <w:t>Kirsten M. Spears</w:t>
            </w:r>
          </w:p>
        </w:tc>
        <w:tc>
          <w:tcPr>
            <w:tcW w:w="86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12/15/17</w:t>
            </w:r>
          </w:p>
        </w:tc>
        <w:tc>
          <w:tcPr>
            <w:tcW w:w="142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750</w:t>
            </w:r>
            <w:r>
              <w:rPr>
                <w:rFonts w:ascii="Arial" w:cs="Arial" w:eastAsia="Arial" w:hAnsi="Arial"/>
                <w:sz w:val="13"/>
                <w:szCs w:val="13"/>
                <w:color w:val="242424"/>
                <w:vertAlign w:val="superscript"/>
              </w:rPr>
              <w:t>(4)</w:t>
            </w:r>
          </w:p>
        </w:tc>
        <w:tc>
          <w:tcPr>
            <w:tcW w:w="150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398,753</w:t>
            </w:r>
          </w:p>
        </w:tc>
        <w:tc>
          <w:tcPr>
            <w:tcW w:w="2180" w:type="dxa"/>
            <w:vAlign w:val="bottom"/>
            <w:shd w:val="clear" w:color="auto" w:fill="EAEAEA"/>
          </w:tcPr>
          <w:p>
            <w:pPr>
              <w:jc w:val="right"/>
              <w:ind w:right="599"/>
              <w:spacing w:after="0"/>
              <w:rPr>
                <w:sz w:val="20"/>
                <w:szCs w:val="20"/>
                <w:color w:val="auto"/>
              </w:rPr>
            </w:pPr>
            <w:r>
              <w:rPr>
                <w:rFonts w:ascii="Arial" w:cs="Arial" w:eastAsia="Arial" w:hAnsi="Arial"/>
                <w:sz w:val="12"/>
                <w:szCs w:val="12"/>
                <w:color w:val="242424"/>
              </w:rPr>
              <w:t>—</w:t>
            </w:r>
          </w:p>
        </w:tc>
        <w:tc>
          <w:tcPr>
            <w:tcW w:w="1760" w:type="dxa"/>
            <w:vAlign w:val="bottom"/>
            <w:shd w:val="clear" w:color="auto" w:fill="EAEAEA"/>
          </w:tcPr>
          <w:p>
            <w:pPr>
              <w:jc w:val="right"/>
              <w:ind w:right="439"/>
              <w:spacing w:after="0"/>
              <w:rPr>
                <w:sz w:val="20"/>
                <w:szCs w:val="20"/>
                <w:color w:val="auto"/>
              </w:rPr>
            </w:pPr>
            <w:r>
              <w:rPr>
                <w:rFonts w:ascii="Arial" w:cs="Arial" w:eastAsia="Arial" w:hAnsi="Arial"/>
                <w:sz w:val="12"/>
                <w:szCs w:val="12"/>
                <w:color w:val="242424"/>
              </w:rPr>
              <w:t>—</w:t>
            </w:r>
          </w:p>
        </w:tc>
        <w:tc>
          <w:tcPr>
            <w:tcW w:w="150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880" w:type="dxa"/>
            <w:vAlign w:val="bottom"/>
            <w:shd w:val="clear" w:color="auto" w:fill="EAEAEA"/>
          </w:tcPr>
          <w:p>
            <w:pPr>
              <w:spacing w:after="0"/>
              <w:rPr>
                <w:sz w:val="14"/>
                <w:szCs w:val="14"/>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03/15/18</w:t>
            </w:r>
          </w:p>
        </w:tc>
        <w:tc>
          <w:tcPr>
            <w:tcW w:w="142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1,250</w:t>
            </w:r>
            <w:r>
              <w:rPr>
                <w:rFonts w:ascii="Arial" w:cs="Arial" w:eastAsia="Arial" w:hAnsi="Arial"/>
                <w:sz w:val="6"/>
                <w:szCs w:val="6"/>
                <w:color w:val="242424"/>
              </w:rPr>
              <w:t>(4)</w:t>
            </w:r>
          </w:p>
        </w:tc>
        <w:tc>
          <w:tcPr>
            <w:tcW w:w="150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664,588</w:t>
            </w:r>
          </w:p>
        </w:tc>
        <w:tc>
          <w:tcPr>
            <w:tcW w:w="2180" w:type="dxa"/>
            <w:vAlign w:val="bottom"/>
            <w:shd w:val="clear" w:color="auto" w:fill="EAEAEA"/>
          </w:tcPr>
          <w:p>
            <w:pPr>
              <w:jc w:val="right"/>
              <w:ind w:right="359"/>
              <w:spacing w:after="0"/>
              <w:rPr>
                <w:sz w:val="20"/>
                <w:szCs w:val="20"/>
                <w:color w:val="auto"/>
              </w:rPr>
            </w:pPr>
            <w:r>
              <w:rPr>
                <w:rFonts w:ascii="Arial" w:cs="Arial" w:eastAsia="Arial" w:hAnsi="Arial"/>
                <w:sz w:val="12"/>
                <w:szCs w:val="12"/>
                <w:color w:val="242424"/>
              </w:rPr>
              <w:t>6,250</w:t>
            </w:r>
            <w:r>
              <w:rPr>
                <w:rFonts w:ascii="Arial" w:cs="Arial" w:eastAsia="Arial" w:hAnsi="Arial"/>
                <w:sz w:val="6"/>
                <w:szCs w:val="6"/>
                <w:color w:val="242424"/>
              </w:rPr>
              <w:t>(5)</w:t>
            </w:r>
          </w:p>
        </w:tc>
        <w:tc>
          <w:tcPr>
            <w:tcW w:w="1760" w:type="dxa"/>
            <w:vAlign w:val="bottom"/>
            <w:shd w:val="clear" w:color="auto" w:fill="EAEAEA"/>
          </w:tcPr>
          <w:p>
            <w:pPr>
              <w:jc w:val="right"/>
              <w:ind w:right="279"/>
              <w:spacing w:after="0"/>
              <w:rPr>
                <w:sz w:val="20"/>
                <w:szCs w:val="20"/>
                <w:color w:val="auto"/>
              </w:rPr>
            </w:pPr>
            <w:r>
              <w:rPr>
                <w:rFonts w:ascii="Arial" w:cs="Arial" w:eastAsia="Arial" w:hAnsi="Arial"/>
                <w:sz w:val="12"/>
                <w:szCs w:val="12"/>
                <w:color w:val="242424"/>
              </w:rPr>
              <w:t>3,322,938</w:t>
            </w:r>
          </w:p>
        </w:tc>
        <w:tc>
          <w:tcPr>
            <w:tcW w:w="150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80" w:type="dxa"/>
            <w:vAlign w:val="bottom"/>
            <w:shd w:val="clear" w:color="auto" w:fill="EAEAEA"/>
          </w:tcPr>
          <w:p>
            <w:pPr>
              <w:spacing w:after="0"/>
              <w:rPr>
                <w:sz w:val="16"/>
                <w:szCs w:val="16"/>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3,124</w:t>
            </w:r>
            <w:r>
              <w:rPr>
                <w:rFonts w:ascii="Arial" w:cs="Arial" w:eastAsia="Arial" w:hAnsi="Arial"/>
                <w:sz w:val="6"/>
                <w:szCs w:val="6"/>
                <w:color w:val="242424"/>
              </w:rPr>
              <w:t>(6)</w:t>
            </w:r>
          </w:p>
        </w:tc>
        <w:tc>
          <w:tcPr>
            <w:tcW w:w="1500" w:type="dxa"/>
            <w:vAlign w:val="bottom"/>
            <w:shd w:val="clear" w:color="auto" w:fill="EAEAEA"/>
          </w:tcPr>
          <w:p>
            <w:pPr>
              <w:jc w:val="right"/>
              <w:ind w:right="179"/>
              <w:spacing w:after="0"/>
              <w:rPr>
                <w:sz w:val="20"/>
                <w:szCs w:val="20"/>
                <w:color w:val="auto"/>
              </w:rPr>
            </w:pPr>
            <w:r>
              <w:rPr>
                <w:rFonts w:ascii="Arial" w:cs="Arial" w:eastAsia="Arial" w:hAnsi="Arial"/>
                <w:sz w:val="12"/>
                <w:szCs w:val="12"/>
                <w:color w:val="242424"/>
              </w:rPr>
              <w:t>1,660,937</w:t>
            </w:r>
          </w:p>
        </w:tc>
        <w:tc>
          <w:tcPr>
            <w:tcW w:w="2180" w:type="dxa"/>
            <w:vAlign w:val="bottom"/>
            <w:shd w:val="clear" w:color="auto" w:fill="EAEAEA"/>
          </w:tcPr>
          <w:p>
            <w:pPr>
              <w:jc w:val="right"/>
              <w:ind w:right="359"/>
              <w:spacing w:after="0"/>
              <w:rPr>
                <w:sz w:val="20"/>
                <w:szCs w:val="20"/>
                <w:color w:val="auto"/>
              </w:rPr>
            </w:pPr>
            <w:r>
              <w:rPr>
                <w:rFonts w:ascii="Arial" w:cs="Arial" w:eastAsia="Arial" w:hAnsi="Arial"/>
                <w:sz w:val="12"/>
                <w:szCs w:val="12"/>
                <w:color w:val="242424"/>
              </w:rPr>
              <w:t>9,443</w:t>
            </w:r>
            <w:r>
              <w:rPr>
                <w:rFonts w:ascii="Arial" w:cs="Arial" w:eastAsia="Arial" w:hAnsi="Arial"/>
                <w:sz w:val="6"/>
                <w:szCs w:val="6"/>
                <w:color w:val="242424"/>
              </w:rPr>
              <w:t>(7)</w:t>
            </w:r>
          </w:p>
        </w:tc>
        <w:tc>
          <w:tcPr>
            <w:tcW w:w="1760" w:type="dxa"/>
            <w:vAlign w:val="bottom"/>
            <w:shd w:val="clear" w:color="auto" w:fill="EAEAEA"/>
          </w:tcPr>
          <w:p>
            <w:pPr>
              <w:jc w:val="right"/>
              <w:ind w:right="279"/>
              <w:spacing w:after="0"/>
              <w:rPr>
                <w:sz w:val="20"/>
                <w:szCs w:val="20"/>
                <w:color w:val="auto"/>
              </w:rPr>
            </w:pPr>
            <w:r>
              <w:rPr>
                <w:rFonts w:ascii="Arial" w:cs="Arial" w:eastAsia="Arial" w:hAnsi="Arial"/>
                <w:sz w:val="12"/>
                <w:szCs w:val="12"/>
                <w:color w:val="242424"/>
              </w:rPr>
              <w:t>5,020,560</w:t>
            </w:r>
          </w:p>
        </w:tc>
        <w:tc>
          <w:tcPr>
            <w:tcW w:w="150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03/15/19</w:t>
            </w:r>
          </w:p>
        </w:tc>
        <w:tc>
          <w:tcPr>
            <w:tcW w:w="0" w:type="dxa"/>
            <w:vAlign w:val="bottom"/>
          </w:tcPr>
          <w:p>
            <w:pPr>
              <w:spacing w:after="0"/>
              <w:rPr>
                <w:sz w:val="1"/>
                <w:szCs w:val="1"/>
                <w:color w:val="auto"/>
              </w:rPr>
            </w:pPr>
          </w:p>
        </w:tc>
      </w:tr>
      <w:tr>
        <w:trPr>
          <w:trHeight w:val="203"/>
        </w:trPr>
        <w:tc>
          <w:tcPr>
            <w:tcW w:w="1880" w:type="dxa"/>
            <w:vAlign w:val="bottom"/>
            <w:shd w:val="clear" w:color="auto" w:fill="EAEAEA"/>
          </w:tcPr>
          <w:p>
            <w:pPr>
              <w:spacing w:after="0"/>
              <w:rPr>
                <w:sz w:val="17"/>
                <w:szCs w:val="17"/>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4,687</w:t>
            </w:r>
            <w:r>
              <w:rPr>
                <w:rFonts w:ascii="Arial" w:cs="Arial" w:eastAsia="Arial" w:hAnsi="Arial"/>
                <w:sz w:val="16"/>
                <w:szCs w:val="16"/>
                <w:color w:val="242424"/>
                <w:vertAlign w:val="superscript"/>
              </w:rPr>
              <w:t>(6</w:t>
            </w:r>
            <w:r>
              <w:rPr>
                <w:rFonts w:ascii="Arial" w:cs="Arial" w:eastAsia="Arial" w:hAnsi="Arial"/>
                <w:sz w:val="6"/>
                <w:szCs w:val="6"/>
                <w:color w:val="242424"/>
              </w:rPr>
              <w:t>)</w:t>
            </w:r>
          </w:p>
        </w:tc>
        <w:tc>
          <w:tcPr>
            <w:tcW w:w="1500" w:type="dxa"/>
            <w:vAlign w:val="bottom"/>
            <w:shd w:val="clear" w:color="auto" w:fill="EAEAEA"/>
          </w:tcPr>
          <w:p>
            <w:pPr>
              <w:jc w:val="right"/>
              <w:ind w:right="179"/>
              <w:spacing w:after="0"/>
              <w:rPr>
                <w:sz w:val="20"/>
                <w:szCs w:val="20"/>
                <w:color w:val="auto"/>
              </w:rPr>
            </w:pPr>
            <w:r>
              <w:rPr>
                <w:rFonts w:ascii="Arial" w:cs="Arial" w:eastAsia="Arial" w:hAnsi="Arial"/>
                <w:sz w:val="12"/>
                <w:szCs w:val="12"/>
                <w:color w:val="242424"/>
              </w:rPr>
              <w:t>2,491,937</w:t>
            </w:r>
          </w:p>
        </w:tc>
        <w:tc>
          <w:tcPr>
            <w:tcW w:w="2180" w:type="dxa"/>
            <w:vAlign w:val="bottom"/>
            <w:shd w:val="clear" w:color="auto" w:fill="EAEAEA"/>
          </w:tcPr>
          <w:p>
            <w:pPr>
              <w:jc w:val="right"/>
              <w:ind w:right="359"/>
              <w:spacing w:after="0"/>
              <w:rPr>
                <w:sz w:val="20"/>
                <w:szCs w:val="20"/>
                <w:color w:val="auto"/>
              </w:rPr>
            </w:pPr>
            <w:r>
              <w:rPr>
                <w:rFonts w:ascii="Arial" w:cs="Arial" w:eastAsia="Arial" w:hAnsi="Arial"/>
                <w:sz w:val="12"/>
                <w:szCs w:val="12"/>
                <w:color w:val="242424"/>
              </w:rPr>
              <w:t>10,938</w:t>
            </w:r>
            <w:r>
              <w:rPr>
                <w:rFonts w:ascii="Arial" w:cs="Arial" w:eastAsia="Arial" w:hAnsi="Arial"/>
                <w:sz w:val="6"/>
                <w:szCs w:val="6"/>
                <w:color w:val="242424"/>
              </w:rPr>
              <w:t>(8)</w:t>
            </w:r>
          </w:p>
        </w:tc>
        <w:tc>
          <w:tcPr>
            <w:tcW w:w="1760" w:type="dxa"/>
            <w:vAlign w:val="bottom"/>
            <w:shd w:val="clear" w:color="auto" w:fill="EAEAEA"/>
          </w:tcPr>
          <w:p>
            <w:pPr>
              <w:jc w:val="right"/>
              <w:ind w:right="279"/>
              <w:spacing w:after="0"/>
              <w:rPr>
                <w:sz w:val="20"/>
                <w:szCs w:val="20"/>
                <w:color w:val="auto"/>
              </w:rPr>
            </w:pPr>
            <w:r>
              <w:rPr>
                <w:rFonts w:ascii="Arial" w:cs="Arial" w:eastAsia="Arial" w:hAnsi="Arial"/>
                <w:sz w:val="12"/>
                <w:szCs w:val="12"/>
                <w:color w:val="242424"/>
              </w:rPr>
              <w:t>5,815,406</w:t>
            </w:r>
          </w:p>
        </w:tc>
        <w:tc>
          <w:tcPr>
            <w:tcW w:w="150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03/15/20</w:t>
            </w:r>
          </w:p>
        </w:tc>
        <w:tc>
          <w:tcPr>
            <w:tcW w:w="0" w:type="dxa"/>
            <w:vAlign w:val="bottom"/>
          </w:tcPr>
          <w:p>
            <w:pPr>
              <w:spacing w:after="0"/>
              <w:rPr>
                <w:sz w:val="1"/>
                <w:szCs w:val="1"/>
                <w:color w:val="auto"/>
              </w:rPr>
            </w:pPr>
          </w:p>
        </w:tc>
      </w:tr>
      <w:tr>
        <w:trPr>
          <w:trHeight w:val="168"/>
        </w:trPr>
        <w:tc>
          <w:tcPr>
            <w:tcW w:w="1880" w:type="dxa"/>
            <w:vAlign w:val="bottom"/>
            <w:shd w:val="clear" w:color="auto" w:fill="EAEAEA"/>
          </w:tcPr>
          <w:p>
            <w:pPr>
              <w:spacing w:after="0"/>
              <w:rPr>
                <w:sz w:val="14"/>
                <w:szCs w:val="14"/>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6,250</w:t>
            </w:r>
            <w:r>
              <w:rPr>
                <w:rFonts w:ascii="Arial" w:cs="Arial" w:eastAsia="Arial" w:hAnsi="Arial"/>
                <w:sz w:val="6"/>
                <w:szCs w:val="6"/>
                <w:color w:val="242424"/>
              </w:rPr>
              <w:t>(6)</w:t>
            </w:r>
          </w:p>
        </w:tc>
        <w:tc>
          <w:tcPr>
            <w:tcW w:w="1500" w:type="dxa"/>
            <w:vAlign w:val="bottom"/>
            <w:shd w:val="clear" w:color="auto" w:fill="EAEAEA"/>
          </w:tcPr>
          <w:p>
            <w:pPr>
              <w:jc w:val="right"/>
              <w:ind w:right="179"/>
              <w:spacing w:after="0"/>
              <w:rPr>
                <w:sz w:val="20"/>
                <w:szCs w:val="20"/>
                <w:color w:val="auto"/>
              </w:rPr>
            </w:pPr>
            <w:r>
              <w:rPr>
                <w:rFonts w:ascii="Arial" w:cs="Arial" w:eastAsia="Arial" w:hAnsi="Arial"/>
                <w:sz w:val="12"/>
                <w:szCs w:val="12"/>
                <w:color w:val="242424"/>
              </w:rPr>
              <w:t>3,322,938</w:t>
            </w:r>
          </w:p>
        </w:tc>
        <w:tc>
          <w:tcPr>
            <w:tcW w:w="2180" w:type="dxa"/>
            <w:vAlign w:val="bottom"/>
            <w:shd w:val="clear" w:color="auto" w:fill="EAEAEA"/>
          </w:tcPr>
          <w:p>
            <w:pPr>
              <w:jc w:val="right"/>
              <w:ind w:right="359"/>
              <w:spacing w:after="0"/>
              <w:rPr>
                <w:sz w:val="20"/>
                <w:szCs w:val="20"/>
                <w:color w:val="auto"/>
              </w:rPr>
            </w:pPr>
            <w:r>
              <w:rPr>
                <w:rFonts w:ascii="Arial" w:cs="Arial" w:eastAsia="Arial" w:hAnsi="Arial"/>
                <w:sz w:val="12"/>
                <w:szCs w:val="12"/>
                <w:color w:val="242424"/>
              </w:rPr>
              <w:t>6,250</w:t>
            </w:r>
            <w:r>
              <w:rPr>
                <w:rFonts w:ascii="Arial" w:cs="Arial" w:eastAsia="Arial" w:hAnsi="Arial"/>
                <w:sz w:val="6"/>
                <w:szCs w:val="6"/>
                <w:color w:val="242424"/>
              </w:rPr>
              <w:t>(9)</w:t>
            </w:r>
          </w:p>
        </w:tc>
        <w:tc>
          <w:tcPr>
            <w:tcW w:w="1760" w:type="dxa"/>
            <w:vAlign w:val="bottom"/>
            <w:shd w:val="clear" w:color="auto" w:fill="EAEAEA"/>
          </w:tcPr>
          <w:p>
            <w:pPr>
              <w:jc w:val="right"/>
              <w:ind w:right="279"/>
              <w:spacing w:after="0"/>
              <w:rPr>
                <w:sz w:val="20"/>
                <w:szCs w:val="20"/>
                <w:color w:val="auto"/>
              </w:rPr>
            </w:pPr>
            <w:r>
              <w:rPr>
                <w:rFonts w:ascii="Arial" w:cs="Arial" w:eastAsia="Arial" w:hAnsi="Arial"/>
                <w:sz w:val="12"/>
                <w:szCs w:val="12"/>
                <w:color w:val="242424"/>
              </w:rPr>
              <w:t>3,322,938</w:t>
            </w:r>
          </w:p>
        </w:tc>
        <w:tc>
          <w:tcPr>
            <w:tcW w:w="150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03/15/21</w:t>
            </w:r>
          </w:p>
        </w:tc>
        <w:tc>
          <w:tcPr>
            <w:tcW w:w="0" w:type="dxa"/>
            <w:vAlign w:val="bottom"/>
          </w:tcPr>
          <w:p>
            <w:pPr>
              <w:spacing w:after="0"/>
              <w:rPr>
                <w:sz w:val="1"/>
                <w:szCs w:val="1"/>
                <w:color w:val="auto"/>
              </w:rPr>
            </w:pPr>
          </w:p>
        </w:tc>
      </w:tr>
      <w:tr>
        <w:trPr>
          <w:trHeight w:val="185"/>
        </w:trPr>
        <w:tc>
          <w:tcPr>
            <w:tcW w:w="1880" w:type="dxa"/>
            <w:vAlign w:val="bottom"/>
            <w:shd w:val="clear" w:color="auto" w:fill="EAEAEA"/>
          </w:tcPr>
          <w:p>
            <w:pPr>
              <w:spacing w:after="0"/>
              <w:rPr>
                <w:sz w:val="16"/>
                <w:szCs w:val="16"/>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6,250</w:t>
            </w:r>
            <w:r>
              <w:rPr>
                <w:rFonts w:ascii="Arial" w:cs="Arial" w:eastAsia="Arial" w:hAnsi="Arial"/>
                <w:sz w:val="6"/>
                <w:szCs w:val="6"/>
                <w:color w:val="242424"/>
              </w:rPr>
              <w:t>(6)</w:t>
            </w:r>
          </w:p>
        </w:tc>
        <w:tc>
          <w:tcPr>
            <w:tcW w:w="1500" w:type="dxa"/>
            <w:vAlign w:val="bottom"/>
            <w:shd w:val="clear" w:color="auto" w:fill="EAEAEA"/>
          </w:tcPr>
          <w:p>
            <w:pPr>
              <w:jc w:val="right"/>
              <w:ind w:right="179"/>
              <w:spacing w:after="0"/>
              <w:rPr>
                <w:sz w:val="20"/>
                <w:szCs w:val="20"/>
                <w:color w:val="auto"/>
              </w:rPr>
            </w:pPr>
            <w:r>
              <w:rPr>
                <w:rFonts w:ascii="Arial" w:cs="Arial" w:eastAsia="Arial" w:hAnsi="Arial"/>
                <w:sz w:val="12"/>
                <w:szCs w:val="12"/>
                <w:color w:val="242424"/>
              </w:rPr>
              <w:t>3,322,938</w:t>
            </w:r>
          </w:p>
        </w:tc>
        <w:tc>
          <w:tcPr>
            <w:tcW w:w="2180" w:type="dxa"/>
            <w:vAlign w:val="bottom"/>
            <w:shd w:val="clear" w:color="auto" w:fill="EAEAEA"/>
          </w:tcPr>
          <w:p>
            <w:pPr>
              <w:jc w:val="right"/>
              <w:ind w:right="319"/>
              <w:spacing w:after="0"/>
              <w:rPr>
                <w:sz w:val="20"/>
                <w:szCs w:val="20"/>
                <w:color w:val="auto"/>
              </w:rPr>
            </w:pPr>
            <w:r>
              <w:rPr>
                <w:rFonts w:ascii="Arial" w:cs="Arial" w:eastAsia="Arial" w:hAnsi="Arial"/>
                <w:sz w:val="12"/>
                <w:szCs w:val="12"/>
                <w:color w:val="242424"/>
              </w:rPr>
              <w:t>6,250</w:t>
            </w:r>
            <w:r>
              <w:rPr>
                <w:rFonts w:ascii="Arial" w:cs="Arial" w:eastAsia="Arial" w:hAnsi="Arial"/>
                <w:sz w:val="6"/>
                <w:szCs w:val="6"/>
                <w:color w:val="242424"/>
              </w:rPr>
              <w:t>(10)</w:t>
            </w:r>
          </w:p>
        </w:tc>
        <w:tc>
          <w:tcPr>
            <w:tcW w:w="1760" w:type="dxa"/>
            <w:vAlign w:val="bottom"/>
            <w:shd w:val="clear" w:color="auto" w:fill="EAEAEA"/>
          </w:tcPr>
          <w:p>
            <w:pPr>
              <w:jc w:val="right"/>
              <w:ind w:right="279"/>
              <w:spacing w:after="0"/>
              <w:rPr>
                <w:sz w:val="20"/>
                <w:szCs w:val="20"/>
                <w:color w:val="auto"/>
              </w:rPr>
            </w:pPr>
            <w:r>
              <w:rPr>
                <w:rFonts w:ascii="Arial" w:cs="Arial" w:eastAsia="Arial" w:hAnsi="Arial"/>
                <w:sz w:val="12"/>
                <w:szCs w:val="12"/>
                <w:color w:val="242424"/>
              </w:rPr>
              <w:t>3,322,938</w:t>
            </w:r>
          </w:p>
        </w:tc>
        <w:tc>
          <w:tcPr>
            <w:tcW w:w="150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03/15/22</w:t>
            </w:r>
          </w:p>
        </w:tc>
        <w:tc>
          <w:tcPr>
            <w:tcW w:w="0" w:type="dxa"/>
            <w:vAlign w:val="bottom"/>
          </w:tcPr>
          <w:p>
            <w:pPr>
              <w:spacing w:after="0"/>
              <w:rPr>
                <w:sz w:val="1"/>
                <w:szCs w:val="1"/>
                <w:color w:val="auto"/>
              </w:rPr>
            </w:pPr>
          </w:p>
        </w:tc>
      </w:tr>
      <w:tr>
        <w:trPr>
          <w:trHeight w:val="203"/>
        </w:trPr>
        <w:tc>
          <w:tcPr>
            <w:tcW w:w="1880" w:type="dxa"/>
            <w:vAlign w:val="bottom"/>
            <w:shd w:val="clear" w:color="auto" w:fill="EAEAEA"/>
          </w:tcPr>
          <w:p>
            <w:pPr>
              <w:spacing w:after="0"/>
              <w:rPr>
                <w:sz w:val="17"/>
                <w:szCs w:val="17"/>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12/15/20</w:t>
            </w:r>
          </w:p>
        </w:tc>
        <w:tc>
          <w:tcPr>
            <w:tcW w:w="142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13,000</w:t>
            </w:r>
            <w:r>
              <w:rPr>
                <w:rFonts w:ascii="Arial" w:cs="Arial" w:eastAsia="Arial" w:hAnsi="Arial"/>
                <w:sz w:val="6"/>
                <w:szCs w:val="6"/>
                <w:color w:val="242424"/>
              </w:rPr>
              <w:t>(4)</w:t>
            </w:r>
          </w:p>
        </w:tc>
        <w:tc>
          <w:tcPr>
            <w:tcW w:w="1500" w:type="dxa"/>
            <w:vAlign w:val="bottom"/>
            <w:shd w:val="clear" w:color="auto" w:fill="EAEAEA"/>
          </w:tcPr>
          <w:p>
            <w:pPr>
              <w:jc w:val="right"/>
              <w:ind w:right="179"/>
              <w:spacing w:after="0"/>
              <w:rPr>
                <w:sz w:val="20"/>
                <w:szCs w:val="20"/>
                <w:color w:val="auto"/>
              </w:rPr>
            </w:pPr>
            <w:r>
              <w:rPr>
                <w:rFonts w:ascii="Arial" w:cs="Arial" w:eastAsia="Arial" w:hAnsi="Arial"/>
                <w:sz w:val="12"/>
                <w:szCs w:val="12"/>
                <w:color w:val="242424"/>
              </w:rPr>
              <w:t>6,911,710</w:t>
            </w:r>
          </w:p>
        </w:tc>
        <w:tc>
          <w:tcPr>
            <w:tcW w:w="2180" w:type="dxa"/>
            <w:vAlign w:val="bottom"/>
            <w:shd w:val="clear" w:color="auto" w:fill="EAEAEA"/>
          </w:tcPr>
          <w:p>
            <w:pPr>
              <w:jc w:val="right"/>
              <w:ind w:right="319"/>
              <w:spacing w:after="0"/>
              <w:rPr>
                <w:sz w:val="20"/>
                <w:szCs w:val="20"/>
                <w:color w:val="auto"/>
              </w:rPr>
            </w:pPr>
            <w:r>
              <w:rPr>
                <w:rFonts w:ascii="Arial" w:cs="Arial" w:eastAsia="Arial" w:hAnsi="Arial"/>
                <w:sz w:val="12"/>
                <w:szCs w:val="12"/>
                <w:color w:val="242424"/>
              </w:rPr>
              <w:t>26,000</w:t>
            </w:r>
            <w:r>
              <w:rPr>
                <w:rFonts w:ascii="Arial" w:cs="Arial" w:eastAsia="Arial" w:hAnsi="Arial"/>
                <w:sz w:val="6"/>
                <w:szCs w:val="6"/>
                <w:color w:val="242424"/>
              </w:rPr>
              <w:t>(11)</w:t>
            </w:r>
          </w:p>
        </w:tc>
        <w:tc>
          <w:tcPr>
            <w:tcW w:w="1760" w:type="dxa"/>
            <w:vAlign w:val="bottom"/>
            <w:shd w:val="clear" w:color="auto" w:fill="EAEAEA"/>
          </w:tcPr>
          <w:p>
            <w:pPr>
              <w:jc w:val="right"/>
              <w:ind w:right="279"/>
              <w:spacing w:after="0"/>
              <w:rPr>
                <w:sz w:val="20"/>
                <w:szCs w:val="20"/>
                <w:color w:val="auto"/>
              </w:rPr>
            </w:pPr>
            <w:r>
              <w:rPr>
                <w:rFonts w:ascii="Arial" w:cs="Arial" w:eastAsia="Arial" w:hAnsi="Arial"/>
                <w:sz w:val="12"/>
                <w:szCs w:val="12"/>
                <w:color w:val="242424"/>
              </w:rPr>
              <w:t>13,823,420</w:t>
            </w:r>
          </w:p>
        </w:tc>
        <w:tc>
          <w:tcPr>
            <w:tcW w:w="15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1880" w:type="dxa"/>
            <w:vAlign w:val="bottom"/>
          </w:tcPr>
          <w:p>
            <w:pPr>
              <w:ind w:left="20"/>
              <w:spacing w:after="0"/>
              <w:rPr>
                <w:sz w:val="20"/>
                <w:szCs w:val="20"/>
                <w:color w:val="auto"/>
              </w:rPr>
            </w:pPr>
            <w:r>
              <w:rPr>
                <w:rFonts w:ascii="Arial" w:cs="Arial" w:eastAsia="Arial" w:hAnsi="Arial"/>
                <w:sz w:val="12"/>
                <w:szCs w:val="12"/>
                <w:color w:val="242424"/>
              </w:rPr>
              <w:t>Mark D. Brazeal</w:t>
            </w:r>
          </w:p>
        </w:tc>
        <w:tc>
          <w:tcPr>
            <w:tcW w:w="860" w:type="dxa"/>
            <w:vAlign w:val="bottom"/>
          </w:tcPr>
          <w:p>
            <w:pPr>
              <w:jc w:val="center"/>
              <w:spacing w:after="0"/>
              <w:rPr>
                <w:sz w:val="20"/>
                <w:szCs w:val="20"/>
                <w:color w:val="auto"/>
              </w:rPr>
            </w:pPr>
            <w:r>
              <w:rPr>
                <w:rFonts w:ascii="Arial" w:cs="Arial" w:eastAsia="Arial" w:hAnsi="Arial"/>
                <w:sz w:val="12"/>
                <w:szCs w:val="12"/>
                <w:color w:val="242424"/>
              </w:rPr>
              <w:t>12/15/17</w:t>
            </w:r>
          </w:p>
        </w:tc>
        <w:tc>
          <w:tcPr>
            <w:tcW w:w="1420" w:type="dxa"/>
            <w:vAlign w:val="bottom"/>
          </w:tcPr>
          <w:p>
            <w:pPr>
              <w:jc w:val="right"/>
              <w:ind w:right="199"/>
              <w:spacing w:after="0"/>
              <w:rPr>
                <w:sz w:val="20"/>
                <w:szCs w:val="20"/>
                <w:color w:val="auto"/>
              </w:rPr>
            </w:pPr>
            <w:r>
              <w:rPr>
                <w:rFonts w:ascii="Arial" w:cs="Arial" w:eastAsia="Arial" w:hAnsi="Arial"/>
                <w:sz w:val="24"/>
                <w:szCs w:val="24"/>
                <w:color w:val="242424"/>
                <w:vertAlign w:val="subscript"/>
              </w:rPr>
              <w:t>750</w:t>
            </w:r>
            <w:r>
              <w:rPr>
                <w:rFonts w:ascii="Arial" w:cs="Arial" w:eastAsia="Arial" w:hAnsi="Arial"/>
                <w:sz w:val="7"/>
                <w:szCs w:val="7"/>
                <w:color w:val="242424"/>
              </w:rPr>
              <w:t>(4)</w:t>
            </w:r>
          </w:p>
        </w:tc>
        <w:tc>
          <w:tcPr>
            <w:tcW w:w="1500" w:type="dxa"/>
            <w:vAlign w:val="bottom"/>
          </w:tcPr>
          <w:p>
            <w:pPr>
              <w:jc w:val="right"/>
              <w:ind w:right="199"/>
              <w:spacing w:after="0"/>
              <w:rPr>
                <w:sz w:val="20"/>
                <w:szCs w:val="20"/>
                <w:color w:val="auto"/>
              </w:rPr>
            </w:pPr>
            <w:r>
              <w:rPr>
                <w:rFonts w:ascii="Arial" w:cs="Arial" w:eastAsia="Arial" w:hAnsi="Arial"/>
                <w:sz w:val="12"/>
                <w:szCs w:val="12"/>
                <w:color w:val="242424"/>
              </w:rPr>
              <w:t>398,753</w:t>
            </w:r>
          </w:p>
        </w:tc>
        <w:tc>
          <w:tcPr>
            <w:tcW w:w="2180" w:type="dxa"/>
            <w:vAlign w:val="bottom"/>
          </w:tcPr>
          <w:p>
            <w:pPr>
              <w:jc w:val="right"/>
              <w:ind w:right="599"/>
              <w:spacing w:after="0"/>
              <w:rPr>
                <w:sz w:val="20"/>
                <w:szCs w:val="20"/>
                <w:color w:val="auto"/>
              </w:rPr>
            </w:pPr>
            <w:r>
              <w:rPr>
                <w:rFonts w:ascii="Arial" w:cs="Arial" w:eastAsia="Arial" w:hAnsi="Arial"/>
                <w:sz w:val="12"/>
                <w:szCs w:val="12"/>
                <w:color w:val="242424"/>
              </w:rPr>
              <w:t>—</w:t>
            </w:r>
          </w:p>
        </w:tc>
        <w:tc>
          <w:tcPr>
            <w:tcW w:w="1760" w:type="dxa"/>
            <w:vAlign w:val="bottom"/>
          </w:tcPr>
          <w:p>
            <w:pPr>
              <w:jc w:val="right"/>
              <w:ind w:right="439"/>
              <w:spacing w:after="0"/>
              <w:rPr>
                <w:sz w:val="20"/>
                <w:szCs w:val="20"/>
                <w:color w:val="auto"/>
              </w:rPr>
            </w:pPr>
            <w:r>
              <w:rPr>
                <w:rFonts w:ascii="Arial" w:cs="Arial" w:eastAsia="Arial" w:hAnsi="Arial"/>
                <w:sz w:val="12"/>
                <w:szCs w:val="12"/>
                <w:color w:val="242424"/>
              </w:rPr>
              <w:t>—</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8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242424"/>
              </w:rPr>
              <w:t>03/15/18</w:t>
            </w:r>
          </w:p>
        </w:tc>
        <w:tc>
          <w:tcPr>
            <w:tcW w:w="1420" w:type="dxa"/>
            <w:vAlign w:val="bottom"/>
          </w:tcPr>
          <w:p>
            <w:pPr>
              <w:jc w:val="right"/>
              <w:ind w:right="199"/>
              <w:spacing w:after="0"/>
              <w:rPr>
                <w:sz w:val="20"/>
                <w:szCs w:val="20"/>
                <w:color w:val="auto"/>
              </w:rPr>
            </w:pPr>
            <w:r>
              <w:rPr>
                <w:rFonts w:ascii="Arial" w:cs="Arial" w:eastAsia="Arial" w:hAnsi="Arial"/>
                <w:sz w:val="12"/>
                <w:szCs w:val="12"/>
                <w:color w:val="242424"/>
              </w:rPr>
              <w:t>1,625</w:t>
            </w:r>
            <w:r>
              <w:rPr>
                <w:rFonts w:ascii="Arial" w:cs="Arial" w:eastAsia="Arial" w:hAnsi="Arial"/>
                <w:sz w:val="6"/>
                <w:szCs w:val="6"/>
                <w:color w:val="242424"/>
              </w:rPr>
              <w:t>(4)</w:t>
            </w:r>
          </w:p>
        </w:tc>
        <w:tc>
          <w:tcPr>
            <w:tcW w:w="1500" w:type="dxa"/>
            <w:vAlign w:val="bottom"/>
          </w:tcPr>
          <w:p>
            <w:pPr>
              <w:jc w:val="right"/>
              <w:ind w:right="199"/>
              <w:spacing w:after="0"/>
              <w:rPr>
                <w:sz w:val="20"/>
                <w:szCs w:val="20"/>
                <w:color w:val="auto"/>
              </w:rPr>
            </w:pPr>
            <w:r>
              <w:rPr>
                <w:rFonts w:ascii="Arial" w:cs="Arial" w:eastAsia="Arial" w:hAnsi="Arial"/>
                <w:sz w:val="12"/>
                <w:szCs w:val="12"/>
                <w:color w:val="242424"/>
              </w:rPr>
              <w:t>863,964</w:t>
            </w:r>
          </w:p>
        </w:tc>
        <w:tc>
          <w:tcPr>
            <w:tcW w:w="2180" w:type="dxa"/>
            <w:vAlign w:val="bottom"/>
          </w:tcPr>
          <w:p>
            <w:pPr>
              <w:jc w:val="right"/>
              <w:ind w:right="359"/>
              <w:spacing w:after="0"/>
              <w:rPr>
                <w:sz w:val="20"/>
                <w:szCs w:val="20"/>
                <w:color w:val="auto"/>
              </w:rPr>
            </w:pPr>
            <w:r>
              <w:rPr>
                <w:rFonts w:ascii="Arial" w:cs="Arial" w:eastAsia="Arial" w:hAnsi="Arial"/>
                <w:sz w:val="12"/>
                <w:szCs w:val="12"/>
                <w:color w:val="242424"/>
              </w:rPr>
              <w:t>8,125</w:t>
            </w:r>
            <w:r>
              <w:rPr>
                <w:rFonts w:ascii="Arial" w:cs="Arial" w:eastAsia="Arial" w:hAnsi="Arial"/>
                <w:sz w:val="6"/>
                <w:szCs w:val="6"/>
                <w:color w:val="242424"/>
              </w:rPr>
              <w:t>(5)</w:t>
            </w:r>
          </w:p>
        </w:tc>
        <w:tc>
          <w:tcPr>
            <w:tcW w:w="1760" w:type="dxa"/>
            <w:vAlign w:val="bottom"/>
          </w:tcPr>
          <w:p>
            <w:pPr>
              <w:jc w:val="right"/>
              <w:ind w:right="279"/>
              <w:spacing w:after="0"/>
              <w:rPr>
                <w:sz w:val="20"/>
                <w:szCs w:val="20"/>
                <w:color w:val="auto"/>
              </w:rPr>
            </w:pPr>
            <w:r>
              <w:rPr>
                <w:rFonts w:ascii="Arial" w:cs="Arial" w:eastAsia="Arial" w:hAnsi="Arial"/>
                <w:sz w:val="12"/>
                <w:szCs w:val="12"/>
                <w:color w:val="242424"/>
              </w:rPr>
              <w:t>4,319,819</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tcPr>
          <w:p>
            <w:pPr>
              <w:jc w:val="right"/>
              <w:ind w:right="199"/>
              <w:spacing w:after="0"/>
              <w:rPr>
                <w:sz w:val="20"/>
                <w:szCs w:val="20"/>
                <w:color w:val="auto"/>
              </w:rPr>
            </w:pPr>
            <w:r>
              <w:rPr>
                <w:rFonts w:ascii="Arial" w:cs="Arial" w:eastAsia="Arial" w:hAnsi="Arial"/>
                <w:sz w:val="12"/>
                <w:szCs w:val="12"/>
                <w:color w:val="242424"/>
              </w:rPr>
              <w:t>3,750</w:t>
            </w:r>
            <w:r>
              <w:rPr>
                <w:rFonts w:ascii="Arial" w:cs="Arial" w:eastAsia="Arial" w:hAnsi="Arial"/>
                <w:sz w:val="6"/>
                <w:szCs w:val="6"/>
                <w:color w:val="242424"/>
              </w:rPr>
              <w:t>(6)</w:t>
            </w:r>
          </w:p>
        </w:tc>
        <w:tc>
          <w:tcPr>
            <w:tcW w:w="1500" w:type="dxa"/>
            <w:vAlign w:val="bottom"/>
          </w:tcPr>
          <w:p>
            <w:pPr>
              <w:jc w:val="right"/>
              <w:ind w:right="179"/>
              <w:spacing w:after="0"/>
              <w:rPr>
                <w:sz w:val="20"/>
                <w:szCs w:val="20"/>
                <w:color w:val="auto"/>
              </w:rPr>
            </w:pPr>
            <w:r>
              <w:rPr>
                <w:rFonts w:ascii="Arial" w:cs="Arial" w:eastAsia="Arial" w:hAnsi="Arial"/>
                <w:sz w:val="12"/>
                <w:szCs w:val="12"/>
                <w:color w:val="242424"/>
              </w:rPr>
              <w:t>1,993,763</w:t>
            </w:r>
          </w:p>
        </w:tc>
        <w:tc>
          <w:tcPr>
            <w:tcW w:w="2180" w:type="dxa"/>
            <w:vAlign w:val="bottom"/>
          </w:tcPr>
          <w:p>
            <w:pPr>
              <w:jc w:val="right"/>
              <w:ind w:right="359"/>
              <w:spacing w:after="0"/>
              <w:rPr>
                <w:sz w:val="20"/>
                <w:szCs w:val="20"/>
                <w:color w:val="auto"/>
              </w:rPr>
            </w:pPr>
            <w:r>
              <w:rPr>
                <w:rFonts w:ascii="Arial" w:cs="Arial" w:eastAsia="Arial" w:hAnsi="Arial"/>
                <w:sz w:val="12"/>
                <w:szCs w:val="12"/>
                <w:color w:val="242424"/>
              </w:rPr>
              <w:t>11,330</w:t>
            </w:r>
            <w:r>
              <w:rPr>
                <w:rFonts w:ascii="Arial" w:cs="Arial" w:eastAsia="Arial" w:hAnsi="Arial"/>
                <w:sz w:val="6"/>
                <w:szCs w:val="6"/>
                <w:color w:val="242424"/>
              </w:rPr>
              <w:t>(7)</w:t>
            </w:r>
          </w:p>
        </w:tc>
        <w:tc>
          <w:tcPr>
            <w:tcW w:w="1760" w:type="dxa"/>
            <w:vAlign w:val="bottom"/>
          </w:tcPr>
          <w:p>
            <w:pPr>
              <w:jc w:val="right"/>
              <w:ind w:right="279"/>
              <w:spacing w:after="0"/>
              <w:rPr>
                <w:sz w:val="20"/>
                <w:szCs w:val="20"/>
                <w:color w:val="auto"/>
              </w:rPr>
            </w:pPr>
            <w:r>
              <w:rPr>
                <w:rFonts w:ascii="Arial" w:cs="Arial" w:eastAsia="Arial" w:hAnsi="Arial"/>
                <w:sz w:val="12"/>
                <w:szCs w:val="12"/>
                <w:color w:val="242424"/>
              </w:rPr>
              <w:t>6,023,821</w:t>
            </w:r>
          </w:p>
        </w:tc>
        <w:tc>
          <w:tcPr>
            <w:tcW w:w="1500" w:type="dxa"/>
            <w:vAlign w:val="bottom"/>
          </w:tcPr>
          <w:p>
            <w:pPr>
              <w:jc w:val="center"/>
              <w:spacing w:after="0"/>
              <w:rPr>
                <w:sz w:val="20"/>
                <w:szCs w:val="20"/>
                <w:color w:val="auto"/>
              </w:rPr>
            </w:pPr>
            <w:r>
              <w:rPr>
                <w:rFonts w:ascii="Arial" w:cs="Arial" w:eastAsia="Arial" w:hAnsi="Arial"/>
                <w:sz w:val="12"/>
                <w:szCs w:val="12"/>
                <w:color w:val="242424"/>
              </w:rPr>
              <w:t>03/15/19</w:t>
            </w:r>
          </w:p>
        </w:tc>
        <w:tc>
          <w:tcPr>
            <w:tcW w:w="0" w:type="dxa"/>
            <w:vAlign w:val="bottom"/>
          </w:tcPr>
          <w:p>
            <w:pPr>
              <w:spacing w:after="0"/>
              <w:rPr>
                <w:sz w:val="1"/>
                <w:szCs w:val="1"/>
                <w:color w:val="auto"/>
              </w:rPr>
            </w:pPr>
          </w:p>
        </w:tc>
      </w:tr>
      <w:tr>
        <w:trPr>
          <w:trHeight w:val="185"/>
        </w:trPr>
        <w:tc>
          <w:tcPr>
            <w:tcW w:w="18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tcPr>
          <w:p>
            <w:pPr>
              <w:jc w:val="right"/>
              <w:ind w:right="199"/>
              <w:spacing w:after="0"/>
              <w:rPr>
                <w:sz w:val="20"/>
                <w:szCs w:val="20"/>
                <w:color w:val="auto"/>
              </w:rPr>
            </w:pPr>
            <w:r>
              <w:rPr>
                <w:rFonts w:ascii="Arial" w:cs="Arial" w:eastAsia="Arial" w:hAnsi="Arial"/>
                <w:sz w:val="12"/>
                <w:szCs w:val="12"/>
                <w:color w:val="242424"/>
              </w:rPr>
              <w:t>5,625</w:t>
            </w:r>
            <w:r>
              <w:rPr>
                <w:rFonts w:ascii="Arial" w:cs="Arial" w:eastAsia="Arial" w:hAnsi="Arial"/>
                <w:sz w:val="6"/>
                <w:szCs w:val="6"/>
                <w:color w:val="242424"/>
              </w:rPr>
              <w:t>(6)</w:t>
            </w:r>
          </w:p>
        </w:tc>
        <w:tc>
          <w:tcPr>
            <w:tcW w:w="1500" w:type="dxa"/>
            <w:vAlign w:val="bottom"/>
          </w:tcPr>
          <w:p>
            <w:pPr>
              <w:jc w:val="right"/>
              <w:ind w:right="179"/>
              <w:spacing w:after="0"/>
              <w:rPr>
                <w:sz w:val="20"/>
                <w:szCs w:val="20"/>
                <w:color w:val="auto"/>
              </w:rPr>
            </w:pPr>
            <w:r>
              <w:rPr>
                <w:rFonts w:ascii="Arial" w:cs="Arial" w:eastAsia="Arial" w:hAnsi="Arial"/>
                <w:sz w:val="12"/>
                <w:szCs w:val="12"/>
                <w:color w:val="242424"/>
              </w:rPr>
              <w:t>2,990,644</w:t>
            </w:r>
          </w:p>
        </w:tc>
        <w:tc>
          <w:tcPr>
            <w:tcW w:w="2180" w:type="dxa"/>
            <w:vAlign w:val="bottom"/>
          </w:tcPr>
          <w:p>
            <w:pPr>
              <w:jc w:val="right"/>
              <w:ind w:right="359"/>
              <w:spacing w:after="0"/>
              <w:rPr>
                <w:sz w:val="20"/>
                <w:szCs w:val="20"/>
                <w:color w:val="auto"/>
              </w:rPr>
            </w:pPr>
            <w:r>
              <w:rPr>
                <w:rFonts w:ascii="Arial" w:cs="Arial" w:eastAsia="Arial" w:hAnsi="Arial"/>
                <w:sz w:val="12"/>
                <w:szCs w:val="12"/>
                <w:color w:val="242424"/>
              </w:rPr>
              <w:t>13,125</w:t>
            </w:r>
            <w:r>
              <w:rPr>
                <w:rFonts w:ascii="Arial" w:cs="Arial" w:eastAsia="Arial" w:hAnsi="Arial"/>
                <w:sz w:val="6"/>
                <w:szCs w:val="6"/>
                <w:color w:val="242424"/>
              </w:rPr>
              <w:t>(8)</w:t>
            </w:r>
          </w:p>
        </w:tc>
        <w:tc>
          <w:tcPr>
            <w:tcW w:w="1760" w:type="dxa"/>
            <w:vAlign w:val="bottom"/>
          </w:tcPr>
          <w:p>
            <w:pPr>
              <w:jc w:val="right"/>
              <w:ind w:right="279"/>
              <w:spacing w:after="0"/>
              <w:rPr>
                <w:sz w:val="20"/>
                <w:szCs w:val="20"/>
                <w:color w:val="auto"/>
              </w:rPr>
            </w:pPr>
            <w:r>
              <w:rPr>
                <w:rFonts w:ascii="Arial" w:cs="Arial" w:eastAsia="Arial" w:hAnsi="Arial"/>
                <w:sz w:val="12"/>
                <w:szCs w:val="12"/>
                <w:color w:val="242424"/>
              </w:rPr>
              <w:t>6,978,169</w:t>
            </w:r>
          </w:p>
        </w:tc>
        <w:tc>
          <w:tcPr>
            <w:tcW w:w="1500" w:type="dxa"/>
            <w:vAlign w:val="bottom"/>
          </w:tcPr>
          <w:p>
            <w:pPr>
              <w:jc w:val="center"/>
              <w:spacing w:after="0"/>
              <w:rPr>
                <w:sz w:val="20"/>
                <w:szCs w:val="20"/>
                <w:color w:val="auto"/>
              </w:rPr>
            </w:pPr>
            <w:r>
              <w:rPr>
                <w:rFonts w:ascii="Arial" w:cs="Arial" w:eastAsia="Arial" w:hAnsi="Arial"/>
                <w:sz w:val="12"/>
                <w:szCs w:val="12"/>
                <w:color w:val="242424"/>
              </w:rPr>
              <w:t>03/15/20</w:t>
            </w: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tcPr>
          <w:p>
            <w:pPr>
              <w:jc w:val="right"/>
              <w:ind w:right="199"/>
              <w:spacing w:after="0"/>
              <w:rPr>
                <w:sz w:val="20"/>
                <w:szCs w:val="20"/>
                <w:color w:val="auto"/>
              </w:rPr>
            </w:pPr>
            <w:r>
              <w:rPr>
                <w:rFonts w:ascii="Arial" w:cs="Arial" w:eastAsia="Arial" w:hAnsi="Arial"/>
                <w:sz w:val="12"/>
                <w:szCs w:val="12"/>
                <w:color w:val="242424"/>
              </w:rPr>
              <w:t>7,500</w:t>
            </w:r>
            <w:r>
              <w:rPr>
                <w:rFonts w:ascii="Arial" w:cs="Arial" w:eastAsia="Arial" w:hAnsi="Arial"/>
                <w:sz w:val="6"/>
                <w:szCs w:val="6"/>
                <w:color w:val="242424"/>
              </w:rPr>
              <w:t>(6)</w:t>
            </w:r>
          </w:p>
        </w:tc>
        <w:tc>
          <w:tcPr>
            <w:tcW w:w="1500" w:type="dxa"/>
            <w:vAlign w:val="bottom"/>
          </w:tcPr>
          <w:p>
            <w:pPr>
              <w:jc w:val="right"/>
              <w:ind w:right="179"/>
              <w:spacing w:after="0"/>
              <w:rPr>
                <w:sz w:val="20"/>
                <w:szCs w:val="20"/>
                <w:color w:val="auto"/>
              </w:rPr>
            </w:pPr>
            <w:r>
              <w:rPr>
                <w:rFonts w:ascii="Arial" w:cs="Arial" w:eastAsia="Arial" w:hAnsi="Arial"/>
                <w:sz w:val="12"/>
                <w:szCs w:val="12"/>
                <w:color w:val="242424"/>
              </w:rPr>
              <w:t>3,987,525</w:t>
            </w:r>
          </w:p>
        </w:tc>
        <w:tc>
          <w:tcPr>
            <w:tcW w:w="2180" w:type="dxa"/>
            <w:vAlign w:val="bottom"/>
          </w:tcPr>
          <w:p>
            <w:pPr>
              <w:jc w:val="right"/>
              <w:ind w:right="359"/>
              <w:spacing w:after="0"/>
              <w:rPr>
                <w:sz w:val="20"/>
                <w:szCs w:val="20"/>
                <w:color w:val="auto"/>
              </w:rPr>
            </w:pPr>
            <w:r>
              <w:rPr>
                <w:rFonts w:ascii="Arial" w:cs="Arial" w:eastAsia="Arial" w:hAnsi="Arial"/>
                <w:sz w:val="12"/>
                <w:szCs w:val="12"/>
                <w:color w:val="242424"/>
              </w:rPr>
              <w:t>7,500</w:t>
            </w:r>
            <w:r>
              <w:rPr>
                <w:rFonts w:ascii="Arial" w:cs="Arial" w:eastAsia="Arial" w:hAnsi="Arial"/>
                <w:sz w:val="6"/>
                <w:szCs w:val="6"/>
                <w:color w:val="242424"/>
              </w:rPr>
              <w:t>(9)</w:t>
            </w:r>
          </w:p>
        </w:tc>
        <w:tc>
          <w:tcPr>
            <w:tcW w:w="1760" w:type="dxa"/>
            <w:vAlign w:val="bottom"/>
          </w:tcPr>
          <w:p>
            <w:pPr>
              <w:jc w:val="right"/>
              <w:ind w:right="279"/>
              <w:spacing w:after="0"/>
              <w:rPr>
                <w:sz w:val="20"/>
                <w:szCs w:val="20"/>
                <w:color w:val="auto"/>
              </w:rPr>
            </w:pPr>
            <w:r>
              <w:rPr>
                <w:rFonts w:ascii="Arial" w:cs="Arial" w:eastAsia="Arial" w:hAnsi="Arial"/>
                <w:sz w:val="12"/>
                <w:szCs w:val="12"/>
                <w:color w:val="242424"/>
              </w:rPr>
              <w:t>3,987,525</w:t>
            </w:r>
          </w:p>
        </w:tc>
        <w:tc>
          <w:tcPr>
            <w:tcW w:w="1500" w:type="dxa"/>
            <w:vAlign w:val="bottom"/>
          </w:tcPr>
          <w:p>
            <w:pPr>
              <w:jc w:val="center"/>
              <w:spacing w:after="0"/>
              <w:rPr>
                <w:sz w:val="20"/>
                <w:szCs w:val="20"/>
                <w:color w:val="auto"/>
              </w:rPr>
            </w:pPr>
            <w:r>
              <w:rPr>
                <w:rFonts w:ascii="Arial" w:cs="Arial" w:eastAsia="Arial" w:hAnsi="Arial"/>
                <w:sz w:val="12"/>
                <w:szCs w:val="12"/>
                <w:color w:val="242424"/>
              </w:rPr>
              <w:t>03/15/21</w:t>
            </w: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tcPr>
          <w:p>
            <w:pPr>
              <w:jc w:val="right"/>
              <w:ind w:right="199"/>
              <w:spacing w:after="0"/>
              <w:rPr>
                <w:sz w:val="20"/>
                <w:szCs w:val="20"/>
                <w:color w:val="auto"/>
              </w:rPr>
            </w:pPr>
            <w:r>
              <w:rPr>
                <w:rFonts w:ascii="Arial" w:cs="Arial" w:eastAsia="Arial" w:hAnsi="Arial"/>
                <w:sz w:val="12"/>
                <w:szCs w:val="12"/>
                <w:color w:val="242424"/>
              </w:rPr>
              <w:t>7,500</w:t>
            </w:r>
            <w:r>
              <w:rPr>
                <w:rFonts w:ascii="Arial" w:cs="Arial" w:eastAsia="Arial" w:hAnsi="Arial"/>
                <w:sz w:val="6"/>
                <w:szCs w:val="6"/>
                <w:color w:val="242424"/>
              </w:rPr>
              <w:t>(6)</w:t>
            </w:r>
          </w:p>
        </w:tc>
        <w:tc>
          <w:tcPr>
            <w:tcW w:w="1500" w:type="dxa"/>
            <w:vAlign w:val="bottom"/>
          </w:tcPr>
          <w:p>
            <w:pPr>
              <w:jc w:val="right"/>
              <w:ind w:right="179"/>
              <w:spacing w:after="0"/>
              <w:rPr>
                <w:sz w:val="20"/>
                <w:szCs w:val="20"/>
                <w:color w:val="auto"/>
              </w:rPr>
            </w:pPr>
            <w:r>
              <w:rPr>
                <w:rFonts w:ascii="Arial" w:cs="Arial" w:eastAsia="Arial" w:hAnsi="Arial"/>
                <w:sz w:val="12"/>
                <w:szCs w:val="12"/>
                <w:color w:val="242424"/>
              </w:rPr>
              <w:t>3,987,525</w:t>
            </w:r>
          </w:p>
        </w:tc>
        <w:tc>
          <w:tcPr>
            <w:tcW w:w="2180" w:type="dxa"/>
            <w:vAlign w:val="bottom"/>
          </w:tcPr>
          <w:p>
            <w:pPr>
              <w:jc w:val="right"/>
              <w:ind w:right="319"/>
              <w:spacing w:after="0"/>
              <w:rPr>
                <w:sz w:val="20"/>
                <w:szCs w:val="20"/>
                <w:color w:val="auto"/>
              </w:rPr>
            </w:pPr>
            <w:r>
              <w:rPr>
                <w:rFonts w:ascii="Arial" w:cs="Arial" w:eastAsia="Arial" w:hAnsi="Arial"/>
                <w:sz w:val="12"/>
                <w:szCs w:val="12"/>
                <w:color w:val="242424"/>
              </w:rPr>
              <w:t>7,500</w:t>
            </w:r>
            <w:r>
              <w:rPr>
                <w:rFonts w:ascii="Arial" w:cs="Arial" w:eastAsia="Arial" w:hAnsi="Arial"/>
                <w:sz w:val="6"/>
                <w:szCs w:val="6"/>
                <w:color w:val="242424"/>
              </w:rPr>
              <w:t>(10)</w:t>
            </w:r>
          </w:p>
        </w:tc>
        <w:tc>
          <w:tcPr>
            <w:tcW w:w="1760" w:type="dxa"/>
            <w:vAlign w:val="bottom"/>
          </w:tcPr>
          <w:p>
            <w:pPr>
              <w:jc w:val="right"/>
              <w:ind w:right="279"/>
              <w:spacing w:after="0"/>
              <w:rPr>
                <w:sz w:val="20"/>
                <w:szCs w:val="20"/>
                <w:color w:val="auto"/>
              </w:rPr>
            </w:pPr>
            <w:r>
              <w:rPr>
                <w:rFonts w:ascii="Arial" w:cs="Arial" w:eastAsia="Arial" w:hAnsi="Arial"/>
                <w:sz w:val="12"/>
                <w:szCs w:val="12"/>
                <w:color w:val="242424"/>
              </w:rPr>
              <w:t>3,987,525</w:t>
            </w:r>
          </w:p>
        </w:tc>
        <w:tc>
          <w:tcPr>
            <w:tcW w:w="1500" w:type="dxa"/>
            <w:vAlign w:val="bottom"/>
          </w:tcPr>
          <w:p>
            <w:pPr>
              <w:jc w:val="center"/>
              <w:spacing w:after="0"/>
              <w:rPr>
                <w:sz w:val="20"/>
                <w:szCs w:val="20"/>
                <w:color w:val="auto"/>
              </w:rPr>
            </w:pPr>
            <w:r>
              <w:rPr>
                <w:rFonts w:ascii="Arial" w:cs="Arial" w:eastAsia="Arial" w:hAnsi="Arial"/>
                <w:sz w:val="12"/>
                <w:szCs w:val="12"/>
                <w:color w:val="242424"/>
              </w:rPr>
              <w:t>03/15/22</w:t>
            </w: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880" w:type="dxa"/>
            <w:vAlign w:val="bottom"/>
            <w:shd w:val="clear" w:color="auto" w:fill="EAEAEA"/>
          </w:tcPr>
          <w:p>
            <w:pPr>
              <w:ind w:left="20"/>
              <w:spacing w:after="0"/>
              <w:rPr>
                <w:sz w:val="20"/>
                <w:szCs w:val="20"/>
                <w:color w:val="auto"/>
              </w:rPr>
            </w:pPr>
            <w:r>
              <w:rPr>
                <w:rFonts w:ascii="Arial" w:cs="Arial" w:eastAsia="Arial" w:hAnsi="Arial"/>
                <w:sz w:val="12"/>
                <w:szCs w:val="12"/>
                <w:color w:val="242424"/>
              </w:rPr>
              <w:t>Charlie B. Kawwas, Ph.D.</w:t>
            </w:r>
          </w:p>
        </w:tc>
        <w:tc>
          <w:tcPr>
            <w:tcW w:w="86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12/15/17</w:t>
            </w:r>
          </w:p>
        </w:tc>
        <w:tc>
          <w:tcPr>
            <w:tcW w:w="142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1,250</w:t>
            </w:r>
            <w:r>
              <w:rPr>
                <w:rFonts w:ascii="Arial" w:cs="Arial" w:eastAsia="Arial" w:hAnsi="Arial"/>
                <w:sz w:val="6"/>
                <w:szCs w:val="6"/>
                <w:color w:val="242424"/>
              </w:rPr>
              <w:t>(4)</w:t>
            </w:r>
          </w:p>
        </w:tc>
        <w:tc>
          <w:tcPr>
            <w:tcW w:w="150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664,588</w:t>
            </w:r>
          </w:p>
        </w:tc>
        <w:tc>
          <w:tcPr>
            <w:tcW w:w="2180" w:type="dxa"/>
            <w:vAlign w:val="bottom"/>
            <w:shd w:val="clear" w:color="auto" w:fill="EAEAEA"/>
          </w:tcPr>
          <w:p>
            <w:pPr>
              <w:jc w:val="right"/>
              <w:ind w:right="599"/>
              <w:spacing w:after="0"/>
              <w:rPr>
                <w:sz w:val="20"/>
                <w:szCs w:val="20"/>
                <w:color w:val="auto"/>
              </w:rPr>
            </w:pPr>
            <w:r>
              <w:rPr>
                <w:rFonts w:ascii="Arial" w:cs="Arial" w:eastAsia="Arial" w:hAnsi="Arial"/>
                <w:sz w:val="12"/>
                <w:szCs w:val="12"/>
                <w:color w:val="242424"/>
              </w:rPr>
              <w:t>—</w:t>
            </w:r>
          </w:p>
        </w:tc>
        <w:tc>
          <w:tcPr>
            <w:tcW w:w="1760" w:type="dxa"/>
            <w:vAlign w:val="bottom"/>
            <w:shd w:val="clear" w:color="auto" w:fill="EAEAEA"/>
          </w:tcPr>
          <w:p>
            <w:pPr>
              <w:jc w:val="right"/>
              <w:ind w:right="439"/>
              <w:spacing w:after="0"/>
              <w:rPr>
                <w:sz w:val="20"/>
                <w:szCs w:val="20"/>
                <w:color w:val="auto"/>
              </w:rPr>
            </w:pPr>
            <w:r>
              <w:rPr>
                <w:rFonts w:ascii="Arial" w:cs="Arial" w:eastAsia="Arial" w:hAnsi="Arial"/>
                <w:sz w:val="12"/>
                <w:szCs w:val="12"/>
                <w:color w:val="242424"/>
              </w:rPr>
              <w:t>—</w:t>
            </w:r>
          </w:p>
        </w:tc>
        <w:tc>
          <w:tcPr>
            <w:tcW w:w="150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80" w:type="dxa"/>
            <w:vAlign w:val="bottom"/>
            <w:shd w:val="clear" w:color="auto" w:fill="EAEAEA"/>
          </w:tcPr>
          <w:p>
            <w:pPr>
              <w:spacing w:after="0"/>
              <w:rPr>
                <w:sz w:val="16"/>
                <w:szCs w:val="16"/>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03/15/18</w:t>
            </w:r>
          </w:p>
        </w:tc>
        <w:tc>
          <w:tcPr>
            <w:tcW w:w="142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1,875</w:t>
            </w:r>
            <w:r>
              <w:rPr>
                <w:rFonts w:ascii="Arial" w:cs="Arial" w:eastAsia="Arial" w:hAnsi="Arial"/>
                <w:sz w:val="6"/>
                <w:szCs w:val="6"/>
                <w:color w:val="242424"/>
              </w:rPr>
              <w:t>(4)</w:t>
            </w:r>
          </w:p>
        </w:tc>
        <w:tc>
          <w:tcPr>
            <w:tcW w:w="150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996,881</w:t>
            </w:r>
          </w:p>
        </w:tc>
        <w:tc>
          <w:tcPr>
            <w:tcW w:w="2180" w:type="dxa"/>
            <w:vAlign w:val="bottom"/>
            <w:shd w:val="clear" w:color="auto" w:fill="EAEAEA"/>
          </w:tcPr>
          <w:p>
            <w:pPr>
              <w:jc w:val="right"/>
              <w:ind w:right="359"/>
              <w:spacing w:after="0"/>
              <w:rPr>
                <w:sz w:val="20"/>
                <w:szCs w:val="20"/>
                <w:color w:val="auto"/>
              </w:rPr>
            </w:pPr>
            <w:r>
              <w:rPr>
                <w:rFonts w:ascii="Arial" w:cs="Arial" w:eastAsia="Arial" w:hAnsi="Arial"/>
                <w:sz w:val="12"/>
                <w:szCs w:val="12"/>
                <w:color w:val="242424"/>
              </w:rPr>
              <w:t>9,375</w:t>
            </w:r>
            <w:r>
              <w:rPr>
                <w:rFonts w:ascii="Arial" w:cs="Arial" w:eastAsia="Arial" w:hAnsi="Arial"/>
                <w:sz w:val="6"/>
                <w:szCs w:val="6"/>
                <w:color w:val="242424"/>
              </w:rPr>
              <w:t>(5)</w:t>
            </w:r>
          </w:p>
        </w:tc>
        <w:tc>
          <w:tcPr>
            <w:tcW w:w="1760" w:type="dxa"/>
            <w:vAlign w:val="bottom"/>
            <w:shd w:val="clear" w:color="auto" w:fill="EAEAEA"/>
          </w:tcPr>
          <w:p>
            <w:pPr>
              <w:jc w:val="right"/>
              <w:ind w:right="279"/>
              <w:spacing w:after="0"/>
              <w:rPr>
                <w:sz w:val="20"/>
                <w:szCs w:val="20"/>
                <w:color w:val="auto"/>
              </w:rPr>
            </w:pPr>
            <w:r>
              <w:rPr>
                <w:rFonts w:ascii="Arial" w:cs="Arial" w:eastAsia="Arial" w:hAnsi="Arial"/>
                <w:sz w:val="12"/>
                <w:szCs w:val="12"/>
                <w:color w:val="242424"/>
              </w:rPr>
              <w:t>4,984,406</w:t>
            </w:r>
          </w:p>
        </w:tc>
        <w:tc>
          <w:tcPr>
            <w:tcW w:w="150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880" w:type="dxa"/>
            <w:vAlign w:val="bottom"/>
            <w:shd w:val="clear" w:color="auto" w:fill="EAEAEA"/>
          </w:tcPr>
          <w:p>
            <w:pPr>
              <w:spacing w:after="0"/>
              <w:rPr>
                <w:sz w:val="16"/>
                <w:szCs w:val="16"/>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5,000</w:t>
            </w:r>
            <w:r>
              <w:rPr>
                <w:rFonts w:ascii="Arial" w:cs="Arial" w:eastAsia="Arial" w:hAnsi="Arial"/>
                <w:sz w:val="6"/>
                <w:szCs w:val="6"/>
                <w:color w:val="242424"/>
              </w:rPr>
              <w:t>(6)</w:t>
            </w:r>
          </w:p>
        </w:tc>
        <w:tc>
          <w:tcPr>
            <w:tcW w:w="1500" w:type="dxa"/>
            <w:vAlign w:val="bottom"/>
            <w:shd w:val="clear" w:color="auto" w:fill="EAEAEA"/>
          </w:tcPr>
          <w:p>
            <w:pPr>
              <w:jc w:val="right"/>
              <w:ind w:right="179"/>
              <w:spacing w:after="0"/>
              <w:rPr>
                <w:sz w:val="20"/>
                <w:szCs w:val="20"/>
                <w:color w:val="auto"/>
              </w:rPr>
            </w:pPr>
            <w:r>
              <w:rPr>
                <w:rFonts w:ascii="Arial" w:cs="Arial" w:eastAsia="Arial" w:hAnsi="Arial"/>
                <w:sz w:val="12"/>
                <w:szCs w:val="12"/>
                <w:color w:val="242424"/>
              </w:rPr>
              <w:t>2,658,350</w:t>
            </w:r>
          </w:p>
        </w:tc>
        <w:tc>
          <w:tcPr>
            <w:tcW w:w="2180" w:type="dxa"/>
            <w:vAlign w:val="bottom"/>
            <w:shd w:val="clear" w:color="auto" w:fill="EAEAEA"/>
          </w:tcPr>
          <w:p>
            <w:pPr>
              <w:jc w:val="right"/>
              <w:ind w:right="359"/>
              <w:spacing w:after="0"/>
              <w:rPr>
                <w:sz w:val="20"/>
                <w:szCs w:val="20"/>
                <w:color w:val="auto"/>
              </w:rPr>
            </w:pPr>
            <w:r>
              <w:rPr>
                <w:rFonts w:ascii="Arial" w:cs="Arial" w:eastAsia="Arial" w:hAnsi="Arial"/>
                <w:sz w:val="12"/>
                <w:szCs w:val="12"/>
                <w:color w:val="242424"/>
              </w:rPr>
              <w:t>15,106</w:t>
            </w:r>
            <w:r>
              <w:rPr>
                <w:rFonts w:ascii="Arial" w:cs="Arial" w:eastAsia="Arial" w:hAnsi="Arial"/>
                <w:sz w:val="6"/>
                <w:szCs w:val="6"/>
                <w:color w:val="242424"/>
              </w:rPr>
              <w:t>(7)</w:t>
            </w:r>
          </w:p>
        </w:tc>
        <w:tc>
          <w:tcPr>
            <w:tcW w:w="1760" w:type="dxa"/>
            <w:vAlign w:val="bottom"/>
            <w:shd w:val="clear" w:color="auto" w:fill="EAEAEA"/>
          </w:tcPr>
          <w:p>
            <w:pPr>
              <w:jc w:val="right"/>
              <w:ind w:right="279"/>
              <w:spacing w:after="0"/>
              <w:rPr>
                <w:sz w:val="20"/>
                <w:szCs w:val="20"/>
                <w:color w:val="auto"/>
              </w:rPr>
            </w:pPr>
            <w:r>
              <w:rPr>
                <w:rFonts w:ascii="Arial" w:cs="Arial" w:eastAsia="Arial" w:hAnsi="Arial"/>
                <w:sz w:val="12"/>
                <w:szCs w:val="12"/>
                <w:color w:val="242424"/>
              </w:rPr>
              <w:t>8,031,407</w:t>
            </w:r>
          </w:p>
        </w:tc>
        <w:tc>
          <w:tcPr>
            <w:tcW w:w="150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03/15/19</w:t>
            </w:r>
          </w:p>
        </w:tc>
        <w:tc>
          <w:tcPr>
            <w:tcW w:w="0" w:type="dxa"/>
            <w:vAlign w:val="bottom"/>
          </w:tcPr>
          <w:p>
            <w:pPr>
              <w:spacing w:after="0"/>
              <w:rPr>
                <w:sz w:val="1"/>
                <w:szCs w:val="1"/>
                <w:color w:val="auto"/>
              </w:rPr>
            </w:pPr>
          </w:p>
        </w:tc>
      </w:tr>
      <w:tr>
        <w:trPr>
          <w:trHeight w:val="185"/>
        </w:trPr>
        <w:tc>
          <w:tcPr>
            <w:tcW w:w="1880" w:type="dxa"/>
            <w:vAlign w:val="bottom"/>
            <w:shd w:val="clear" w:color="auto" w:fill="EAEAEA"/>
          </w:tcPr>
          <w:p>
            <w:pPr>
              <w:spacing w:after="0"/>
              <w:rPr>
                <w:sz w:val="16"/>
                <w:szCs w:val="16"/>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7,500</w:t>
            </w:r>
            <w:r>
              <w:rPr>
                <w:rFonts w:ascii="Arial" w:cs="Arial" w:eastAsia="Arial" w:hAnsi="Arial"/>
                <w:sz w:val="6"/>
                <w:szCs w:val="6"/>
                <w:color w:val="242424"/>
              </w:rPr>
              <w:t>(6)</w:t>
            </w:r>
          </w:p>
        </w:tc>
        <w:tc>
          <w:tcPr>
            <w:tcW w:w="1500" w:type="dxa"/>
            <w:vAlign w:val="bottom"/>
            <w:shd w:val="clear" w:color="auto" w:fill="EAEAEA"/>
          </w:tcPr>
          <w:p>
            <w:pPr>
              <w:jc w:val="right"/>
              <w:ind w:right="179"/>
              <w:spacing w:after="0"/>
              <w:rPr>
                <w:sz w:val="20"/>
                <w:szCs w:val="20"/>
                <w:color w:val="auto"/>
              </w:rPr>
            </w:pPr>
            <w:r>
              <w:rPr>
                <w:rFonts w:ascii="Arial" w:cs="Arial" w:eastAsia="Arial" w:hAnsi="Arial"/>
                <w:sz w:val="12"/>
                <w:szCs w:val="12"/>
                <w:color w:val="242424"/>
              </w:rPr>
              <w:t>3,987,525</w:t>
            </w:r>
          </w:p>
        </w:tc>
        <w:tc>
          <w:tcPr>
            <w:tcW w:w="2180" w:type="dxa"/>
            <w:vAlign w:val="bottom"/>
            <w:shd w:val="clear" w:color="auto" w:fill="EAEAEA"/>
          </w:tcPr>
          <w:p>
            <w:pPr>
              <w:jc w:val="right"/>
              <w:ind w:right="359"/>
              <w:spacing w:after="0"/>
              <w:rPr>
                <w:sz w:val="20"/>
                <w:szCs w:val="20"/>
                <w:color w:val="auto"/>
              </w:rPr>
            </w:pPr>
            <w:r>
              <w:rPr>
                <w:rFonts w:ascii="Arial" w:cs="Arial" w:eastAsia="Arial" w:hAnsi="Arial"/>
                <w:sz w:val="12"/>
                <w:szCs w:val="12"/>
                <w:color w:val="242424"/>
              </w:rPr>
              <w:t>17,500</w:t>
            </w:r>
            <w:r>
              <w:rPr>
                <w:rFonts w:ascii="Arial" w:cs="Arial" w:eastAsia="Arial" w:hAnsi="Arial"/>
                <w:sz w:val="6"/>
                <w:szCs w:val="6"/>
                <w:color w:val="242424"/>
              </w:rPr>
              <w:t>(8)</w:t>
            </w:r>
          </w:p>
        </w:tc>
        <w:tc>
          <w:tcPr>
            <w:tcW w:w="1760" w:type="dxa"/>
            <w:vAlign w:val="bottom"/>
            <w:shd w:val="clear" w:color="auto" w:fill="EAEAEA"/>
          </w:tcPr>
          <w:p>
            <w:pPr>
              <w:jc w:val="right"/>
              <w:ind w:right="279"/>
              <w:spacing w:after="0"/>
              <w:rPr>
                <w:sz w:val="20"/>
                <w:szCs w:val="20"/>
                <w:color w:val="auto"/>
              </w:rPr>
            </w:pPr>
            <w:r>
              <w:rPr>
                <w:rFonts w:ascii="Arial" w:cs="Arial" w:eastAsia="Arial" w:hAnsi="Arial"/>
                <w:sz w:val="12"/>
                <w:szCs w:val="12"/>
                <w:color w:val="242424"/>
              </w:rPr>
              <w:t>9,304,225</w:t>
            </w:r>
          </w:p>
        </w:tc>
        <w:tc>
          <w:tcPr>
            <w:tcW w:w="150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03/15/20</w:t>
            </w:r>
          </w:p>
        </w:tc>
        <w:tc>
          <w:tcPr>
            <w:tcW w:w="0" w:type="dxa"/>
            <w:vAlign w:val="bottom"/>
          </w:tcPr>
          <w:p>
            <w:pPr>
              <w:spacing w:after="0"/>
              <w:rPr>
                <w:sz w:val="1"/>
                <w:szCs w:val="1"/>
                <w:color w:val="auto"/>
              </w:rPr>
            </w:pPr>
          </w:p>
        </w:tc>
      </w:tr>
      <w:tr>
        <w:trPr>
          <w:trHeight w:val="186"/>
        </w:trPr>
        <w:tc>
          <w:tcPr>
            <w:tcW w:w="1880" w:type="dxa"/>
            <w:vAlign w:val="bottom"/>
            <w:shd w:val="clear" w:color="auto" w:fill="EAEAEA"/>
          </w:tcPr>
          <w:p>
            <w:pPr>
              <w:spacing w:after="0"/>
              <w:rPr>
                <w:sz w:val="16"/>
                <w:szCs w:val="16"/>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10,000</w:t>
            </w:r>
            <w:r>
              <w:rPr>
                <w:rFonts w:ascii="Arial" w:cs="Arial" w:eastAsia="Arial" w:hAnsi="Arial"/>
                <w:sz w:val="6"/>
                <w:szCs w:val="6"/>
                <w:color w:val="242424"/>
              </w:rPr>
              <w:t>(6)</w:t>
            </w:r>
          </w:p>
        </w:tc>
        <w:tc>
          <w:tcPr>
            <w:tcW w:w="1500" w:type="dxa"/>
            <w:vAlign w:val="bottom"/>
            <w:shd w:val="clear" w:color="auto" w:fill="EAEAEA"/>
          </w:tcPr>
          <w:p>
            <w:pPr>
              <w:jc w:val="right"/>
              <w:ind w:right="179"/>
              <w:spacing w:after="0"/>
              <w:rPr>
                <w:sz w:val="20"/>
                <w:szCs w:val="20"/>
                <w:color w:val="auto"/>
              </w:rPr>
            </w:pPr>
            <w:r>
              <w:rPr>
                <w:rFonts w:ascii="Arial" w:cs="Arial" w:eastAsia="Arial" w:hAnsi="Arial"/>
                <w:sz w:val="12"/>
                <w:szCs w:val="12"/>
                <w:color w:val="242424"/>
              </w:rPr>
              <w:t>5,316,700</w:t>
            </w:r>
          </w:p>
        </w:tc>
        <w:tc>
          <w:tcPr>
            <w:tcW w:w="2180" w:type="dxa"/>
            <w:vAlign w:val="bottom"/>
            <w:shd w:val="clear" w:color="auto" w:fill="EAEAEA"/>
          </w:tcPr>
          <w:p>
            <w:pPr>
              <w:jc w:val="right"/>
              <w:ind w:right="359"/>
              <w:spacing w:after="0"/>
              <w:rPr>
                <w:sz w:val="20"/>
                <w:szCs w:val="20"/>
                <w:color w:val="auto"/>
              </w:rPr>
            </w:pPr>
            <w:r>
              <w:rPr>
                <w:rFonts w:ascii="Arial" w:cs="Arial" w:eastAsia="Arial" w:hAnsi="Arial"/>
                <w:sz w:val="12"/>
                <w:szCs w:val="12"/>
                <w:color w:val="242424"/>
              </w:rPr>
              <w:t>10,000</w:t>
            </w:r>
            <w:r>
              <w:rPr>
                <w:rFonts w:ascii="Arial" w:cs="Arial" w:eastAsia="Arial" w:hAnsi="Arial"/>
                <w:sz w:val="6"/>
                <w:szCs w:val="6"/>
                <w:color w:val="242424"/>
              </w:rPr>
              <w:t>(9)</w:t>
            </w:r>
          </w:p>
        </w:tc>
        <w:tc>
          <w:tcPr>
            <w:tcW w:w="1760" w:type="dxa"/>
            <w:vAlign w:val="bottom"/>
            <w:shd w:val="clear" w:color="auto" w:fill="EAEAEA"/>
          </w:tcPr>
          <w:p>
            <w:pPr>
              <w:jc w:val="right"/>
              <w:ind w:right="279"/>
              <w:spacing w:after="0"/>
              <w:rPr>
                <w:sz w:val="20"/>
                <w:szCs w:val="20"/>
                <w:color w:val="auto"/>
              </w:rPr>
            </w:pPr>
            <w:r>
              <w:rPr>
                <w:rFonts w:ascii="Arial" w:cs="Arial" w:eastAsia="Arial" w:hAnsi="Arial"/>
                <w:sz w:val="12"/>
                <w:szCs w:val="12"/>
                <w:color w:val="242424"/>
              </w:rPr>
              <w:t>5,316,700</w:t>
            </w:r>
          </w:p>
        </w:tc>
        <w:tc>
          <w:tcPr>
            <w:tcW w:w="150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03/15/21</w:t>
            </w:r>
          </w:p>
        </w:tc>
        <w:tc>
          <w:tcPr>
            <w:tcW w:w="0" w:type="dxa"/>
            <w:vAlign w:val="bottom"/>
          </w:tcPr>
          <w:p>
            <w:pPr>
              <w:spacing w:after="0"/>
              <w:rPr>
                <w:sz w:val="1"/>
                <w:szCs w:val="1"/>
                <w:color w:val="auto"/>
              </w:rPr>
            </w:pPr>
          </w:p>
        </w:tc>
      </w:tr>
      <w:tr>
        <w:trPr>
          <w:trHeight w:val="185"/>
        </w:trPr>
        <w:tc>
          <w:tcPr>
            <w:tcW w:w="1880" w:type="dxa"/>
            <w:vAlign w:val="bottom"/>
            <w:shd w:val="clear" w:color="auto" w:fill="EAEAEA"/>
          </w:tcPr>
          <w:p>
            <w:pPr>
              <w:spacing w:after="0"/>
              <w:rPr>
                <w:sz w:val="16"/>
                <w:szCs w:val="16"/>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shd w:val="clear" w:color="auto" w:fill="EAEAEA"/>
          </w:tcPr>
          <w:p>
            <w:pPr>
              <w:jc w:val="right"/>
              <w:ind w:right="199"/>
              <w:spacing w:after="0"/>
              <w:rPr>
                <w:sz w:val="20"/>
                <w:szCs w:val="20"/>
                <w:color w:val="auto"/>
              </w:rPr>
            </w:pPr>
            <w:r>
              <w:rPr>
                <w:rFonts w:ascii="Arial" w:cs="Arial" w:eastAsia="Arial" w:hAnsi="Arial"/>
                <w:sz w:val="12"/>
                <w:szCs w:val="12"/>
                <w:color w:val="242424"/>
              </w:rPr>
              <w:t>10,000</w:t>
            </w:r>
            <w:r>
              <w:rPr>
                <w:rFonts w:ascii="Arial" w:cs="Arial" w:eastAsia="Arial" w:hAnsi="Arial"/>
                <w:sz w:val="6"/>
                <w:szCs w:val="6"/>
                <w:color w:val="242424"/>
              </w:rPr>
              <w:t>(6)</w:t>
            </w:r>
          </w:p>
        </w:tc>
        <w:tc>
          <w:tcPr>
            <w:tcW w:w="1500" w:type="dxa"/>
            <w:vAlign w:val="bottom"/>
            <w:shd w:val="clear" w:color="auto" w:fill="EAEAEA"/>
          </w:tcPr>
          <w:p>
            <w:pPr>
              <w:jc w:val="right"/>
              <w:ind w:right="179"/>
              <w:spacing w:after="0"/>
              <w:rPr>
                <w:sz w:val="20"/>
                <w:szCs w:val="20"/>
                <w:color w:val="auto"/>
              </w:rPr>
            </w:pPr>
            <w:r>
              <w:rPr>
                <w:rFonts w:ascii="Arial" w:cs="Arial" w:eastAsia="Arial" w:hAnsi="Arial"/>
                <w:sz w:val="12"/>
                <w:szCs w:val="12"/>
                <w:color w:val="242424"/>
              </w:rPr>
              <w:t>5,316,700</w:t>
            </w:r>
          </w:p>
        </w:tc>
        <w:tc>
          <w:tcPr>
            <w:tcW w:w="2180" w:type="dxa"/>
            <w:vAlign w:val="bottom"/>
            <w:shd w:val="clear" w:color="auto" w:fill="EAEAEA"/>
          </w:tcPr>
          <w:p>
            <w:pPr>
              <w:jc w:val="right"/>
              <w:ind w:right="319"/>
              <w:spacing w:after="0"/>
              <w:rPr>
                <w:sz w:val="20"/>
                <w:szCs w:val="20"/>
                <w:color w:val="auto"/>
              </w:rPr>
            </w:pPr>
            <w:r>
              <w:rPr>
                <w:rFonts w:ascii="Arial" w:cs="Arial" w:eastAsia="Arial" w:hAnsi="Arial"/>
                <w:sz w:val="12"/>
                <w:szCs w:val="12"/>
                <w:color w:val="242424"/>
              </w:rPr>
              <w:t>10,000</w:t>
            </w:r>
            <w:r>
              <w:rPr>
                <w:rFonts w:ascii="Arial" w:cs="Arial" w:eastAsia="Arial" w:hAnsi="Arial"/>
                <w:sz w:val="6"/>
                <w:szCs w:val="6"/>
                <w:color w:val="242424"/>
              </w:rPr>
              <w:t>(10)</w:t>
            </w:r>
          </w:p>
        </w:tc>
        <w:tc>
          <w:tcPr>
            <w:tcW w:w="1760" w:type="dxa"/>
            <w:vAlign w:val="bottom"/>
            <w:shd w:val="clear" w:color="auto" w:fill="EAEAEA"/>
          </w:tcPr>
          <w:p>
            <w:pPr>
              <w:jc w:val="right"/>
              <w:ind w:right="279"/>
              <w:spacing w:after="0"/>
              <w:rPr>
                <w:sz w:val="20"/>
                <w:szCs w:val="20"/>
                <w:color w:val="auto"/>
              </w:rPr>
            </w:pPr>
            <w:r>
              <w:rPr>
                <w:rFonts w:ascii="Arial" w:cs="Arial" w:eastAsia="Arial" w:hAnsi="Arial"/>
                <w:sz w:val="12"/>
                <w:szCs w:val="12"/>
                <w:color w:val="242424"/>
              </w:rPr>
              <w:t>5,316,700</w:t>
            </w:r>
          </w:p>
        </w:tc>
        <w:tc>
          <w:tcPr>
            <w:tcW w:w="150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03/15/22</w:t>
            </w:r>
          </w:p>
        </w:tc>
        <w:tc>
          <w:tcPr>
            <w:tcW w:w="0" w:type="dxa"/>
            <w:vAlign w:val="bottom"/>
          </w:tcPr>
          <w:p>
            <w:pPr>
              <w:spacing w:after="0"/>
              <w:rPr>
                <w:sz w:val="1"/>
                <w:szCs w:val="1"/>
                <w:color w:val="auto"/>
              </w:rPr>
            </w:pPr>
          </w:p>
        </w:tc>
      </w:tr>
      <w:tr>
        <w:trPr>
          <w:trHeight w:val="203"/>
        </w:trPr>
        <w:tc>
          <w:tcPr>
            <w:tcW w:w="1880" w:type="dxa"/>
            <w:vAlign w:val="bottom"/>
            <w:shd w:val="clear" w:color="auto" w:fill="EAEAEA"/>
          </w:tcPr>
          <w:p>
            <w:pPr>
              <w:spacing w:after="0"/>
              <w:rPr>
                <w:sz w:val="17"/>
                <w:szCs w:val="17"/>
                <w:color w:val="auto"/>
              </w:rPr>
            </w:pPr>
          </w:p>
        </w:tc>
        <w:tc>
          <w:tcPr>
            <w:tcW w:w="860" w:type="dxa"/>
            <w:vAlign w:val="bottom"/>
            <w:shd w:val="clear" w:color="auto" w:fill="EAEAEA"/>
          </w:tcPr>
          <w:p>
            <w:pPr>
              <w:jc w:val="center"/>
              <w:spacing w:after="0"/>
              <w:rPr>
                <w:sz w:val="20"/>
                <w:szCs w:val="20"/>
                <w:color w:val="auto"/>
              </w:rPr>
            </w:pPr>
            <w:r>
              <w:rPr>
                <w:rFonts w:ascii="Arial" w:cs="Arial" w:eastAsia="Arial" w:hAnsi="Arial"/>
                <w:sz w:val="12"/>
                <w:szCs w:val="12"/>
                <w:color w:val="242424"/>
              </w:rPr>
              <w:t>04/05/21</w:t>
            </w:r>
          </w:p>
        </w:tc>
        <w:tc>
          <w:tcPr>
            <w:tcW w:w="1420" w:type="dxa"/>
            <w:vAlign w:val="bottom"/>
            <w:shd w:val="clear" w:color="auto" w:fill="EAEAEA"/>
          </w:tcPr>
          <w:p>
            <w:pPr>
              <w:jc w:val="right"/>
              <w:ind w:right="139"/>
              <w:spacing w:after="0"/>
              <w:rPr>
                <w:sz w:val="20"/>
                <w:szCs w:val="20"/>
                <w:color w:val="auto"/>
              </w:rPr>
            </w:pPr>
            <w:r>
              <w:rPr>
                <w:rFonts w:ascii="Arial" w:cs="Arial" w:eastAsia="Arial" w:hAnsi="Arial"/>
                <w:sz w:val="12"/>
                <w:szCs w:val="12"/>
                <w:color w:val="242424"/>
              </w:rPr>
              <w:t>17,940</w:t>
            </w:r>
            <w:r>
              <w:rPr>
                <w:rFonts w:ascii="Arial" w:cs="Arial" w:eastAsia="Arial" w:hAnsi="Arial"/>
                <w:sz w:val="6"/>
                <w:szCs w:val="6"/>
                <w:color w:val="242424"/>
              </w:rPr>
              <w:t>(12)</w:t>
            </w:r>
          </w:p>
        </w:tc>
        <w:tc>
          <w:tcPr>
            <w:tcW w:w="1500" w:type="dxa"/>
            <w:vAlign w:val="bottom"/>
            <w:shd w:val="clear" w:color="auto" w:fill="EAEAEA"/>
          </w:tcPr>
          <w:p>
            <w:pPr>
              <w:jc w:val="right"/>
              <w:ind w:right="179"/>
              <w:spacing w:after="0"/>
              <w:rPr>
                <w:sz w:val="20"/>
                <w:szCs w:val="20"/>
                <w:color w:val="auto"/>
              </w:rPr>
            </w:pPr>
            <w:r>
              <w:rPr>
                <w:rFonts w:ascii="Arial" w:cs="Arial" w:eastAsia="Arial" w:hAnsi="Arial"/>
                <w:sz w:val="12"/>
                <w:szCs w:val="12"/>
                <w:color w:val="242424"/>
              </w:rPr>
              <w:t>9,538,160</w:t>
            </w:r>
          </w:p>
        </w:tc>
        <w:tc>
          <w:tcPr>
            <w:tcW w:w="2180" w:type="dxa"/>
            <w:vAlign w:val="bottom"/>
            <w:shd w:val="clear" w:color="auto" w:fill="EAEAEA"/>
          </w:tcPr>
          <w:p>
            <w:pPr>
              <w:jc w:val="right"/>
              <w:ind w:right="319"/>
              <w:spacing w:after="0"/>
              <w:rPr>
                <w:sz w:val="20"/>
                <w:szCs w:val="20"/>
                <w:color w:val="auto"/>
              </w:rPr>
            </w:pPr>
            <w:r>
              <w:rPr>
                <w:rFonts w:ascii="Arial" w:cs="Arial" w:eastAsia="Arial" w:hAnsi="Arial"/>
                <w:sz w:val="12"/>
                <w:szCs w:val="12"/>
                <w:color w:val="242424"/>
              </w:rPr>
              <w:t>35,880</w:t>
            </w:r>
            <w:r>
              <w:rPr>
                <w:rFonts w:ascii="Arial" w:cs="Arial" w:eastAsia="Arial" w:hAnsi="Arial"/>
                <w:sz w:val="6"/>
                <w:szCs w:val="6"/>
                <w:color w:val="242424"/>
              </w:rPr>
              <w:t>(13)</w:t>
            </w:r>
          </w:p>
        </w:tc>
        <w:tc>
          <w:tcPr>
            <w:tcW w:w="1760" w:type="dxa"/>
            <w:vAlign w:val="bottom"/>
            <w:shd w:val="clear" w:color="auto" w:fill="EAEAEA"/>
          </w:tcPr>
          <w:p>
            <w:pPr>
              <w:jc w:val="right"/>
              <w:ind w:right="279"/>
              <w:spacing w:after="0"/>
              <w:rPr>
                <w:sz w:val="20"/>
                <w:szCs w:val="20"/>
                <w:color w:val="auto"/>
              </w:rPr>
            </w:pPr>
            <w:r>
              <w:rPr>
                <w:rFonts w:ascii="Arial" w:cs="Arial" w:eastAsia="Arial" w:hAnsi="Arial"/>
                <w:sz w:val="12"/>
                <w:szCs w:val="12"/>
                <w:color w:val="242424"/>
              </w:rPr>
              <w:t>19,076,320</w:t>
            </w:r>
          </w:p>
        </w:tc>
        <w:tc>
          <w:tcPr>
            <w:tcW w:w="15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880" w:type="dxa"/>
            <w:vAlign w:val="bottom"/>
          </w:tcPr>
          <w:p>
            <w:pPr>
              <w:ind w:left="20"/>
              <w:spacing w:after="0"/>
              <w:rPr>
                <w:sz w:val="20"/>
                <w:szCs w:val="20"/>
                <w:color w:val="auto"/>
              </w:rPr>
            </w:pPr>
            <w:r>
              <w:rPr>
                <w:rFonts w:ascii="Arial" w:cs="Arial" w:eastAsia="Arial" w:hAnsi="Arial"/>
                <w:sz w:val="12"/>
                <w:szCs w:val="12"/>
                <w:color w:val="242424"/>
              </w:rPr>
              <w:t>Thomas H. Krause, Jr.</w:t>
            </w:r>
          </w:p>
        </w:tc>
        <w:tc>
          <w:tcPr>
            <w:tcW w:w="860" w:type="dxa"/>
            <w:vAlign w:val="bottom"/>
          </w:tcPr>
          <w:p>
            <w:pPr>
              <w:jc w:val="center"/>
              <w:spacing w:after="0"/>
              <w:rPr>
                <w:sz w:val="20"/>
                <w:szCs w:val="20"/>
                <w:color w:val="auto"/>
              </w:rPr>
            </w:pPr>
            <w:r>
              <w:rPr>
                <w:rFonts w:ascii="Arial" w:cs="Arial" w:eastAsia="Arial" w:hAnsi="Arial"/>
                <w:sz w:val="12"/>
                <w:szCs w:val="12"/>
                <w:color w:val="242424"/>
              </w:rPr>
              <w:t>12/15/17</w:t>
            </w:r>
          </w:p>
        </w:tc>
        <w:tc>
          <w:tcPr>
            <w:tcW w:w="1420" w:type="dxa"/>
            <w:vAlign w:val="bottom"/>
          </w:tcPr>
          <w:p>
            <w:pPr>
              <w:jc w:val="right"/>
              <w:ind w:right="199"/>
              <w:spacing w:after="0"/>
              <w:rPr>
                <w:sz w:val="20"/>
                <w:szCs w:val="20"/>
                <w:color w:val="auto"/>
              </w:rPr>
            </w:pPr>
            <w:r>
              <w:rPr>
                <w:rFonts w:ascii="Arial" w:cs="Arial" w:eastAsia="Arial" w:hAnsi="Arial"/>
                <w:sz w:val="12"/>
                <w:szCs w:val="12"/>
                <w:color w:val="242424"/>
              </w:rPr>
              <w:t>1,250</w:t>
            </w:r>
            <w:r>
              <w:rPr>
                <w:rFonts w:ascii="Arial" w:cs="Arial" w:eastAsia="Arial" w:hAnsi="Arial"/>
                <w:sz w:val="6"/>
                <w:szCs w:val="6"/>
                <w:color w:val="242424"/>
              </w:rPr>
              <w:t>(4)</w:t>
            </w:r>
          </w:p>
        </w:tc>
        <w:tc>
          <w:tcPr>
            <w:tcW w:w="1500" w:type="dxa"/>
            <w:vAlign w:val="bottom"/>
          </w:tcPr>
          <w:p>
            <w:pPr>
              <w:jc w:val="right"/>
              <w:ind w:right="199"/>
              <w:spacing w:after="0"/>
              <w:rPr>
                <w:sz w:val="20"/>
                <w:szCs w:val="20"/>
                <w:color w:val="auto"/>
              </w:rPr>
            </w:pPr>
            <w:r>
              <w:rPr>
                <w:rFonts w:ascii="Arial" w:cs="Arial" w:eastAsia="Arial" w:hAnsi="Arial"/>
                <w:sz w:val="12"/>
                <w:szCs w:val="12"/>
                <w:color w:val="242424"/>
              </w:rPr>
              <w:t>664,588</w:t>
            </w:r>
          </w:p>
        </w:tc>
        <w:tc>
          <w:tcPr>
            <w:tcW w:w="2180" w:type="dxa"/>
            <w:vAlign w:val="bottom"/>
          </w:tcPr>
          <w:p>
            <w:pPr>
              <w:jc w:val="right"/>
              <w:ind w:right="599"/>
              <w:spacing w:after="0"/>
              <w:rPr>
                <w:sz w:val="20"/>
                <w:szCs w:val="20"/>
                <w:color w:val="auto"/>
              </w:rPr>
            </w:pPr>
            <w:r>
              <w:rPr>
                <w:rFonts w:ascii="Arial" w:cs="Arial" w:eastAsia="Arial" w:hAnsi="Arial"/>
                <w:sz w:val="12"/>
                <w:szCs w:val="12"/>
                <w:color w:val="242424"/>
              </w:rPr>
              <w:t>—</w:t>
            </w:r>
          </w:p>
        </w:tc>
        <w:tc>
          <w:tcPr>
            <w:tcW w:w="1760" w:type="dxa"/>
            <w:vAlign w:val="bottom"/>
          </w:tcPr>
          <w:p>
            <w:pPr>
              <w:jc w:val="right"/>
              <w:ind w:right="439"/>
              <w:spacing w:after="0"/>
              <w:rPr>
                <w:sz w:val="20"/>
                <w:szCs w:val="20"/>
                <w:color w:val="auto"/>
              </w:rPr>
            </w:pPr>
            <w:r>
              <w:rPr>
                <w:rFonts w:ascii="Arial" w:cs="Arial" w:eastAsia="Arial" w:hAnsi="Arial"/>
                <w:sz w:val="12"/>
                <w:szCs w:val="12"/>
                <w:color w:val="242424"/>
              </w:rPr>
              <w:t>—</w:t>
            </w: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242424"/>
              </w:rPr>
              <w:t>03/15/18</w:t>
            </w:r>
          </w:p>
        </w:tc>
        <w:tc>
          <w:tcPr>
            <w:tcW w:w="1420" w:type="dxa"/>
            <w:vAlign w:val="bottom"/>
          </w:tcPr>
          <w:p>
            <w:pPr>
              <w:jc w:val="right"/>
              <w:ind w:right="199"/>
              <w:spacing w:after="0"/>
              <w:rPr>
                <w:sz w:val="20"/>
                <w:szCs w:val="20"/>
                <w:color w:val="auto"/>
              </w:rPr>
            </w:pPr>
            <w:r>
              <w:rPr>
                <w:rFonts w:ascii="Arial" w:cs="Arial" w:eastAsia="Arial" w:hAnsi="Arial"/>
                <w:sz w:val="12"/>
                <w:szCs w:val="12"/>
                <w:color w:val="242424"/>
              </w:rPr>
              <w:t>2,000</w:t>
            </w:r>
            <w:r>
              <w:rPr>
                <w:rFonts w:ascii="Arial" w:cs="Arial" w:eastAsia="Arial" w:hAnsi="Arial"/>
                <w:sz w:val="6"/>
                <w:szCs w:val="6"/>
                <w:color w:val="242424"/>
              </w:rPr>
              <w:t>(4)</w:t>
            </w:r>
          </w:p>
        </w:tc>
        <w:tc>
          <w:tcPr>
            <w:tcW w:w="1500" w:type="dxa"/>
            <w:vAlign w:val="bottom"/>
          </w:tcPr>
          <w:p>
            <w:pPr>
              <w:jc w:val="right"/>
              <w:ind w:right="199"/>
              <w:spacing w:after="0"/>
              <w:rPr>
                <w:sz w:val="20"/>
                <w:szCs w:val="20"/>
                <w:color w:val="auto"/>
              </w:rPr>
            </w:pPr>
            <w:r>
              <w:rPr>
                <w:rFonts w:ascii="Arial" w:cs="Arial" w:eastAsia="Arial" w:hAnsi="Arial"/>
                <w:sz w:val="12"/>
                <w:szCs w:val="12"/>
                <w:color w:val="242424"/>
              </w:rPr>
              <w:t>1,063,340</w:t>
            </w:r>
          </w:p>
        </w:tc>
        <w:tc>
          <w:tcPr>
            <w:tcW w:w="2180" w:type="dxa"/>
            <w:vAlign w:val="bottom"/>
          </w:tcPr>
          <w:p>
            <w:pPr>
              <w:jc w:val="right"/>
              <w:ind w:right="359"/>
              <w:spacing w:after="0"/>
              <w:rPr>
                <w:sz w:val="20"/>
                <w:szCs w:val="20"/>
                <w:color w:val="auto"/>
              </w:rPr>
            </w:pPr>
            <w:r>
              <w:rPr>
                <w:rFonts w:ascii="Arial" w:cs="Arial" w:eastAsia="Arial" w:hAnsi="Arial"/>
                <w:sz w:val="12"/>
                <w:szCs w:val="12"/>
                <w:color w:val="242424"/>
              </w:rPr>
              <w:t>10,000</w:t>
            </w:r>
            <w:r>
              <w:rPr>
                <w:rFonts w:ascii="Arial" w:cs="Arial" w:eastAsia="Arial" w:hAnsi="Arial"/>
                <w:sz w:val="6"/>
                <w:szCs w:val="6"/>
                <w:color w:val="242424"/>
              </w:rPr>
              <w:t>(5)</w:t>
            </w:r>
          </w:p>
        </w:tc>
        <w:tc>
          <w:tcPr>
            <w:tcW w:w="1760" w:type="dxa"/>
            <w:vAlign w:val="bottom"/>
          </w:tcPr>
          <w:p>
            <w:pPr>
              <w:jc w:val="right"/>
              <w:ind w:right="279"/>
              <w:spacing w:after="0"/>
              <w:rPr>
                <w:sz w:val="20"/>
                <w:szCs w:val="20"/>
                <w:color w:val="auto"/>
              </w:rPr>
            </w:pPr>
            <w:r>
              <w:rPr>
                <w:rFonts w:ascii="Arial" w:cs="Arial" w:eastAsia="Arial" w:hAnsi="Arial"/>
                <w:sz w:val="12"/>
                <w:szCs w:val="12"/>
                <w:color w:val="242424"/>
              </w:rPr>
              <w:t>5,316,700</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8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tcPr>
          <w:p>
            <w:pPr>
              <w:jc w:val="right"/>
              <w:ind w:right="199"/>
              <w:spacing w:after="0"/>
              <w:rPr>
                <w:sz w:val="20"/>
                <w:szCs w:val="20"/>
                <w:color w:val="auto"/>
              </w:rPr>
            </w:pPr>
            <w:r>
              <w:rPr>
                <w:rFonts w:ascii="Arial" w:cs="Arial" w:eastAsia="Arial" w:hAnsi="Arial"/>
                <w:sz w:val="12"/>
                <w:szCs w:val="12"/>
                <w:color w:val="242424"/>
              </w:rPr>
              <w:t>5,000</w:t>
            </w:r>
            <w:r>
              <w:rPr>
                <w:rFonts w:ascii="Arial" w:cs="Arial" w:eastAsia="Arial" w:hAnsi="Arial"/>
                <w:sz w:val="6"/>
                <w:szCs w:val="6"/>
                <w:color w:val="242424"/>
              </w:rPr>
              <w:t>(6)</w:t>
            </w:r>
          </w:p>
        </w:tc>
        <w:tc>
          <w:tcPr>
            <w:tcW w:w="1500" w:type="dxa"/>
            <w:vAlign w:val="bottom"/>
          </w:tcPr>
          <w:p>
            <w:pPr>
              <w:jc w:val="right"/>
              <w:ind w:right="199"/>
              <w:spacing w:after="0"/>
              <w:rPr>
                <w:sz w:val="20"/>
                <w:szCs w:val="20"/>
                <w:color w:val="auto"/>
              </w:rPr>
            </w:pPr>
            <w:r>
              <w:rPr>
                <w:rFonts w:ascii="Arial" w:cs="Arial" w:eastAsia="Arial" w:hAnsi="Arial"/>
                <w:sz w:val="12"/>
                <w:szCs w:val="12"/>
                <w:color w:val="242424"/>
              </w:rPr>
              <w:t>2,658,350</w:t>
            </w:r>
          </w:p>
        </w:tc>
        <w:tc>
          <w:tcPr>
            <w:tcW w:w="2180" w:type="dxa"/>
            <w:vAlign w:val="bottom"/>
          </w:tcPr>
          <w:p>
            <w:pPr>
              <w:jc w:val="right"/>
              <w:ind w:right="359"/>
              <w:spacing w:after="0"/>
              <w:rPr>
                <w:sz w:val="20"/>
                <w:szCs w:val="20"/>
                <w:color w:val="auto"/>
              </w:rPr>
            </w:pPr>
            <w:r>
              <w:rPr>
                <w:rFonts w:ascii="Arial" w:cs="Arial" w:eastAsia="Arial" w:hAnsi="Arial"/>
                <w:sz w:val="12"/>
                <w:szCs w:val="12"/>
                <w:color w:val="242424"/>
              </w:rPr>
              <w:t>15,106</w:t>
            </w:r>
            <w:r>
              <w:rPr>
                <w:rFonts w:ascii="Arial" w:cs="Arial" w:eastAsia="Arial" w:hAnsi="Arial"/>
                <w:sz w:val="6"/>
                <w:szCs w:val="6"/>
                <w:color w:val="242424"/>
              </w:rPr>
              <w:t>(7)</w:t>
            </w:r>
          </w:p>
        </w:tc>
        <w:tc>
          <w:tcPr>
            <w:tcW w:w="1760" w:type="dxa"/>
            <w:vAlign w:val="bottom"/>
          </w:tcPr>
          <w:p>
            <w:pPr>
              <w:jc w:val="right"/>
              <w:ind w:right="279"/>
              <w:spacing w:after="0"/>
              <w:rPr>
                <w:sz w:val="20"/>
                <w:szCs w:val="20"/>
                <w:color w:val="auto"/>
              </w:rPr>
            </w:pPr>
            <w:r>
              <w:rPr>
                <w:rFonts w:ascii="Arial" w:cs="Arial" w:eastAsia="Arial" w:hAnsi="Arial"/>
                <w:sz w:val="12"/>
                <w:szCs w:val="12"/>
                <w:color w:val="242424"/>
              </w:rPr>
              <w:t>8,031,407</w:t>
            </w:r>
          </w:p>
        </w:tc>
        <w:tc>
          <w:tcPr>
            <w:tcW w:w="1500" w:type="dxa"/>
            <w:vAlign w:val="bottom"/>
          </w:tcPr>
          <w:p>
            <w:pPr>
              <w:jc w:val="center"/>
              <w:spacing w:after="0"/>
              <w:rPr>
                <w:sz w:val="20"/>
                <w:szCs w:val="20"/>
                <w:color w:val="auto"/>
              </w:rPr>
            </w:pPr>
            <w:r>
              <w:rPr>
                <w:rFonts w:ascii="Arial" w:cs="Arial" w:eastAsia="Arial" w:hAnsi="Arial"/>
                <w:sz w:val="12"/>
                <w:szCs w:val="12"/>
                <w:color w:val="242424"/>
              </w:rPr>
              <w:t>03/15/19</w:t>
            </w:r>
          </w:p>
        </w:tc>
        <w:tc>
          <w:tcPr>
            <w:tcW w:w="0" w:type="dxa"/>
            <w:vAlign w:val="bottom"/>
          </w:tcPr>
          <w:p>
            <w:pPr>
              <w:spacing w:after="0"/>
              <w:rPr>
                <w:sz w:val="1"/>
                <w:szCs w:val="1"/>
                <w:color w:val="auto"/>
              </w:rPr>
            </w:pPr>
          </w:p>
        </w:tc>
      </w:tr>
      <w:tr>
        <w:trPr>
          <w:trHeight w:val="185"/>
        </w:trPr>
        <w:tc>
          <w:tcPr>
            <w:tcW w:w="18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tcPr>
          <w:p>
            <w:pPr>
              <w:jc w:val="right"/>
              <w:ind w:right="199"/>
              <w:spacing w:after="0"/>
              <w:rPr>
                <w:sz w:val="20"/>
                <w:szCs w:val="20"/>
                <w:color w:val="auto"/>
              </w:rPr>
            </w:pPr>
            <w:r>
              <w:rPr>
                <w:rFonts w:ascii="Arial" w:cs="Arial" w:eastAsia="Arial" w:hAnsi="Arial"/>
                <w:sz w:val="12"/>
                <w:szCs w:val="12"/>
                <w:color w:val="242424"/>
              </w:rPr>
              <w:t>7,500</w:t>
            </w:r>
            <w:r>
              <w:rPr>
                <w:rFonts w:ascii="Arial" w:cs="Arial" w:eastAsia="Arial" w:hAnsi="Arial"/>
                <w:sz w:val="6"/>
                <w:szCs w:val="6"/>
                <w:color w:val="242424"/>
              </w:rPr>
              <w:t>(6)</w:t>
            </w:r>
          </w:p>
        </w:tc>
        <w:tc>
          <w:tcPr>
            <w:tcW w:w="1500" w:type="dxa"/>
            <w:vAlign w:val="bottom"/>
          </w:tcPr>
          <w:p>
            <w:pPr>
              <w:jc w:val="right"/>
              <w:ind w:right="179"/>
              <w:spacing w:after="0"/>
              <w:rPr>
                <w:sz w:val="20"/>
                <w:szCs w:val="20"/>
                <w:color w:val="auto"/>
              </w:rPr>
            </w:pPr>
            <w:r>
              <w:rPr>
                <w:rFonts w:ascii="Arial" w:cs="Arial" w:eastAsia="Arial" w:hAnsi="Arial"/>
                <w:sz w:val="12"/>
                <w:szCs w:val="12"/>
                <w:color w:val="242424"/>
              </w:rPr>
              <w:t>3,987,525</w:t>
            </w:r>
          </w:p>
        </w:tc>
        <w:tc>
          <w:tcPr>
            <w:tcW w:w="2180" w:type="dxa"/>
            <w:vAlign w:val="bottom"/>
          </w:tcPr>
          <w:p>
            <w:pPr>
              <w:jc w:val="right"/>
              <w:ind w:right="359"/>
              <w:spacing w:after="0"/>
              <w:rPr>
                <w:sz w:val="20"/>
                <w:szCs w:val="20"/>
                <w:color w:val="auto"/>
              </w:rPr>
            </w:pPr>
            <w:r>
              <w:rPr>
                <w:rFonts w:ascii="Arial" w:cs="Arial" w:eastAsia="Arial" w:hAnsi="Arial"/>
                <w:sz w:val="12"/>
                <w:szCs w:val="12"/>
                <w:color w:val="242424"/>
              </w:rPr>
              <w:t>17,500</w:t>
            </w:r>
            <w:r>
              <w:rPr>
                <w:rFonts w:ascii="Arial" w:cs="Arial" w:eastAsia="Arial" w:hAnsi="Arial"/>
                <w:sz w:val="6"/>
                <w:szCs w:val="6"/>
                <w:color w:val="242424"/>
              </w:rPr>
              <w:t>(8)</w:t>
            </w:r>
          </w:p>
        </w:tc>
        <w:tc>
          <w:tcPr>
            <w:tcW w:w="1760" w:type="dxa"/>
            <w:vAlign w:val="bottom"/>
          </w:tcPr>
          <w:p>
            <w:pPr>
              <w:jc w:val="right"/>
              <w:ind w:right="279"/>
              <w:spacing w:after="0"/>
              <w:rPr>
                <w:sz w:val="20"/>
                <w:szCs w:val="20"/>
                <w:color w:val="auto"/>
              </w:rPr>
            </w:pPr>
            <w:r>
              <w:rPr>
                <w:rFonts w:ascii="Arial" w:cs="Arial" w:eastAsia="Arial" w:hAnsi="Arial"/>
                <w:sz w:val="12"/>
                <w:szCs w:val="12"/>
                <w:color w:val="242424"/>
              </w:rPr>
              <w:t>9,304,225</w:t>
            </w:r>
          </w:p>
        </w:tc>
        <w:tc>
          <w:tcPr>
            <w:tcW w:w="1500" w:type="dxa"/>
            <w:vAlign w:val="bottom"/>
          </w:tcPr>
          <w:p>
            <w:pPr>
              <w:jc w:val="center"/>
              <w:spacing w:after="0"/>
              <w:rPr>
                <w:sz w:val="20"/>
                <w:szCs w:val="20"/>
                <w:color w:val="auto"/>
              </w:rPr>
            </w:pPr>
            <w:r>
              <w:rPr>
                <w:rFonts w:ascii="Arial" w:cs="Arial" w:eastAsia="Arial" w:hAnsi="Arial"/>
                <w:sz w:val="12"/>
                <w:szCs w:val="12"/>
                <w:color w:val="242424"/>
              </w:rPr>
              <w:t>03/15/20</w:t>
            </w:r>
          </w:p>
        </w:tc>
        <w:tc>
          <w:tcPr>
            <w:tcW w:w="0" w:type="dxa"/>
            <w:vAlign w:val="bottom"/>
          </w:tcPr>
          <w:p>
            <w:pPr>
              <w:spacing w:after="0"/>
              <w:rPr>
                <w:sz w:val="1"/>
                <w:szCs w:val="1"/>
                <w:color w:val="auto"/>
              </w:rPr>
            </w:pPr>
          </w:p>
        </w:tc>
      </w:tr>
      <w:tr>
        <w:trPr>
          <w:trHeight w:val="185"/>
        </w:trPr>
        <w:tc>
          <w:tcPr>
            <w:tcW w:w="18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tcPr>
          <w:p>
            <w:pPr>
              <w:jc w:val="right"/>
              <w:ind w:right="199"/>
              <w:spacing w:after="0"/>
              <w:rPr>
                <w:sz w:val="20"/>
                <w:szCs w:val="20"/>
                <w:color w:val="auto"/>
              </w:rPr>
            </w:pPr>
            <w:r>
              <w:rPr>
                <w:rFonts w:ascii="Arial" w:cs="Arial" w:eastAsia="Arial" w:hAnsi="Arial"/>
                <w:sz w:val="12"/>
                <w:szCs w:val="12"/>
                <w:color w:val="242424"/>
              </w:rPr>
              <w:t>10,000</w:t>
            </w:r>
            <w:r>
              <w:rPr>
                <w:rFonts w:ascii="Arial" w:cs="Arial" w:eastAsia="Arial" w:hAnsi="Arial"/>
                <w:sz w:val="6"/>
                <w:szCs w:val="6"/>
                <w:color w:val="242424"/>
              </w:rPr>
              <w:t>(6)</w:t>
            </w:r>
          </w:p>
        </w:tc>
        <w:tc>
          <w:tcPr>
            <w:tcW w:w="1500" w:type="dxa"/>
            <w:vAlign w:val="bottom"/>
          </w:tcPr>
          <w:p>
            <w:pPr>
              <w:jc w:val="right"/>
              <w:ind w:right="179"/>
              <w:spacing w:after="0"/>
              <w:rPr>
                <w:sz w:val="20"/>
                <w:szCs w:val="20"/>
                <w:color w:val="auto"/>
              </w:rPr>
            </w:pPr>
            <w:r>
              <w:rPr>
                <w:rFonts w:ascii="Arial" w:cs="Arial" w:eastAsia="Arial" w:hAnsi="Arial"/>
                <w:sz w:val="12"/>
                <w:szCs w:val="12"/>
                <w:color w:val="242424"/>
              </w:rPr>
              <w:t>5,316,700</w:t>
            </w:r>
          </w:p>
        </w:tc>
        <w:tc>
          <w:tcPr>
            <w:tcW w:w="2180" w:type="dxa"/>
            <w:vAlign w:val="bottom"/>
          </w:tcPr>
          <w:p>
            <w:pPr>
              <w:jc w:val="right"/>
              <w:ind w:right="359"/>
              <w:spacing w:after="0"/>
              <w:rPr>
                <w:sz w:val="20"/>
                <w:szCs w:val="20"/>
                <w:color w:val="auto"/>
              </w:rPr>
            </w:pPr>
            <w:r>
              <w:rPr>
                <w:rFonts w:ascii="Arial" w:cs="Arial" w:eastAsia="Arial" w:hAnsi="Arial"/>
                <w:sz w:val="12"/>
                <w:szCs w:val="12"/>
                <w:color w:val="242424"/>
              </w:rPr>
              <w:t>10,000</w:t>
            </w:r>
            <w:r>
              <w:rPr>
                <w:rFonts w:ascii="Arial" w:cs="Arial" w:eastAsia="Arial" w:hAnsi="Arial"/>
                <w:sz w:val="6"/>
                <w:szCs w:val="6"/>
                <w:color w:val="242424"/>
              </w:rPr>
              <w:t>(9)</w:t>
            </w:r>
          </w:p>
        </w:tc>
        <w:tc>
          <w:tcPr>
            <w:tcW w:w="1760" w:type="dxa"/>
            <w:vAlign w:val="bottom"/>
          </w:tcPr>
          <w:p>
            <w:pPr>
              <w:jc w:val="right"/>
              <w:ind w:right="279"/>
              <w:spacing w:after="0"/>
              <w:rPr>
                <w:sz w:val="20"/>
                <w:szCs w:val="20"/>
                <w:color w:val="auto"/>
              </w:rPr>
            </w:pPr>
            <w:r>
              <w:rPr>
                <w:rFonts w:ascii="Arial" w:cs="Arial" w:eastAsia="Arial" w:hAnsi="Arial"/>
                <w:sz w:val="12"/>
                <w:szCs w:val="12"/>
                <w:color w:val="242424"/>
              </w:rPr>
              <w:t>5,316,700</w:t>
            </w:r>
          </w:p>
        </w:tc>
        <w:tc>
          <w:tcPr>
            <w:tcW w:w="1500" w:type="dxa"/>
            <w:vAlign w:val="bottom"/>
          </w:tcPr>
          <w:p>
            <w:pPr>
              <w:jc w:val="center"/>
              <w:spacing w:after="0"/>
              <w:rPr>
                <w:sz w:val="20"/>
                <w:szCs w:val="20"/>
                <w:color w:val="auto"/>
              </w:rPr>
            </w:pPr>
            <w:r>
              <w:rPr>
                <w:rFonts w:ascii="Arial" w:cs="Arial" w:eastAsia="Arial" w:hAnsi="Arial"/>
                <w:sz w:val="12"/>
                <w:szCs w:val="12"/>
                <w:color w:val="242424"/>
              </w:rPr>
              <w:t>03/15/21</w:t>
            </w:r>
          </w:p>
        </w:tc>
        <w:tc>
          <w:tcPr>
            <w:tcW w:w="0" w:type="dxa"/>
            <w:vAlign w:val="bottom"/>
          </w:tcPr>
          <w:p>
            <w:pPr>
              <w:spacing w:after="0"/>
              <w:rPr>
                <w:sz w:val="1"/>
                <w:szCs w:val="1"/>
                <w:color w:val="auto"/>
              </w:rPr>
            </w:pPr>
          </w:p>
        </w:tc>
      </w:tr>
      <w:tr>
        <w:trPr>
          <w:trHeight w:val="185"/>
        </w:trPr>
        <w:tc>
          <w:tcPr>
            <w:tcW w:w="18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242424"/>
              </w:rPr>
              <w:t>01/15/19</w:t>
            </w:r>
          </w:p>
        </w:tc>
        <w:tc>
          <w:tcPr>
            <w:tcW w:w="1420" w:type="dxa"/>
            <w:vAlign w:val="bottom"/>
          </w:tcPr>
          <w:p>
            <w:pPr>
              <w:jc w:val="right"/>
              <w:ind w:right="199"/>
              <w:spacing w:after="0"/>
              <w:rPr>
                <w:sz w:val="20"/>
                <w:szCs w:val="20"/>
                <w:color w:val="auto"/>
              </w:rPr>
            </w:pPr>
            <w:r>
              <w:rPr>
                <w:rFonts w:ascii="Arial" w:cs="Arial" w:eastAsia="Arial" w:hAnsi="Arial"/>
                <w:sz w:val="12"/>
                <w:szCs w:val="12"/>
                <w:color w:val="242424"/>
              </w:rPr>
              <w:t>10,000</w:t>
            </w:r>
            <w:r>
              <w:rPr>
                <w:rFonts w:ascii="Arial" w:cs="Arial" w:eastAsia="Arial" w:hAnsi="Arial"/>
                <w:sz w:val="6"/>
                <w:szCs w:val="6"/>
                <w:color w:val="242424"/>
              </w:rPr>
              <w:t>(6)</w:t>
            </w:r>
          </w:p>
        </w:tc>
        <w:tc>
          <w:tcPr>
            <w:tcW w:w="1500" w:type="dxa"/>
            <w:vAlign w:val="bottom"/>
          </w:tcPr>
          <w:p>
            <w:pPr>
              <w:jc w:val="right"/>
              <w:ind w:right="179"/>
              <w:spacing w:after="0"/>
              <w:rPr>
                <w:sz w:val="20"/>
                <w:szCs w:val="20"/>
                <w:color w:val="auto"/>
              </w:rPr>
            </w:pPr>
            <w:r>
              <w:rPr>
                <w:rFonts w:ascii="Arial" w:cs="Arial" w:eastAsia="Arial" w:hAnsi="Arial"/>
                <w:sz w:val="12"/>
                <w:szCs w:val="12"/>
                <w:color w:val="242424"/>
              </w:rPr>
              <w:t>5,316,700</w:t>
            </w:r>
          </w:p>
        </w:tc>
        <w:tc>
          <w:tcPr>
            <w:tcW w:w="2180" w:type="dxa"/>
            <w:vAlign w:val="bottom"/>
          </w:tcPr>
          <w:p>
            <w:pPr>
              <w:jc w:val="right"/>
              <w:ind w:right="319"/>
              <w:spacing w:after="0"/>
              <w:rPr>
                <w:sz w:val="20"/>
                <w:szCs w:val="20"/>
                <w:color w:val="auto"/>
              </w:rPr>
            </w:pPr>
            <w:r>
              <w:rPr>
                <w:rFonts w:ascii="Arial" w:cs="Arial" w:eastAsia="Arial" w:hAnsi="Arial"/>
                <w:sz w:val="12"/>
                <w:szCs w:val="12"/>
                <w:color w:val="242424"/>
              </w:rPr>
              <w:t>10,000</w:t>
            </w:r>
            <w:r>
              <w:rPr>
                <w:rFonts w:ascii="Arial" w:cs="Arial" w:eastAsia="Arial" w:hAnsi="Arial"/>
                <w:sz w:val="6"/>
                <w:szCs w:val="6"/>
                <w:color w:val="242424"/>
              </w:rPr>
              <w:t>(10)</w:t>
            </w:r>
          </w:p>
        </w:tc>
        <w:tc>
          <w:tcPr>
            <w:tcW w:w="1760" w:type="dxa"/>
            <w:vAlign w:val="bottom"/>
          </w:tcPr>
          <w:p>
            <w:pPr>
              <w:jc w:val="right"/>
              <w:ind w:right="279"/>
              <w:spacing w:after="0"/>
              <w:rPr>
                <w:sz w:val="20"/>
                <w:szCs w:val="20"/>
                <w:color w:val="auto"/>
              </w:rPr>
            </w:pPr>
            <w:r>
              <w:rPr>
                <w:rFonts w:ascii="Arial" w:cs="Arial" w:eastAsia="Arial" w:hAnsi="Arial"/>
                <w:sz w:val="12"/>
                <w:szCs w:val="12"/>
                <w:color w:val="242424"/>
              </w:rPr>
              <w:t>5,316,700</w:t>
            </w:r>
          </w:p>
        </w:tc>
        <w:tc>
          <w:tcPr>
            <w:tcW w:w="1500" w:type="dxa"/>
            <w:vAlign w:val="bottom"/>
          </w:tcPr>
          <w:p>
            <w:pPr>
              <w:jc w:val="center"/>
              <w:spacing w:after="0"/>
              <w:rPr>
                <w:sz w:val="20"/>
                <w:szCs w:val="20"/>
                <w:color w:val="auto"/>
              </w:rPr>
            </w:pPr>
            <w:r>
              <w:rPr>
                <w:rFonts w:ascii="Arial" w:cs="Arial" w:eastAsia="Arial" w:hAnsi="Arial"/>
                <w:sz w:val="12"/>
                <w:szCs w:val="12"/>
                <w:color w:val="242424"/>
              </w:rPr>
              <w:t>03/15/22</w:t>
            </w:r>
          </w:p>
        </w:tc>
        <w:tc>
          <w:tcPr>
            <w:tcW w:w="0" w:type="dxa"/>
            <w:vAlign w:val="bottom"/>
          </w:tcPr>
          <w:p>
            <w:pPr>
              <w:spacing w:after="0"/>
              <w:rPr>
                <w:sz w:val="1"/>
                <w:szCs w:val="1"/>
                <w:color w:val="auto"/>
              </w:rPr>
            </w:pPr>
          </w:p>
        </w:tc>
      </w:tr>
      <w:tr>
        <w:trPr>
          <w:trHeight w:val="316"/>
        </w:trPr>
        <w:tc>
          <w:tcPr>
            <w:tcW w:w="18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242424"/>
              </w:rPr>
              <w:t>04/05/21</w:t>
            </w:r>
          </w:p>
        </w:tc>
        <w:tc>
          <w:tcPr>
            <w:tcW w:w="1420" w:type="dxa"/>
            <w:vAlign w:val="bottom"/>
          </w:tcPr>
          <w:p>
            <w:pPr>
              <w:jc w:val="right"/>
              <w:ind w:right="139"/>
              <w:spacing w:after="0"/>
              <w:rPr>
                <w:sz w:val="20"/>
                <w:szCs w:val="20"/>
                <w:color w:val="auto"/>
              </w:rPr>
            </w:pPr>
            <w:r>
              <w:rPr>
                <w:rFonts w:ascii="Arial" w:cs="Arial" w:eastAsia="Arial" w:hAnsi="Arial"/>
                <w:sz w:val="12"/>
                <w:szCs w:val="12"/>
                <w:color w:val="242424"/>
              </w:rPr>
              <w:t>17,940</w:t>
            </w:r>
            <w:r>
              <w:rPr>
                <w:rFonts w:ascii="Arial" w:cs="Arial" w:eastAsia="Arial" w:hAnsi="Arial"/>
                <w:sz w:val="6"/>
                <w:szCs w:val="6"/>
                <w:color w:val="242424"/>
              </w:rPr>
              <w:t>(12)</w:t>
            </w:r>
          </w:p>
        </w:tc>
        <w:tc>
          <w:tcPr>
            <w:tcW w:w="1500" w:type="dxa"/>
            <w:vAlign w:val="bottom"/>
          </w:tcPr>
          <w:p>
            <w:pPr>
              <w:jc w:val="right"/>
              <w:ind w:right="179"/>
              <w:spacing w:after="0"/>
              <w:rPr>
                <w:sz w:val="20"/>
                <w:szCs w:val="20"/>
                <w:color w:val="auto"/>
              </w:rPr>
            </w:pPr>
            <w:r>
              <w:rPr>
                <w:rFonts w:ascii="Arial" w:cs="Arial" w:eastAsia="Arial" w:hAnsi="Arial"/>
                <w:sz w:val="12"/>
                <w:szCs w:val="12"/>
                <w:color w:val="242424"/>
              </w:rPr>
              <w:t>9,538,160</w:t>
            </w:r>
          </w:p>
        </w:tc>
        <w:tc>
          <w:tcPr>
            <w:tcW w:w="2180" w:type="dxa"/>
            <w:vAlign w:val="bottom"/>
          </w:tcPr>
          <w:p>
            <w:pPr>
              <w:jc w:val="right"/>
              <w:ind w:right="299"/>
              <w:spacing w:after="0"/>
              <w:rPr>
                <w:sz w:val="20"/>
                <w:szCs w:val="20"/>
                <w:color w:val="auto"/>
              </w:rPr>
            </w:pPr>
            <w:r>
              <w:rPr>
                <w:rFonts w:ascii="Arial" w:cs="Arial" w:eastAsia="Arial" w:hAnsi="Arial"/>
                <w:sz w:val="24"/>
                <w:szCs w:val="24"/>
                <w:color w:val="242424"/>
                <w:vertAlign w:val="subscript"/>
              </w:rPr>
              <w:t>35,880</w:t>
            </w:r>
            <w:r>
              <w:rPr>
                <w:rFonts w:ascii="Arial" w:cs="Arial" w:eastAsia="Arial" w:hAnsi="Arial"/>
                <w:sz w:val="8"/>
                <w:szCs w:val="8"/>
                <w:color w:val="242424"/>
              </w:rPr>
              <w:t>(13</w:t>
            </w:r>
            <w:r>
              <w:rPr>
                <w:rFonts w:ascii="Arial" w:cs="Arial" w:eastAsia="Arial" w:hAnsi="Arial"/>
                <w:sz w:val="6"/>
                <w:szCs w:val="6"/>
                <w:color w:val="242424"/>
              </w:rPr>
              <w:t>)</w:t>
            </w:r>
          </w:p>
        </w:tc>
        <w:tc>
          <w:tcPr>
            <w:tcW w:w="1760" w:type="dxa"/>
            <w:vAlign w:val="bottom"/>
          </w:tcPr>
          <w:p>
            <w:pPr>
              <w:jc w:val="right"/>
              <w:ind w:right="279"/>
              <w:spacing w:after="0"/>
              <w:rPr>
                <w:sz w:val="20"/>
                <w:szCs w:val="20"/>
                <w:color w:val="auto"/>
              </w:rPr>
            </w:pPr>
            <w:r>
              <w:rPr>
                <w:rFonts w:ascii="Arial" w:cs="Arial" w:eastAsia="Arial" w:hAnsi="Arial"/>
                <w:sz w:val="12"/>
                <w:szCs w:val="12"/>
                <w:color w:val="242424"/>
              </w:rPr>
              <w:t>19,076,320</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71120</wp:posOffset>
            </wp:positionV>
            <wp:extent cx="1993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163" w:lineRule="exact"/>
        <w:rPr>
          <w:sz w:val="20"/>
          <w:szCs w:val="20"/>
          <w:color w:val="auto"/>
        </w:rPr>
      </w:pPr>
    </w:p>
    <w:p>
      <w:pPr>
        <w:ind w:left="420" w:hanging="335"/>
        <w:spacing w:after="0"/>
        <w:tabs>
          <w:tab w:leader="none" w:pos="420" w:val="left"/>
        </w:tabs>
        <w:numPr>
          <w:ilvl w:val="0"/>
          <w:numId w:val="74"/>
        </w:numPr>
        <w:rPr>
          <w:rFonts w:ascii="Arial" w:cs="Arial" w:eastAsia="Arial" w:hAnsi="Arial"/>
          <w:sz w:val="14"/>
          <w:szCs w:val="14"/>
          <w:color w:val="242424"/>
        </w:rPr>
      </w:pPr>
      <w:r>
        <w:rPr>
          <w:rFonts w:ascii="Arial" w:cs="Arial" w:eastAsia="Arial" w:hAnsi="Arial"/>
          <w:sz w:val="14"/>
          <w:szCs w:val="14"/>
          <w:color w:val="242424"/>
        </w:rPr>
        <w:t>The awards shown in these columns are awards granted under our Avago Technologies Limited 2009 Equity Incentive Plan (“Avago Plan”) unless otherwise noted.</w:t>
      </w:r>
    </w:p>
    <w:p>
      <w:pPr>
        <w:spacing w:after="0" w:line="37" w:lineRule="exact"/>
        <w:rPr>
          <w:rFonts w:ascii="Arial" w:cs="Arial" w:eastAsia="Arial" w:hAnsi="Arial"/>
          <w:sz w:val="14"/>
          <w:szCs w:val="14"/>
          <w:color w:val="242424"/>
        </w:rPr>
      </w:pPr>
    </w:p>
    <w:p>
      <w:pPr>
        <w:ind w:left="400" w:right="20" w:hanging="315"/>
        <w:spacing w:after="0" w:line="250" w:lineRule="auto"/>
        <w:tabs>
          <w:tab w:leader="none" w:pos="409" w:val="left"/>
        </w:tabs>
        <w:numPr>
          <w:ilvl w:val="0"/>
          <w:numId w:val="74"/>
        </w:numPr>
        <w:rPr>
          <w:rFonts w:ascii="Arial" w:cs="Arial" w:eastAsia="Arial" w:hAnsi="Arial"/>
          <w:sz w:val="14"/>
          <w:szCs w:val="14"/>
          <w:color w:val="242424"/>
        </w:rPr>
      </w:pPr>
      <w:r>
        <w:rPr>
          <w:rFonts w:ascii="Arial" w:cs="Arial" w:eastAsia="Arial" w:hAnsi="Arial"/>
          <w:sz w:val="14"/>
          <w:szCs w:val="14"/>
          <w:color w:val="242424"/>
        </w:rPr>
        <w:t>The amounts shown in this column represent the number of shares of common stock that have not vested multiplied by $531.67, the closing price per share of common stock on October 29, 2021, the last trading day of Fiscal Year 2021.</w:t>
      </w:r>
    </w:p>
    <w:p>
      <w:pPr>
        <w:spacing w:after="0" w:line="22" w:lineRule="exact"/>
        <w:rPr>
          <w:rFonts w:ascii="Arial" w:cs="Arial" w:eastAsia="Arial" w:hAnsi="Arial"/>
          <w:sz w:val="14"/>
          <w:szCs w:val="14"/>
          <w:color w:val="242424"/>
        </w:rPr>
      </w:pPr>
    </w:p>
    <w:p>
      <w:pPr>
        <w:ind w:left="400" w:right="120" w:hanging="315"/>
        <w:spacing w:after="0" w:line="239" w:lineRule="auto"/>
        <w:tabs>
          <w:tab w:leader="none" w:pos="412" w:val="left"/>
        </w:tabs>
        <w:numPr>
          <w:ilvl w:val="0"/>
          <w:numId w:val="74"/>
        </w:numPr>
        <w:rPr>
          <w:rFonts w:ascii="Arial" w:cs="Arial" w:eastAsia="Arial" w:hAnsi="Arial"/>
          <w:sz w:val="14"/>
          <w:szCs w:val="14"/>
          <w:color w:val="242424"/>
        </w:rPr>
      </w:pPr>
      <w:r>
        <w:rPr>
          <w:rFonts w:ascii="Arial" w:cs="Arial" w:eastAsia="Arial" w:hAnsi="Arial"/>
          <w:sz w:val="14"/>
          <w:szCs w:val="14"/>
          <w:color w:val="242424"/>
        </w:rPr>
        <w:t>Represents a PSU award granted under our 2012 Plan, based on attainment of the maximum performance level, given that the level of performance through October 31, 2021 is tracking above target. This PSU award is earned based on our Relative TSR and absolute TSR performance measured over the period beginning on November 2, 2020 and ending on October 29, 2023, as determined by the independent directors and subject to Mr. Tan’s continued employment on the vesting date of October 29, 2023. In the aggregate, Mr. Tan may earn up to 300% of the target number of shares if our Relative TSR is at or above the 75th percentile of the S&amp;P 500 Index and our absolute TSR is not negative, provided that no shares will be earned for a performance period if our Relative TSR is not at or above the 25th percentile of the S&amp;P 500 Index. However, as Mr. Tan has reached the age of 70, if he retires from Broadcom on or after the last day of Fiscal Year 2021, the performance period will end on the date of his retirement notice and vest on his retirement date.</w:t>
      </w:r>
    </w:p>
    <w:p>
      <w:pPr>
        <w:spacing w:after="0" w:line="17" w:lineRule="exact"/>
        <w:rPr>
          <w:rFonts w:ascii="Arial" w:cs="Arial" w:eastAsia="Arial" w:hAnsi="Arial"/>
          <w:sz w:val="14"/>
          <w:szCs w:val="14"/>
          <w:color w:val="242424"/>
        </w:rPr>
      </w:pPr>
    </w:p>
    <w:p>
      <w:pPr>
        <w:ind w:left="400" w:right="240" w:hanging="315"/>
        <w:spacing w:after="0" w:line="250" w:lineRule="auto"/>
        <w:tabs>
          <w:tab w:leader="none" w:pos="412" w:val="left"/>
        </w:tabs>
        <w:numPr>
          <w:ilvl w:val="0"/>
          <w:numId w:val="74"/>
        </w:numPr>
        <w:rPr>
          <w:rFonts w:ascii="Arial" w:cs="Arial" w:eastAsia="Arial" w:hAnsi="Arial"/>
          <w:sz w:val="14"/>
          <w:szCs w:val="14"/>
          <w:color w:val="242424"/>
        </w:rPr>
      </w:pPr>
      <w:r>
        <w:rPr>
          <w:rFonts w:ascii="Arial" w:cs="Arial" w:eastAsia="Arial" w:hAnsi="Arial"/>
          <w:sz w:val="14"/>
          <w:szCs w:val="14"/>
          <w:color w:val="242424"/>
        </w:rPr>
        <w:t>Represents service-based RSU awards that vest at a rate of 25% per year on each anniversary of the grant date, subject to the NEO’s continued employment through the applicable vesting date. The grant on December 15, 2020 to Ms. Spears was made under the LSI Corporation 2003 Equity Incentive Plan (the “LSI Plan”).</w:t>
      </w:r>
    </w:p>
    <w:p>
      <w:pPr>
        <w:spacing w:after="0" w:line="22" w:lineRule="exact"/>
        <w:rPr>
          <w:rFonts w:ascii="Arial" w:cs="Arial" w:eastAsia="Arial" w:hAnsi="Arial"/>
          <w:sz w:val="14"/>
          <w:szCs w:val="14"/>
          <w:color w:val="242424"/>
        </w:rPr>
      </w:pPr>
    </w:p>
    <w:p>
      <w:pPr>
        <w:ind w:left="400" w:hanging="315"/>
        <w:spacing w:after="0" w:line="239" w:lineRule="auto"/>
        <w:tabs>
          <w:tab w:leader="none" w:pos="412" w:val="left"/>
        </w:tabs>
        <w:numPr>
          <w:ilvl w:val="0"/>
          <w:numId w:val="74"/>
        </w:numPr>
        <w:rPr>
          <w:rFonts w:ascii="Arial" w:cs="Arial" w:eastAsia="Arial" w:hAnsi="Arial"/>
          <w:sz w:val="14"/>
          <w:szCs w:val="14"/>
          <w:color w:val="242424"/>
        </w:rPr>
      </w:pPr>
      <w:r>
        <w:rPr>
          <w:rFonts w:ascii="Arial" w:cs="Arial" w:eastAsia="Arial" w:hAnsi="Arial"/>
          <w:sz w:val="14"/>
          <w:szCs w:val="14"/>
          <w:color w:val="242424"/>
        </w:rPr>
        <w:t>Represents a PSU award based on attainment of the maximum performance level, given that the level of performance through October 31, 2021 is tracking at above target. The PSU award will vest at a rate of 25% per year on each anniversary of the grant date, subject to the NEO’s continued employment through the applicable vesting date and subject to the achievement of specified performance goals over each performance period, as determined by the Compensation Committee within 60 days following the end of each performance period. The performance criteria is based on our Relative TSR over four performance periods beginning on March 2, 2018 and ending on each of March 1 of 2019, 2020, 2021 and 2022. The number of shares that may be earned is capped at one-quarter of the target number of shares for each of the first three performance periods. In the aggregate, the NEO may earn up to 200% of the total target number of shares, if during the fourth performance period our Relative</w:t>
      </w:r>
    </w:p>
    <w:p>
      <w:pPr>
        <w:spacing w:after="0" w:line="200" w:lineRule="exact"/>
        <w:rPr>
          <w:sz w:val="20"/>
          <w:szCs w:val="20"/>
          <w:color w:val="auto"/>
        </w:rPr>
      </w:pPr>
    </w:p>
    <w:p>
      <w:pPr>
        <w:spacing w:after="0" w:line="240"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47</w:t>
      </w:r>
    </w:p>
    <w:p>
      <w:pPr>
        <w:sectPr>
          <w:pgSz w:w="11900" w:h="16838" w:orient="portrait"/>
          <w:cols w:equalWidth="0" w:num="1">
            <w:col w:w="11240"/>
          </w:cols>
          <w:pgMar w:left="320" w:top="340" w:right="339" w:bottom="1440" w:gutter="0" w:footer="0" w:header="0"/>
        </w:sectPr>
      </w:pPr>
    </w:p>
    <w:bookmarkStart w:id="50" w:name="page51"/>
    <w:bookmarkEnd w:id="50"/>
    <w:p>
      <w:pPr>
        <w:ind w:left="14"/>
        <w:spacing w:after="0"/>
        <w:rPr>
          <w:sz w:val="20"/>
          <w:szCs w:val="20"/>
          <w:color w:val="auto"/>
        </w:rPr>
      </w:pPr>
      <w:r>
        <w:rPr>
          <w:rFonts w:ascii="Arial" w:cs="Arial" w:eastAsia="Arial" w:hAnsi="Arial"/>
          <w:sz w:val="16"/>
          <w:szCs w:val="16"/>
          <w:color w:val="CC092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34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94" w:right="20"/>
        <w:spacing w:after="0" w:line="241" w:lineRule="auto"/>
        <w:rPr>
          <w:sz w:val="20"/>
          <w:szCs w:val="20"/>
          <w:color w:val="auto"/>
        </w:rPr>
      </w:pPr>
      <w:r>
        <w:rPr>
          <w:rFonts w:ascii="Arial" w:cs="Arial" w:eastAsia="Arial" w:hAnsi="Arial"/>
          <w:sz w:val="14"/>
          <w:szCs w:val="14"/>
          <w:color w:val="242424"/>
        </w:rPr>
        <w:t>TSR is at or above the 75th percentile of the S&amp;P 500 and our absolute TSR is not negative, provided that no shares will be earned for a performance period if our Relative TSR is not at or above the 25th percentile of the S&amp;P 500 Index. Our Relative TSR for the first performance period was at the 71st percentile, for the second performance period was the 64th percentile, and for the third performance period was at the 91st percentile and, as a result, 25% of the PSU award was earned in each Fiscal Year 2019, Fiscal Year 2020 and Fiscal Year 2021, respectively. The amounts shown in the table reflect the shares that may be earned with respect to the remaining performance period.</w:t>
      </w:r>
    </w:p>
    <w:p>
      <w:pPr>
        <w:spacing w:after="0" w:line="16" w:lineRule="exact"/>
        <w:rPr>
          <w:sz w:val="20"/>
          <w:szCs w:val="20"/>
          <w:color w:val="auto"/>
        </w:rPr>
      </w:pPr>
    </w:p>
    <w:p>
      <w:pPr>
        <w:ind w:left="394" w:right="200" w:hanging="315"/>
        <w:spacing w:after="0" w:line="250" w:lineRule="auto"/>
        <w:tabs>
          <w:tab w:leader="none" w:pos="406" w:val="left"/>
        </w:tabs>
        <w:numPr>
          <w:ilvl w:val="0"/>
          <w:numId w:val="75"/>
        </w:numPr>
        <w:rPr>
          <w:rFonts w:ascii="Arial" w:cs="Arial" w:eastAsia="Arial" w:hAnsi="Arial"/>
          <w:sz w:val="14"/>
          <w:szCs w:val="14"/>
          <w:color w:val="242424"/>
        </w:rPr>
      </w:pPr>
      <w:r>
        <w:rPr>
          <w:rFonts w:ascii="Arial" w:cs="Arial" w:eastAsia="Arial" w:hAnsi="Arial"/>
          <w:sz w:val="14"/>
          <w:szCs w:val="14"/>
          <w:color w:val="242424"/>
        </w:rPr>
        <w:t>Represents a service-based RSU Multi-Year Award that will vest at a rate of 25% per year on each anniversary of the applicable vesting start date, subject to the NEO’s continued employment through the relevant vesting date. The 2019 Multi-Year Equity Awards have staggered vesting start dates of March 15, 2019, 2020, 2021 and 2022.</w:t>
      </w:r>
    </w:p>
    <w:p>
      <w:pPr>
        <w:spacing w:after="0" w:line="22" w:lineRule="exact"/>
        <w:rPr>
          <w:rFonts w:ascii="Arial" w:cs="Arial" w:eastAsia="Arial" w:hAnsi="Arial"/>
          <w:sz w:val="14"/>
          <w:szCs w:val="14"/>
          <w:color w:val="242424"/>
        </w:rPr>
      </w:pPr>
    </w:p>
    <w:p>
      <w:pPr>
        <w:ind w:left="394" w:right="40" w:hanging="315"/>
        <w:spacing w:after="0" w:line="238" w:lineRule="auto"/>
        <w:tabs>
          <w:tab w:leader="none" w:pos="406" w:val="left"/>
        </w:tabs>
        <w:numPr>
          <w:ilvl w:val="0"/>
          <w:numId w:val="75"/>
        </w:numPr>
        <w:rPr>
          <w:rFonts w:ascii="Arial" w:cs="Arial" w:eastAsia="Arial" w:hAnsi="Arial"/>
          <w:sz w:val="14"/>
          <w:szCs w:val="14"/>
          <w:color w:val="242424"/>
        </w:rPr>
      </w:pPr>
      <w:r>
        <w:rPr>
          <w:rFonts w:ascii="Arial" w:cs="Arial" w:eastAsia="Arial" w:hAnsi="Arial"/>
          <w:sz w:val="14"/>
          <w:szCs w:val="14"/>
          <w:color w:val="242424"/>
        </w:rPr>
        <w:t>Represents a PSU Multi-Year Award based on attainment of the maximum performance level, given that the level of performance through October 31, 2021 is tracking at above target. The PSU award will vest at a rate of 25% per year on each anniversary of the March 15, 2019, subject to the NEO’s continued employment through the applicable vesting date and subject to the achievement of specified performance goals over each performance period, as determined by the Compensation Committee within 60 days following the end of each performance period. The performance criteria is based on our Relative TSR over four performance periods beginning on March 2, 2019 and ending on each of March 1 of 2020, 2021, 2022 and 2023. The number of shares that may be earned is capped at one-quarter of the target number of shares for each of the first three performance periods. In the aggregate, the NEO may earn up to 200% of the total target number of shares, if during the fourth performance period our Relative TSR is at or above the 75th percentile of the S&amp;P 500 Index and our absolute TSR is not negative, provided that no shares will be earned for a performance period if our Relative TSR is not at or above the 25th percentile of the S&amp;P 500 Index. Our Relative TSR for the first performance period was at the 48th percentile and for the second performance period was at the 90th percentile and, as a result, 23.9% and 25% of the PSU award was earned in Fiscal Year 2020 and Fiscal Year 2021, respectively. The amounts shown in the table reflect the shares that may be earned with respect to the remaining performance periods.</w:t>
      </w:r>
    </w:p>
    <w:p>
      <w:pPr>
        <w:spacing w:after="0" w:line="33" w:lineRule="exact"/>
        <w:rPr>
          <w:rFonts w:ascii="Arial" w:cs="Arial" w:eastAsia="Arial" w:hAnsi="Arial"/>
          <w:sz w:val="14"/>
          <w:szCs w:val="14"/>
          <w:color w:val="242424"/>
        </w:rPr>
      </w:pPr>
    </w:p>
    <w:p>
      <w:pPr>
        <w:ind w:left="394" w:right="60" w:hanging="315"/>
        <w:spacing w:after="0" w:line="238" w:lineRule="auto"/>
        <w:tabs>
          <w:tab w:leader="none" w:pos="406" w:val="left"/>
        </w:tabs>
        <w:numPr>
          <w:ilvl w:val="0"/>
          <w:numId w:val="75"/>
        </w:numPr>
        <w:rPr>
          <w:rFonts w:ascii="Arial" w:cs="Arial" w:eastAsia="Arial" w:hAnsi="Arial"/>
          <w:sz w:val="14"/>
          <w:szCs w:val="14"/>
          <w:color w:val="242424"/>
        </w:rPr>
      </w:pPr>
      <w:r>
        <w:rPr>
          <w:rFonts w:ascii="Arial" w:cs="Arial" w:eastAsia="Arial" w:hAnsi="Arial"/>
          <w:sz w:val="14"/>
          <w:szCs w:val="14"/>
          <w:color w:val="242424"/>
        </w:rPr>
        <w:t>Represents a PSU Multi-Year Award based on attainment of the maximum performance level, given that the level of performance through October 31, 2021 is tracking at above target. The PSU award will vest at a rate of 25% per year on each anniversary of March 15, 2020, subject to the NEO’s continued employment through the applicable vesting date and subject to the achievement of specified performance goals over each performance period, as determined by the Compensation Committee within 60 days following the end of each performance period. The performance criteria is based on our Relative TSR over four performance periods beginning on March 2, 2020 and ending on each of March 1 of 2021, 2022, 2023 and 2024. The number of shares that may be earned is capped at one-quarter of the target number of shares for each of the first three performance periods. In the aggregate, the NEO may earn up to 200% of the total target number of shares, if during the fourth performance period our Relative TSR is at or above the 75th percentile of the S&amp;P 500 Index and our absolute TSR is not negative, provided that no shares will be earned for a performance period if our Relative TSR is not at or above the 25th percentile of the S&amp;P 500 Index. Our Relative TSR for the first performance period was at the 92nd percentile and, as a result, 25% was earned in Fiscal Year 2021. The amounts shown in the table reflect the shares that may be earned with respect to the remaining performance periods.</w:t>
      </w:r>
    </w:p>
    <w:p>
      <w:pPr>
        <w:spacing w:after="0" w:line="20" w:lineRule="exact"/>
        <w:rPr>
          <w:rFonts w:ascii="Arial" w:cs="Arial" w:eastAsia="Arial" w:hAnsi="Arial"/>
          <w:sz w:val="14"/>
          <w:szCs w:val="14"/>
          <w:color w:val="242424"/>
        </w:rPr>
      </w:pPr>
    </w:p>
    <w:p>
      <w:pPr>
        <w:ind w:left="394" w:right="20" w:hanging="315"/>
        <w:spacing w:after="0" w:line="239" w:lineRule="auto"/>
        <w:tabs>
          <w:tab w:leader="none" w:pos="406" w:val="left"/>
        </w:tabs>
        <w:numPr>
          <w:ilvl w:val="0"/>
          <w:numId w:val="75"/>
        </w:numPr>
        <w:rPr>
          <w:rFonts w:ascii="Arial" w:cs="Arial" w:eastAsia="Arial" w:hAnsi="Arial"/>
          <w:sz w:val="14"/>
          <w:szCs w:val="14"/>
          <w:color w:val="242424"/>
        </w:rPr>
      </w:pPr>
      <w:r>
        <w:rPr>
          <w:rFonts w:ascii="Arial" w:cs="Arial" w:eastAsia="Arial" w:hAnsi="Arial"/>
          <w:sz w:val="14"/>
          <w:szCs w:val="14"/>
          <w:color w:val="242424"/>
        </w:rPr>
        <w:t>Represents a PSU Multi-Year Award based on attainment of the target performance level, given that the level of performance through October 31, 2021 is tracking at below target. The PSU award will vest at a rate of 25% per year on each anniversary of March 15, 2021, subject to the NEO’s continued employment through the applicable vesting date and subject to the achievement of specified performance goals over each performance period, as determined by the Compensation Committee within 60 days following the end of each performance period. The performance criteria is based on our Relative TSR over four performance periods beginning on March 2, 2021 and ending on each of March 1 of 2022, 2023, 2024 and 2025. The number of shares that may be earned is capped at one-quarter of the target number of shares for each of the first three performance periods. In the aggregate, the NEO may earn up to 200% of the total target number of shares for each PSU award, if during the fourth performance period our Relative TSR is at or above the 75th percentile of the S&amp;P 500 Index and our absolute TSR is not negative, provided that no shares will be earned for a performance period if our Relative TSR is not at or above the 25th percentile of the S&amp;P 500 Index.</w:t>
      </w:r>
    </w:p>
    <w:p>
      <w:pPr>
        <w:spacing w:after="0" w:line="29" w:lineRule="exact"/>
        <w:rPr>
          <w:rFonts w:ascii="Arial" w:cs="Arial" w:eastAsia="Arial" w:hAnsi="Arial"/>
          <w:sz w:val="14"/>
          <w:szCs w:val="14"/>
          <w:color w:val="242424"/>
        </w:rPr>
      </w:pPr>
    </w:p>
    <w:p>
      <w:pPr>
        <w:ind w:left="394" w:right="20" w:hanging="315"/>
        <w:spacing w:after="0" w:line="239" w:lineRule="auto"/>
        <w:tabs>
          <w:tab w:leader="none" w:pos="484" w:val="left"/>
        </w:tabs>
        <w:numPr>
          <w:ilvl w:val="0"/>
          <w:numId w:val="75"/>
        </w:numPr>
        <w:rPr>
          <w:rFonts w:ascii="Arial" w:cs="Arial" w:eastAsia="Arial" w:hAnsi="Arial"/>
          <w:sz w:val="14"/>
          <w:szCs w:val="14"/>
          <w:color w:val="242424"/>
        </w:rPr>
      </w:pPr>
      <w:r>
        <w:rPr>
          <w:rFonts w:ascii="Arial" w:cs="Arial" w:eastAsia="Arial" w:hAnsi="Arial"/>
          <w:sz w:val="14"/>
          <w:szCs w:val="14"/>
          <w:color w:val="242424"/>
        </w:rPr>
        <w:t>Represents a PSU Multi-Year Award based on attainment of the target performance level, given that the level of performance through October 31, 2021 is tracking at below target. The PSU award will vest at a rate of 25% per year on each anniversary of March 15, 2022, subject to the NEO’s continued employment through the applicable vesting date and subject to the achievement of specified performance goals over each performance period, as determined by the Compensation Committee within 60 days following the end of each performance period. The performance criteria is based on our Relative TSR over four performance periods beginning on March 2, 2022 and ending on each of March 1 of 2023, 2024, 2025 and 2026. The number of shares that may be earned is capped at one-quarter of the target number of shares for each of the first three performance periods. In the aggregate, the NEO may earn up to 200% of the total target number of shares for each PSU award, if during the fourth performance period our Relative TSR is at or above the 75th percentile of the S&amp;P 500 Index and our absolute TSR is not negative, provided that no shares will be earned for a performance period if our Relative TSR is not at or above the 25th percentile of the S&amp;P 500 Index.</w:t>
      </w:r>
    </w:p>
    <w:p>
      <w:pPr>
        <w:spacing w:after="0" w:line="29" w:lineRule="exact"/>
        <w:rPr>
          <w:rFonts w:ascii="Arial" w:cs="Arial" w:eastAsia="Arial" w:hAnsi="Arial"/>
          <w:sz w:val="14"/>
          <w:szCs w:val="14"/>
          <w:color w:val="242424"/>
        </w:rPr>
      </w:pPr>
    </w:p>
    <w:p>
      <w:pPr>
        <w:ind w:left="394" w:hanging="315"/>
        <w:spacing w:after="0" w:line="239" w:lineRule="auto"/>
        <w:tabs>
          <w:tab w:leader="none" w:pos="484" w:val="left"/>
        </w:tabs>
        <w:numPr>
          <w:ilvl w:val="0"/>
          <w:numId w:val="75"/>
        </w:numPr>
        <w:rPr>
          <w:rFonts w:ascii="Arial" w:cs="Arial" w:eastAsia="Arial" w:hAnsi="Arial"/>
          <w:sz w:val="14"/>
          <w:szCs w:val="14"/>
          <w:color w:val="242424"/>
        </w:rPr>
      </w:pPr>
      <w:r>
        <w:rPr>
          <w:rFonts w:ascii="Arial" w:cs="Arial" w:eastAsia="Arial" w:hAnsi="Arial"/>
          <w:sz w:val="14"/>
          <w:szCs w:val="14"/>
          <w:color w:val="242424"/>
        </w:rPr>
        <w:t>Represents a PSU award granted under the LSI Plan based on the attainment of the maximum performance level, given that the level of performance through October 31, 2021 is tracking above target. The PSU award will vest at a rate of 25% per year on each anniversary of the grant date, subject to Ms. Spears’ continued employment through the applicable vesting date and subject to the achievement of specified performance goals over each performance period, as determined by the Compensation Committee within 60 days following the end of each performance period. The performance criteria is based on our Relative TSR over four performance periods beginning on March 2, 2020 and ending on each of March 1 of 2021, 2022, 2023 and 2024. The number of shares that may be earned is capped at one-quarter of the target number of shares for each of the first three performance periods. In the aggregate, Ms. Spears may earn up to 200% of the target number of shares, if during the fourth performance period our Relative TSR is at or above the 75th percentile of the S&amp;P 500 Index and our absolute TSR is not negative, provided that no shares will be earned for a performance period if our Relative TSR is below the 25th percentile of the S&amp;P 500 Index.</w:t>
      </w:r>
    </w:p>
    <w:p>
      <w:pPr>
        <w:spacing w:after="0" w:line="15" w:lineRule="exact"/>
        <w:rPr>
          <w:rFonts w:ascii="Arial" w:cs="Arial" w:eastAsia="Arial" w:hAnsi="Arial"/>
          <w:sz w:val="14"/>
          <w:szCs w:val="14"/>
          <w:color w:val="242424"/>
        </w:rPr>
      </w:pPr>
    </w:p>
    <w:p>
      <w:pPr>
        <w:ind w:left="394" w:right="340" w:hanging="315"/>
        <w:spacing w:after="0" w:line="250" w:lineRule="auto"/>
        <w:tabs>
          <w:tab w:leader="none" w:pos="484" w:val="left"/>
        </w:tabs>
        <w:numPr>
          <w:ilvl w:val="0"/>
          <w:numId w:val="75"/>
        </w:numPr>
        <w:rPr>
          <w:rFonts w:ascii="Arial" w:cs="Arial" w:eastAsia="Arial" w:hAnsi="Arial"/>
          <w:sz w:val="14"/>
          <w:szCs w:val="14"/>
          <w:color w:val="242424"/>
        </w:rPr>
      </w:pPr>
      <w:r>
        <w:rPr>
          <w:rFonts w:ascii="Arial" w:cs="Arial" w:eastAsia="Arial" w:hAnsi="Arial"/>
          <w:sz w:val="14"/>
          <w:szCs w:val="14"/>
          <w:color w:val="242424"/>
        </w:rPr>
        <w:t>Represents service-based RSU awards granted under our 2012 Plan that vest at a rate of one-third per year on each anniversary of December 15, 2020, subject to the NEO’s continued employment through the applicable vesting dates.</w:t>
      </w:r>
    </w:p>
    <w:p>
      <w:pPr>
        <w:spacing w:after="0" w:line="22" w:lineRule="exact"/>
        <w:rPr>
          <w:rFonts w:ascii="Arial" w:cs="Arial" w:eastAsia="Arial" w:hAnsi="Arial"/>
          <w:sz w:val="14"/>
          <w:szCs w:val="14"/>
          <w:color w:val="242424"/>
        </w:rPr>
      </w:pPr>
    </w:p>
    <w:p>
      <w:pPr>
        <w:ind w:left="394" w:right="180" w:hanging="315"/>
        <w:spacing w:after="0"/>
        <w:tabs>
          <w:tab w:leader="none" w:pos="484" w:val="left"/>
        </w:tabs>
        <w:numPr>
          <w:ilvl w:val="0"/>
          <w:numId w:val="75"/>
        </w:numPr>
        <w:rPr>
          <w:rFonts w:ascii="Arial" w:cs="Arial" w:eastAsia="Arial" w:hAnsi="Arial"/>
          <w:sz w:val="14"/>
          <w:szCs w:val="14"/>
          <w:color w:val="242424"/>
        </w:rPr>
      </w:pPr>
      <w:r>
        <w:rPr>
          <w:rFonts w:ascii="Arial" w:cs="Arial" w:eastAsia="Arial" w:hAnsi="Arial"/>
          <w:sz w:val="14"/>
          <w:szCs w:val="14"/>
          <w:color w:val="242424"/>
        </w:rPr>
        <w:t>Represents PSU awards granted under our 2012 Plan based on attainment of the maximum performance level, given that the level of performance through October 31, 2021 is tracking above target. This PSU is earned based on our Relative TSR and absolute TSR measured over the period beginning on November 2, 2020 and ending on October 29, 2023, as determined by the Compensation Committee, subject to the NEO’s continued employment on the vesting date of October 29, 2023. In the aggregate, the NEO may earn up to 200% of the target number of shares if our Relative TSR is at or above the 75th percentile of the S&amp;P 500 Index and our absolute TSR is not negative, provided that no shares will be earned if our Relative TSR is below the 25th percentile of the S&amp;P 500 Index.</w:t>
      </w:r>
    </w:p>
    <w:p>
      <w:pPr>
        <w:spacing w:after="0" w:line="200" w:lineRule="exact"/>
        <w:rPr>
          <w:sz w:val="20"/>
          <w:szCs w:val="20"/>
          <w:color w:val="auto"/>
        </w:rPr>
      </w:pPr>
    </w:p>
    <w:p>
      <w:pPr>
        <w:spacing w:after="0" w:line="238" w:lineRule="exact"/>
        <w:rPr>
          <w:sz w:val="20"/>
          <w:szCs w:val="20"/>
          <w:color w:val="auto"/>
        </w:rPr>
      </w:pPr>
    </w:p>
    <w:p>
      <w:pPr>
        <w:ind w:left="354" w:hanging="354"/>
        <w:spacing w:after="0"/>
        <w:tabs>
          <w:tab w:leader="none" w:pos="354" w:val="left"/>
        </w:tabs>
        <w:numPr>
          <w:ilvl w:val="0"/>
          <w:numId w:val="76"/>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34"/>
          </w:cols>
          <w:pgMar w:left="326" w:top="340" w:right="339" w:bottom="1440" w:gutter="0" w:footer="0" w:header="0"/>
        </w:sectPr>
      </w:pPr>
    </w:p>
    <w:bookmarkStart w:id="51" w:name="page52"/>
    <w:bookmarkEnd w:id="51"/>
    <w:p>
      <w:pPr>
        <w:ind w:left="9000"/>
        <w:spacing w:after="0"/>
        <w:rPr>
          <w:sz w:val="20"/>
          <w:szCs w:val="20"/>
          <w:color w:val="auto"/>
        </w:rPr>
      </w:pPr>
      <w:r>
        <w:rPr>
          <w:rFonts w:ascii="Arial" w:cs="Arial" w:eastAsia="Arial" w:hAnsi="Arial"/>
          <w:sz w:val="15"/>
          <w:szCs w:val="15"/>
          <w:color w:val="CC092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Fiscal Year 2021 Option Exercises and Stock Vested Table</w:t>
      </w:r>
    </w:p>
    <w:p>
      <w:pPr>
        <w:spacing w:after="0" w:line="148"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242424"/>
        </w:rPr>
        <w:t>The following table sets forth information regarding the exercise of stock options and the vesting of service-based RSU awards during Fiscal Year 2021 for each of our NEOs. Stock option award value realized is calculated by multiplying the number of stock options exercised by the aggregate sale price, less the aggregate exercise price of the exercised stock options. RSU award value realized is calculated by multiplying the number of shares of common stock shown in the table by the closing market price of our shares of common stock, as reported on the Nasdaq Global Select Market, on the date the service-based RSU awards vested. Value Realized on Exercise and Value Realized on Vesting represent long-term gain over multiple years of service by the NEO and are not considered as part of a NEO’s Fiscal Year 2021 compensation.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260" w:type="dxa"/>
            <w:vAlign w:val="bottom"/>
            <w:tcBorders>
              <w:top w:val="single" w:sz="8" w:color="CC092F"/>
            </w:tcBorders>
            <w:shd w:val="clear" w:color="auto" w:fill="B8B8B8"/>
          </w:tcPr>
          <w:p>
            <w:pPr>
              <w:spacing w:after="0"/>
              <w:rPr>
                <w:sz w:val="22"/>
                <w:szCs w:val="22"/>
                <w:color w:val="auto"/>
              </w:rPr>
            </w:pPr>
          </w:p>
        </w:tc>
        <w:tc>
          <w:tcPr>
            <w:tcW w:w="2140" w:type="dxa"/>
            <w:vAlign w:val="bottom"/>
            <w:tcBorders>
              <w:top w:val="single" w:sz="8" w:color="CC092F"/>
            </w:tcBorders>
            <w:shd w:val="clear" w:color="auto" w:fill="B8B8B8"/>
          </w:tcPr>
          <w:p>
            <w:pPr>
              <w:jc w:val="center"/>
              <w:spacing w:after="0"/>
              <w:rPr>
                <w:sz w:val="20"/>
                <w:szCs w:val="20"/>
                <w:color w:val="auto"/>
              </w:rPr>
            </w:pPr>
            <w:r>
              <w:rPr>
                <w:rFonts w:ascii="Arial" w:cs="Arial" w:eastAsia="Arial" w:hAnsi="Arial"/>
                <w:sz w:val="16"/>
                <w:szCs w:val="16"/>
                <w:b w:val="1"/>
                <w:bCs w:val="1"/>
                <w:color w:val="FFFFFF"/>
                <w:w w:val="98"/>
              </w:rPr>
              <w:t>Option Awards</w:t>
            </w:r>
          </w:p>
        </w:tc>
        <w:tc>
          <w:tcPr>
            <w:tcW w:w="1660" w:type="dxa"/>
            <w:vAlign w:val="bottom"/>
            <w:tcBorders>
              <w:top w:val="single" w:sz="8" w:color="CC092F"/>
            </w:tcBorders>
            <w:shd w:val="clear" w:color="auto" w:fill="B8B8B8"/>
          </w:tcPr>
          <w:p>
            <w:pPr>
              <w:spacing w:after="0"/>
              <w:rPr>
                <w:sz w:val="22"/>
                <w:szCs w:val="22"/>
                <w:color w:val="auto"/>
              </w:rPr>
            </w:pPr>
          </w:p>
        </w:tc>
        <w:tc>
          <w:tcPr>
            <w:tcW w:w="4180" w:type="dxa"/>
            <w:vAlign w:val="bottom"/>
            <w:tcBorders>
              <w:top w:val="single" w:sz="8" w:color="CC092F"/>
            </w:tcBorders>
            <w:gridSpan w:val="2"/>
            <w:shd w:val="clear" w:color="auto" w:fill="B8B8B8"/>
          </w:tcPr>
          <w:p>
            <w:pPr>
              <w:ind w:left="1500"/>
              <w:spacing w:after="0"/>
              <w:rPr>
                <w:sz w:val="20"/>
                <w:szCs w:val="20"/>
                <w:color w:val="auto"/>
              </w:rPr>
            </w:pPr>
            <w:r>
              <w:rPr>
                <w:rFonts w:ascii="Arial" w:cs="Arial" w:eastAsia="Arial" w:hAnsi="Arial"/>
                <w:sz w:val="16"/>
                <w:szCs w:val="16"/>
                <w:b w:val="1"/>
                <w:bCs w:val="1"/>
                <w:color w:val="FFFFFF"/>
              </w:rPr>
              <w:t>Stock Awards</w:t>
            </w:r>
          </w:p>
        </w:tc>
        <w:tc>
          <w:tcPr>
            <w:tcW w:w="0" w:type="dxa"/>
            <w:vAlign w:val="bottom"/>
          </w:tcPr>
          <w:p>
            <w:pPr>
              <w:spacing w:after="0"/>
              <w:rPr>
                <w:sz w:val="1"/>
                <w:szCs w:val="1"/>
                <w:color w:val="auto"/>
              </w:rPr>
            </w:pPr>
          </w:p>
        </w:tc>
      </w:tr>
      <w:tr>
        <w:trPr>
          <w:trHeight w:val="177"/>
        </w:trPr>
        <w:tc>
          <w:tcPr>
            <w:tcW w:w="3260" w:type="dxa"/>
            <w:vAlign w:val="bottom"/>
            <w:shd w:val="clear" w:color="auto" w:fill="B8B8B8"/>
          </w:tcPr>
          <w:p>
            <w:pPr>
              <w:spacing w:after="0"/>
              <w:rPr>
                <w:sz w:val="15"/>
                <w:szCs w:val="15"/>
                <w:color w:val="auto"/>
              </w:rPr>
            </w:pPr>
          </w:p>
        </w:tc>
        <w:tc>
          <w:tcPr>
            <w:tcW w:w="2140" w:type="dxa"/>
            <w:vAlign w:val="bottom"/>
            <w:shd w:val="clear" w:color="auto" w:fill="B8B8B8"/>
          </w:tcPr>
          <w:p>
            <w:pPr>
              <w:jc w:val="center"/>
              <w:spacing w:after="0" w:line="178" w:lineRule="exact"/>
              <w:rPr>
                <w:sz w:val="20"/>
                <w:szCs w:val="20"/>
                <w:color w:val="auto"/>
              </w:rPr>
            </w:pPr>
            <w:r>
              <w:rPr>
                <w:rFonts w:ascii="Arial" w:cs="Arial" w:eastAsia="Arial" w:hAnsi="Arial"/>
                <w:sz w:val="16"/>
                <w:szCs w:val="16"/>
                <w:b w:val="1"/>
                <w:bCs w:val="1"/>
                <w:color w:val="FFFFFF"/>
                <w:w w:val="98"/>
              </w:rPr>
              <w:t>Number of Shares</w:t>
            </w:r>
          </w:p>
        </w:tc>
        <w:tc>
          <w:tcPr>
            <w:tcW w:w="1660" w:type="dxa"/>
            <w:vAlign w:val="bottom"/>
            <w:shd w:val="clear" w:color="auto" w:fill="B8B8B8"/>
          </w:tcPr>
          <w:p>
            <w:pPr>
              <w:jc w:val="center"/>
              <w:ind w:right="1"/>
              <w:spacing w:after="0" w:line="178" w:lineRule="exact"/>
              <w:rPr>
                <w:sz w:val="20"/>
                <w:szCs w:val="20"/>
                <w:color w:val="auto"/>
              </w:rPr>
            </w:pPr>
            <w:r>
              <w:rPr>
                <w:rFonts w:ascii="Arial" w:cs="Arial" w:eastAsia="Arial" w:hAnsi="Arial"/>
                <w:sz w:val="16"/>
                <w:szCs w:val="16"/>
                <w:b w:val="1"/>
                <w:bCs w:val="1"/>
                <w:color w:val="FFFFFF"/>
                <w:w w:val="98"/>
              </w:rPr>
              <w:t>Value Realized</w:t>
            </w:r>
          </w:p>
        </w:tc>
        <w:tc>
          <w:tcPr>
            <w:tcW w:w="2200" w:type="dxa"/>
            <w:vAlign w:val="bottom"/>
            <w:shd w:val="clear" w:color="auto" w:fill="B8B8B8"/>
          </w:tcPr>
          <w:p>
            <w:pPr>
              <w:jc w:val="center"/>
              <w:spacing w:after="0" w:line="178" w:lineRule="exact"/>
              <w:rPr>
                <w:sz w:val="20"/>
                <w:szCs w:val="20"/>
                <w:color w:val="auto"/>
              </w:rPr>
            </w:pPr>
            <w:r>
              <w:rPr>
                <w:rFonts w:ascii="Arial" w:cs="Arial" w:eastAsia="Arial" w:hAnsi="Arial"/>
                <w:sz w:val="16"/>
                <w:szCs w:val="16"/>
                <w:b w:val="1"/>
                <w:bCs w:val="1"/>
                <w:color w:val="FFFFFF"/>
                <w:w w:val="98"/>
              </w:rPr>
              <w:t>Number of Shares</w:t>
            </w:r>
          </w:p>
        </w:tc>
        <w:tc>
          <w:tcPr>
            <w:tcW w:w="1980" w:type="dxa"/>
            <w:vAlign w:val="bottom"/>
            <w:shd w:val="clear" w:color="auto" w:fill="B8B8B8"/>
          </w:tcPr>
          <w:p>
            <w:pPr>
              <w:jc w:val="center"/>
              <w:spacing w:after="0" w:line="178" w:lineRule="exact"/>
              <w:rPr>
                <w:sz w:val="20"/>
                <w:szCs w:val="20"/>
                <w:color w:val="auto"/>
              </w:rPr>
            </w:pPr>
            <w:r>
              <w:rPr>
                <w:rFonts w:ascii="Arial" w:cs="Arial" w:eastAsia="Arial" w:hAnsi="Arial"/>
                <w:sz w:val="16"/>
                <w:szCs w:val="16"/>
                <w:b w:val="1"/>
                <w:bCs w:val="1"/>
                <w:color w:val="FFFFFF"/>
                <w:w w:val="98"/>
              </w:rPr>
              <w:t>Value Realized on</w:t>
            </w:r>
          </w:p>
        </w:tc>
        <w:tc>
          <w:tcPr>
            <w:tcW w:w="0" w:type="dxa"/>
            <w:vAlign w:val="bottom"/>
          </w:tcPr>
          <w:p>
            <w:pPr>
              <w:spacing w:after="0"/>
              <w:rPr>
                <w:sz w:val="1"/>
                <w:szCs w:val="1"/>
                <w:color w:val="auto"/>
              </w:rPr>
            </w:pPr>
          </w:p>
        </w:tc>
      </w:tr>
      <w:tr>
        <w:trPr>
          <w:trHeight w:val="159"/>
        </w:trPr>
        <w:tc>
          <w:tcPr>
            <w:tcW w:w="3260" w:type="dxa"/>
            <w:vAlign w:val="bottom"/>
            <w:vMerge w:val="restart"/>
            <w:shd w:val="clear" w:color="auto" w:fill="B8B8B8"/>
          </w:tcPr>
          <w:p>
            <w:pPr>
              <w:ind w:left="100"/>
              <w:spacing w:after="0"/>
              <w:rPr>
                <w:sz w:val="20"/>
                <w:szCs w:val="20"/>
                <w:color w:val="auto"/>
              </w:rPr>
            </w:pPr>
            <w:r>
              <w:rPr>
                <w:rFonts w:ascii="Arial" w:cs="Arial" w:eastAsia="Arial" w:hAnsi="Arial"/>
                <w:sz w:val="16"/>
                <w:szCs w:val="16"/>
                <w:b w:val="1"/>
                <w:bCs w:val="1"/>
                <w:color w:val="FFFFFF"/>
              </w:rPr>
              <w:t>Name</w:t>
            </w:r>
          </w:p>
        </w:tc>
        <w:tc>
          <w:tcPr>
            <w:tcW w:w="214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w w:val="98"/>
              </w:rPr>
              <w:t>Acquired on Exercise</w:t>
            </w:r>
          </w:p>
        </w:tc>
        <w:tc>
          <w:tcPr>
            <w:tcW w:w="1660" w:type="dxa"/>
            <w:vAlign w:val="bottom"/>
            <w:shd w:val="clear" w:color="auto" w:fill="B8B8B8"/>
          </w:tcPr>
          <w:p>
            <w:pPr>
              <w:jc w:val="center"/>
              <w:ind w:right="1"/>
              <w:spacing w:after="0" w:line="159" w:lineRule="exact"/>
              <w:rPr>
                <w:sz w:val="20"/>
                <w:szCs w:val="20"/>
                <w:color w:val="auto"/>
              </w:rPr>
            </w:pPr>
            <w:r>
              <w:rPr>
                <w:rFonts w:ascii="Arial" w:cs="Arial" w:eastAsia="Arial" w:hAnsi="Arial"/>
                <w:sz w:val="16"/>
                <w:szCs w:val="16"/>
                <w:b w:val="1"/>
                <w:bCs w:val="1"/>
                <w:color w:val="FFFFFF"/>
              </w:rPr>
              <w:t>on Exercise</w:t>
            </w:r>
          </w:p>
        </w:tc>
        <w:tc>
          <w:tcPr>
            <w:tcW w:w="220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w w:val="97"/>
              </w:rPr>
              <w:t>Acquired on Vesting</w:t>
            </w:r>
          </w:p>
        </w:tc>
        <w:tc>
          <w:tcPr>
            <w:tcW w:w="198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rPr>
              <w:t>Vesting</w:t>
            </w:r>
          </w:p>
        </w:tc>
        <w:tc>
          <w:tcPr>
            <w:tcW w:w="0" w:type="dxa"/>
            <w:vAlign w:val="bottom"/>
          </w:tcPr>
          <w:p>
            <w:pPr>
              <w:spacing w:after="0"/>
              <w:rPr>
                <w:sz w:val="1"/>
                <w:szCs w:val="1"/>
                <w:color w:val="auto"/>
              </w:rPr>
            </w:pPr>
          </w:p>
        </w:tc>
      </w:tr>
      <w:tr>
        <w:trPr>
          <w:trHeight w:val="212"/>
        </w:trPr>
        <w:tc>
          <w:tcPr>
            <w:tcW w:w="3260" w:type="dxa"/>
            <w:vAlign w:val="bottom"/>
            <w:tcBorders>
              <w:bottom w:val="single" w:sz="8" w:color="CC092F"/>
            </w:tcBorders>
            <w:vMerge w:val="continue"/>
            <w:shd w:val="clear" w:color="auto" w:fill="B8B8B8"/>
          </w:tcPr>
          <w:p>
            <w:pPr>
              <w:spacing w:after="0"/>
              <w:rPr>
                <w:sz w:val="18"/>
                <w:szCs w:val="18"/>
                <w:color w:val="auto"/>
              </w:rPr>
            </w:pPr>
          </w:p>
        </w:tc>
        <w:tc>
          <w:tcPr>
            <w:tcW w:w="214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6"/>
                <w:szCs w:val="16"/>
                <w:b w:val="1"/>
                <w:bCs w:val="1"/>
                <w:color w:val="FFFFFF"/>
              </w:rPr>
              <w:t>(#)</w:t>
            </w:r>
          </w:p>
        </w:tc>
        <w:tc>
          <w:tcPr>
            <w:tcW w:w="166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6"/>
                <w:szCs w:val="16"/>
                <w:b w:val="1"/>
                <w:bCs w:val="1"/>
                <w:color w:val="FFFFFF"/>
              </w:rPr>
              <w:t>($)</w:t>
            </w:r>
          </w:p>
        </w:tc>
        <w:tc>
          <w:tcPr>
            <w:tcW w:w="220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6"/>
                <w:szCs w:val="16"/>
                <w:b w:val="1"/>
                <w:bCs w:val="1"/>
                <w:color w:val="FFFFFF"/>
              </w:rPr>
              <w:t>(#)</w:t>
            </w:r>
          </w:p>
        </w:tc>
        <w:tc>
          <w:tcPr>
            <w:tcW w:w="1980" w:type="dxa"/>
            <w:vAlign w:val="bottom"/>
            <w:tcBorders>
              <w:bottom w:val="single" w:sz="8" w:color="CC092F"/>
            </w:tcBorders>
            <w:shd w:val="clear" w:color="auto" w:fill="B8B8B8"/>
          </w:tcPr>
          <w:p>
            <w:pPr>
              <w:jc w:val="center"/>
              <w:spacing w:after="0" w:line="212"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(1)</w:t>
            </w:r>
          </w:p>
        </w:tc>
        <w:tc>
          <w:tcPr>
            <w:tcW w:w="0" w:type="dxa"/>
            <w:vAlign w:val="bottom"/>
          </w:tcPr>
          <w:p>
            <w:pPr>
              <w:spacing w:after="0"/>
              <w:rPr>
                <w:sz w:val="1"/>
                <w:szCs w:val="1"/>
                <w:color w:val="auto"/>
              </w:rPr>
            </w:pPr>
          </w:p>
        </w:tc>
      </w:tr>
      <w:tr>
        <w:trPr>
          <w:trHeight w:val="203"/>
        </w:trPr>
        <w:tc>
          <w:tcPr>
            <w:tcW w:w="3260" w:type="dxa"/>
            <w:vAlign w:val="bottom"/>
          </w:tcPr>
          <w:p>
            <w:pPr>
              <w:ind w:left="100"/>
              <w:spacing w:after="0"/>
              <w:rPr>
                <w:sz w:val="20"/>
                <w:szCs w:val="20"/>
                <w:color w:val="auto"/>
              </w:rPr>
            </w:pPr>
            <w:r>
              <w:rPr>
                <w:rFonts w:ascii="Arial" w:cs="Arial" w:eastAsia="Arial" w:hAnsi="Arial"/>
                <w:sz w:val="16"/>
                <w:szCs w:val="16"/>
                <w:color w:val="242424"/>
              </w:rPr>
              <w:t>Hock E. Tan</w:t>
            </w:r>
          </w:p>
        </w:tc>
        <w:tc>
          <w:tcPr>
            <w:tcW w:w="2140" w:type="dxa"/>
            <w:vAlign w:val="bottom"/>
          </w:tcPr>
          <w:p>
            <w:pPr>
              <w:jc w:val="center"/>
              <w:ind w:left="1"/>
              <w:spacing w:after="0"/>
              <w:rPr>
                <w:sz w:val="20"/>
                <w:szCs w:val="20"/>
                <w:color w:val="auto"/>
              </w:rPr>
            </w:pPr>
            <w:r>
              <w:rPr>
                <w:rFonts w:ascii="Arial" w:cs="Arial" w:eastAsia="Arial" w:hAnsi="Arial"/>
                <w:sz w:val="16"/>
                <w:szCs w:val="16"/>
                <w:color w:val="242424"/>
              </w:rPr>
              <w:t>312,500</w:t>
            </w:r>
          </w:p>
        </w:tc>
        <w:tc>
          <w:tcPr>
            <w:tcW w:w="1660" w:type="dxa"/>
            <w:vAlign w:val="bottom"/>
          </w:tcPr>
          <w:p>
            <w:pPr>
              <w:jc w:val="center"/>
              <w:spacing w:after="0"/>
              <w:rPr>
                <w:sz w:val="20"/>
                <w:szCs w:val="20"/>
                <w:color w:val="auto"/>
              </w:rPr>
            </w:pPr>
            <w:r>
              <w:rPr>
                <w:rFonts w:ascii="Arial" w:cs="Arial" w:eastAsia="Arial" w:hAnsi="Arial"/>
                <w:sz w:val="16"/>
                <w:szCs w:val="16"/>
                <w:color w:val="242424"/>
                <w:w w:val="98"/>
              </w:rPr>
              <w:t>109,260,734</w:t>
            </w:r>
          </w:p>
        </w:tc>
        <w:tc>
          <w:tcPr>
            <w:tcW w:w="2200" w:type="dxa"/>
            <w:vAlign w:val="bottom"/>
          </w:tcPr>
          <w:p>
            <w:pPr>
              <w:jc w:val="center"/>
              <w:spacing w:after="0"/>
              <w:rPr>
                <w:sz w:val="20"/>
                <w:szCs w:val="20"/>
                <w:color w:val="auto"/>
              </w:rPr>
            </w:pPr>
            <w:r>
              <w:rPr>
                <w:rFonts w:ascii="Arial" w:cs="Arial" w:eastAsia="Arial" w:hAnsi="Arial"/>
                <w:sz w:val="16"/>
                <w:szCs w:val="16"/>
                <w:color w:val="242424"/>
                <w:w w:val="96"/>
              </w:rPr>
              <w:t>365,498</w:t>
            </w:r>
          </w:p>
        </w:tc>
        <w:tc>
          <w:tcPr>
            <w:tcW w:w="1980" w:type="dxa"/>
            <w:vAlign w:val="bottom"/>
          </w:tcPr>
          <w:p>
            <w:pPr>
              <w:jc w:val="center"/>
              <w:spacing w:after="0"/>
              <w:rPr>
                <w:sz w:val="20"/>
                <w:szCs w:val="20"/>
                <w:color w:val="auto"/>
              </w:rPr>
            </w:pPr>
            <w:r>
              <w:rPr>
                <w:rFonts w:ascii="Arial" w:cs="Arial" w:eastAsia="Arial" w:hAnsi="Arial"/>
                <w:sz w:val="16"/>
                <w:szCs w:val="16"/>
                <w:color w:val="242424"/>
              </w:rPr>
              <w:t>172,131,921</w:t>
            </w:r>
          </w:p>
        </w:tc>
        <w:tc>
          <w:tcPr>
            <w:tcW w:w="0" w:type="dxa"/>
            <w:vAlign w:val="bottom"/>
          </w:tcPr>
          <w:p>
            <w:pPr>
              <w:spacing w:after="0"/>
              <w:rPr>
                <w:sz w:val="1"/>
                <w:szCs w:val="1"/>
                <w:color w:val="auto"/>
              </w:rPr>
            </w:pPr>
          </w:p>
        </w:tc>
      </w:tr>
      <w:tr>
        <w:trPr>
          <w:trHeight w:val="214"/>
        </w:trPr>
        <w:tc>
          <w:tcPr>
            <w:tcW w:w="3260" w:type="dxa"/>
            <w:vAlign w:val="bottom"/>
            <w:shd w:val="clear" w:color="auto" w:fill="EAEAEA"/>
          </w:tcPr>
          <w:p>
            <w:pPr>
              <w:ind w:left="100"/>
              <w:spacing w:after="0"/>
              <w:rPr>
                <w:sz w:val="20"/>
                <w:szCs w:val="20"/>
                <w:color w:val="auto"/>
              </w:rPr>
            </w:pPr>
            <w:r>
              <w:rPr>
                <w:rFonts w:ascii="Arial" w:cs="Arial" w:eastAsia="Arial" w:hAnsi="Arial"/>
                <w:sz w:val="16"/>
                <w:szCs w:val="16"/>
                <w:color w:val="242424"/>
              </w:rPr>
              <w:t>Kirsten M. Spears</w:t>
            </w:r>
          </w:p>
        </w:tc>
        <w:tc>
          <w:tcPr>
            <w:tcW w:w="214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9"/>
              </w:rPr>
              <w:t>—</w:t>
            </w:r>
          </w:p>
        </w:tc>
        <w:tc>
          <w:tcPr>
            <w:tcW w:w="16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9"/>
              </w:rPr>
              <w:t>—</w:t>
            </w:r>
          </w:p>
        </w:tc>
        <w:tc>
          <w:tcPr>
            <w:tcW w:w="220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8"/>
              </w:rPr>
              <w:t>21,500</w:t>
            </w:r>
          </w:p>
        </w:tc>
        <w:tc>
          <w:tcPr>
            <w:tcW w:w="198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7"/>
              </w:rPr>
              <w:t>10,042,490</w:t>
            </w:r>
          </w:p>
        </w:tc>
        <w:tc>
          <w:tcPr>
            <w:tcW w:w="0" w:type="dxa"/>
            <w:vAlign w:val="bottom"/>
          </w:tcPr>
          <w:p>
            <w:pPr>
              <w:spacing w:after="0"/>
              <w:rPr>
                <w:sz w:val="1"/>
                <w:szCs w:val="1"/>
                <w:color w:val="auto"/>
              </w:rPr>
            </w:pPr>
          </w:p>
        </w:tc>
      </w:tr>
      <w:tr>
        <w:trPr>
          <w:trHeight w:val="210"/>
        </w:trPr>
        <w:tc>
          <w:tcPr>
            <w:tcW w:w="3260" w:type="dxa"/>
            <w:vAlign w:val="bottom"/>
          </w:tcPr>
          <w:p>
            <w:pPr>
              <w:ind w:left="100"/>
              <w:spacing w:after="0"/>
              <w:rPr>
                <w:sz w:val="20"/>
                <w:szCs w:val="20"/>
                <w:color w:val="auto"/>
              </w:rPr>
            </w:pPr>
            <w:r>
              <w:rPr>
                <w:rFonts w:ascii="Arial" w:cs="Arial" w:eastAsia="Arial" w:hAnsi="Arial"/>
                <w:sz w:val="16"/>
                <w:szCs w:val="16"/>
                <w:color w:val="242424"/>
              </w:rPr>
              <w:t>Mark D. Brazeal</w:t>
            </w:r>
          </w:p>
        </w:tc>
        <w:tc>
          <w:tcPr>
            <w:tcW w:w="2140" w:type="dxa"/>
            <w:vAlign w:val="bottom"/>
          </w:tcPr>
          <w:p>
            <w:pPr>
              <w:jc w:val="center"/>
              <w:spacing w:after="0"/>
              <w:rPr>
                <w:sz w:val="20"/>
                <w:szCs w:val="20"/>
                <w:color w:val="auto"/>
              </w:rPr>
            </w:pPr>
            <w:r>
              <w:rPr>
                <w:rFonts w:ascii="Arial" w:cs="Arial" w:eastAsia="Arial" w:hAnsi="Arial"/>
                <w:sz w:val="16"/>
                <w:szCs w:val="16"/>
                <w:color w:val="242424"/>
                <w:w w:val="99"/>
              </w:rPr>
              <w:t>—</w:t>
            </w:r>
          </w:p>
        </w:tc>
        <w:tc>
          <w:tcPr>
            <w:tcW w:w="1660" w:type="dxa"/>
            <w:vAlign w:val="bottom"/>
          </w:tcPr>
          <w:p>
            <w:pPr>
              <w:jc w:val="center"/>
              <w:spacing w:after="0"/>
              <w:rPr>
                <w:sz w:val="20"/>
                <w:szCs w:val="20"/>
                <w:color w:val="auto"/>
              </w:rPr>
            </w:pPr>
            <w:r>
              <w:rPr>
                <w:rFonts w:ascii="Arial" w:cs="Arial" w:eastAsia="Arial" w:hAnsi="Arial"/>
                <w:sz w:val="16"/>
                <w:szCs w:val="16"/>
                <w:color w:val="242424"/>
                <w:w w:val="99"/>
              </w:rPr>
              <w:t>—</w:t>
            </w:r>
          </w:p>
        </w:tc>
        <w:tc>
          <w:tcPr>
            <w:tcW w:w="2200" w:type="dxa"/>
            <w:vAlign w:val="bottom"/>
          </w:tcPr>
          <w:p>
            <w:pPr>
              <w:jc w:val="center"/>
              <w:spacing w:after="0"/>
              <w:rPr>
                <w:sz w:val="20"/>
                <w:szCs w:val="20"/>
                <w:color w:val="auto"/>
              </w:rPr>
            </w:pPr>
            <w:r>
              <w:rPr>
                <w:rFonts w:ascii="Arial" w:cs="Arial" w:eastAsia="Arial" w:hAnsi="Arial"/>
                <w:sz w:val="16"/>
                <w:szCs w:val="16"/>
                <w:color w:val="242424"/>
                <w:w w:val="98"/>
              </w:rPr>
              <w:t>30,250</w:t>
            </w:r>
          </w:p>
        </w:tc>
        <w:tc>
          <w:tcPr>
            <w:tcW w:w="1980" w:type="dxa"/>
            <w:vAlign w:val="bottom"/>
          </w:tcPr>
          <w:p>
            <w:pPr>
              <w:jc w:val="center"/>
              <w:spacing w:after="0"/>
              <w:rPr>
                <w:sz w:val="20"/>
                <w:szCs w:val="20"/>
                <w:color w:val="auto"/>
              </w:rPr>
            </w:pPr>
            <w:r>
              <w:rPr>
                <w:rFonts w:ascii="Arial" w:cs="Arial" w:eastAsia="Arial" w:hAnsi="Arial"/>
                <w:sz w:val="16"/>
                <w:szCs w:val="16"/>
                <w:color w:val="242424"/>
                <w:w w:val="97"/>
              </w:rPr>
              <w:t>14,374,323</w:t>
            </w:r>
          </w:p>
        </w:tc>
        <w:tc>
          <w:tcPr>
            <w:tcW w:w="0" w:type="dxa"/>
            <w:vAlign w:val="bottom"/>
          </w:tcPr>
          <w:p>
            <w:pPr>
              <w:spacing w:after="0"/>
              <w:rPr>
                <w:sz w:val="1"/>
                <w:szCs w:val="1"/>
                <w:color w:val="auto"/>
              </w:rPr>
            </w:pPr>
          </w:p>
        </w:tc>
      </w:tr>
      <w:tr>
        <w:trPr>
          <w:trHeight w:val="214"/>
        </w:trPr>
        <w:tc>
          <w:tcPr>
            <w:tcW w:w="3260" w:type="dxa"/>
            <w:vAlign w:val="bottom"/>
            <w:shd w:val="clear" w:color="auto" w:fill="EAEAEA"/>
          </w:tcPr>
          <w:p>
            <w:pPr>
              <w:ind w:left="100"/>
              <w:spacing w:after="0"/>
              <w:rPr>
                <w:sz w:val="20"/>
                <w:szCs w:val="20"/>
                <w:color w:val="auto"/>
              </w:rPr>
            </w:pPr>
            <w:r>
              <w:rPr>
                <w:rFonts w:ascii="Arial" w:cs="Arial" w:eastAsia="Arial" w:hAnsi="Arial"/>
                <w:sz w:val="16"/>
                <w:szCs w:val="16"/>
                <w:color w:val="242424"/>
              </w:rPr>
              <w:t>Charlie B. Kawwas, Ph.D.</w:t>
            </w:r>
          </w:p>
        </w:tc>
        <w:tc>
          <w:tcPr>
            <w:tcW w:w="214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9"/>
              </w:rPr>
              <w:t>—</w:t>
            </w:r>
          </w:p>
        </w:tc>
        <w:tc>
          <w:tcPr>
            <w:tcW w:w="16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9"/>
              </w:rPr>
              <w:t>—</w:t>
            </w:r>
          </w:p>
        </w:tc>
        <w:tc>
          <w:tcPr>
            <w:tcW w:w="220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8"/>
              </w:rPr>
              <w:t>35,000</w:t>
            </w:r>
          </w:p>
        </w:tc>
        <w:tc>
          <w:tcPr>
            <w:tcW w:w="198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7"/>
              </w:rPr>
              <w:t>16,345,175</w:t>
            </w:r>
          </w:p>
        </w:tc>
        <w:tc>
          <w:tcPr>
            <w:tcW w:w="0" w:type="dxa"/>
            <w:vAlign w:val="bottom"/>
          </w:tcPr>
          <w:p>
            <w:pPr>
              <w:spacing w:after="0"/>
              <w:rPr>
                <w:sz w:val="1"/>
                <w:szCs w:val="1"/>
                <w:color w:val="auto"/>
              </w:rPr>
            </w:pPr>
          </w:p>
        </w:tc>
      </w:tr>
      <w:tr>
        <w:trPr>
          <w:trHeight w:val="207"/>
        </w:trPr>
        <w:tc>
          <w:tcPr>
            <w:tcW w:w="3260" w:type="dxa"/>
            <w:vAlign w:val="bottom"/>
          </w:tcPr>
          <w:p>
            <w:pPr>
              <w:ind w:left="100"/>
              <w:spacing w:after="0"/>
              <w:rPr>
                <w:sz w:val="20"/>
                <w:szCs w:val="20"/>
                <w:color w:val="auto"/>
              </w:rPr>
            </w:pPr>
            <w:r>
              <w:rPr>
                <w:rFonts w:ascii="Arial" w:cs="Arial" w:eastAsia="Arial" w:hAnsi="Arial"/>
                <w:sz w:val="16"/>
                <w:szCs w:val="16"/>
                <w:color w:val="242424"/>
              </w:rPr>
              <w:t>Thomas H. Krause, Jr.</w:t>
            </w:r>
          </w:p>
        </w:tc>
        <w:tc>
          <w:tcPr>
            <w:tcW w:w="2140" w:type="dxa"/>
            <w:vAlign w:val="bottom"/>
          </w:tcPr>
          <w:p>
            <w:pPr>
              <w:jc w:val="center"/>
              <w:spacing w:after="0"/>
              <w:rPr>
                <w:sz w:val="20"/>
                <w:szCs w:val="20"/>
                <w:color w:val="auto"/>
              </w:rPr>
            </w:pPr>
            <w:r>
              <w:rPr>
                <w:rFonts w:ascii="Arial" w:cs="Arial" w:eastAsia="Arial" w:hAnsi="Arial"/>
                <w:sz w:val="16"/>
                <w:szCs w:val="16"/>
                <w:color w:val="242424"/>
                <w:w w:val="99"/>
              </w:rPr>
              <w:t>—</w:t>
            </w:r>
          </w:p>
        </w:tc>
        <w:tc>
          <w:tcPr>
            <w:tcW w:w="1660" w:type="dxa"/>
            <w:vAlign w:val="bottom"/>
          </w:tcPr>
          <w:p>
            <w:pPr>
              <w:jc w:val="center"/>
              <w:spacing w:after="0"/>
              <w:rPr>
                <w:sz w:val="20"/>
                <w:szCs w:val="20"/>
                <w:color w:val="auto"/>
              </w:rPr>
            </w:pPr>
            <w:r>
              <w:rPr>
                <w:rFonts w:ascii="Arial" w:cs="Arial" w:eastAsia="Arial" w:hAnsi="Arial"/>
                <w:sz w:val="16"/>
                <w:szCs w:val="16"/>
                <w:color w:val="242424"/>
                <w:w w:val="99"/>
              </w:rPr>
              <w:t>—</w:t>
            </w:r>
          </w:p>
        </w:tc>
        <w:tc>
          <w:tcPr>
            <w:tcW w:w="2200" w:type="dxa"/>
            <w:vAlign w:val="bottom"/>
          </w:tcPr>
          <w:p>
            <w:pPr>
              <w:jc w:val="center"/>
              <w:spacing w:after="0"/>
              <w:rPr>
                <w:sz w:val="20"/>
                <w:szCs w:val="20"/>
                <w:color w:val="auto"/>
              </w:rPr>
            </w:pPr>
            <w:r>
              <w:rPr>
                <w:rFonts w:ascii="Arial" w:cs="Arial" w:eastAsia="Arial" w:hAnsi="Arial"/>
                <w:sz w:val="16"/>
                <w:szCs w:val="16"/>
                <w:color w:val="242424"/>
                <w:w w:val="98"/>
              </w:rPr>
              <w:t>40,250</w:t>
            </w:r>
          </w:p>
        </w:tc>
        <w:tc>
          <w:tcPr>
            <w:tcW w:w="1980" w:type="dxa"/>
            <w:vAlign w:val="bottom"/>
          </w:tcPr>
          <w:p>
            <w:pPr>
              <w:jc w:val="center"/>
              <w:spacing w:after="0"/>
              <w:rPr>
                <w:sz w:val="20"/>
                <w:szCs w:val="20"/>
                <w:color w:val="auto"/>
              </w:rPr>
            </w:pPr>
            <w:r>
              <w:rPr>
                <w:rFonts w:ascii="Arial" w:cs="Arial" w:eastAsia="Arial" w:hAnsi="Arial"/>
                <w:sz w:val="16"/>
                <w:szCs w:val="16"/>
                <w:color w:val="242424"/>
                <w:w w:val="97"/>
              </w:rPr>
              <w:t>18,330,368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2065020</wp:posOffset>
            </wp:positionH>
            <wp:positionV relativeFrom="paragraph">
              <wp:posOffset>-1022985</wp:posOffset>
            </wp:positionV>
            <wp:extent cx="50736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73650"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154305</wp:posOffset>
            </wp:positionV>
            <wp:extent cx="1993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94" w:lineRule="exact"/>
        <w:rPr>
          <w:sz w:val="20"/>
          <w:szCs w:val="20"/>
          <w:color w:val="auto"/>
        </w:rPr>
      </w:pPr>
    </w:p>
    <w:p>
      <w:pPr>
        <w:ind w:left="500" w:hanging="335"/>
        <w:spacing w:after="0"/>
        <w:tabs>
          <w:tab w:leader="none" w:pos="500" w:val="left"/>
        </w:tabs>
        <w:numPr>
          <w:ilvl w:val="0"/>
          <w:numId w:val="77"/>
        </w:numPr>
        <w:rPr>
          <w:rFonts w:ascii="Arial" w:cs="Arial" w:eastAsia="Arial" w:hAnsi="Arial"/>
          <w:sz w:val="14"/>
          <w:szCs w:val="14"/>
          <w:color w:val="242424"/>
        </w:rPr>
      </w:pPr>
      <w:r>
        <w:rPr>
          <w:rFonts w:ascii="Arial" w:cs="Arial" w:eastAsia="Arial" w:hAnsi="Arial"/>
          <w:sz w:val="14"/>
          <w:szCs w:val="14"/>
          <w:color w:val="242424"/>
        </w:rPr>
        <w:t>These shares include shares vested under service-based RSU awards and PSU awards granted in Fiscal Year 2017, Fiscal Year 2018 and Fiscal Year 2019.</w:t>
      </w:r>
    </w:p>
    <w:p>
      <w:pPr>
        <w:spacing w:after="0" w:line="146" w:lineRule="exact"/>
        <w:rPr>
          <w:sz w:val="20"/>
          <w:szCs w:val="20"/>
          <w:color w:val="auto"/>
        </w:rPr>
      </w:pPr>
    </w:p>
    <w:p>
      <w:pPr>
        <w:ind w:right="80"/>
        <w:spacing w:after="0" w:line="290" w:lineRule="auto"/>
        <w:rPr>
          <w:sz w:val="20"/>
          <w:szCs w:val="20"/>
          <w:color w:val="auto"/>
        </w:rPr>
      </w:pPr>
      <w:r>
        <w:rPr>
          <w:rFonts w:ascii="Arial" w:cs="Arial" w:eastAsia="Arial" w:hAnsi="Arial"/>
          <w:sz w:val="21"/>
          <w:szCs w:val="21"/>
          <w:b w:val="1"/>
          <w:bCs w:val="1"/>
          <w:color w:val="CC092F"/>
        </w:rPr>
        <w:t>Severance and Change in Control Agreements with Named Executive Officers; Death and Permanent Disability Policies; Retirement</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Severance Benefit Agreements — General Terms</w:t>
      </w:r>
    </w:p>
    <w:p>
      <w:pPr>
        <w:spacing w:after="0" w:line="153"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242424"/>
        </w:rPr>
        <w:t>In Fiscal Year 2021 each of our NEOs was party to a severance benefits agreement with Broadcom (as may be amended or restated from time to time, a “severance benefit agreement”). In December 2020, we amended and restated the severance benefit agreements with each of Messrs. Tan and Krause and Dr. Kawwas.</w:t>
      </w:r>
    </w:p>
    <w:p>
      <w:pPr>
        <w:spacing w:after="0" w:line="127"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242424"/>
        </w:rPr>
        <w:t>These severance benefits agreements provide each NEO with severance payments and other benefits in the event termination of employment is without cause, due to death or permanent disability or for “good reason,” as such terms are defined in the severance benefits agreements (a “Covered Termination”), provided that the NEO timely executes a general release of claims in Broadcom’s favor.</w:t>
      </w:r>
    </w:p>
    <w:p>
      <w:pPr>
        <w:spacing w:after="0" w:line="11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242424"/>
        </w:rPr>
        <w:t>If a Covered Termination takes place within 12 months following (or in the case of Mr. Tan, within three months prior to or 12 months following) a “change in control” (as defined in the severance benefits agreement) of Broadcom, Broadcom must provide the NEO with:</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720" w:type="dxa"/>
            <w:vAlign w:val="bottom"/>
            <w:tcBorders>
              <w:top w:val="single" w:sz="8" w:color="CC092F"/>
            </w:tcBorders>
            <w:vMerge w:val="restart"/>
            <w:shd w:val="clear" w:color="auto" w:fill="B8B8B8"/>
          </w:tcPr>
          <w:p>
            <w:pPr>
              <w:ind w:left="20"/>
              <w:spacing w:after="0"/>
              <w:rPr>
                <w:sz w:val="20"/>
                <w:szCs w:val="20"/>
                <w:color w:val="auto"/>
              </w:rPr>
            </w:pPr>
            <w:r>
              <w:rPr>
                <w:rFonts w:ascii="Arial" w:cs="Arial" w:eastAsia="Arial" w:hAnsi="Arial"/>
                <w:sz w:val="16"/>
                <w:szCs w:val="16"/>
                <w:b w:val="1"/>
                <w:bCs w:val="1"/>
                <w:color w:val="FFFFFF"/>
              </w:rPr>
              <w:t>Name</w:t>
            </w:r>
          </w:p>
        </w:tc>
        <w:tc>
          <w:tcPr>
            <w:tcW w:w="2120" w:type="dxa"/>
            <w:vAlign w:val="bottom"/>
            <w:tcBorders>
              <w:top w:val="single" w:sz="8" w:color="CC092F"/>
            </w:tcBorders>
            <w:shd w:val="clear" w:color="auto" w:fill="B8B8B8"/>
          </w:tcPr>
          <w:p>
            <w:pPr>
              <w:jc w:val="center"/>
              <w:ind w:left="461"/>
              <w:spacing w:after="0" w:line="172" w:lineRule="exact"/>
              <w:rPr>
                <w:sz w:val="20"/>
                <w:szCs w:val="20"/>
                <w:color w:val="auto"/>
              </w:rPr>
            </w:pPr>
            <w:r>
              <w:rPr>
                <w:rFonts w:ascii="Arial" w:cs="Arial" w:eastAsia="Arial" w:hAnsi="Arial"/>
                <w:sz w:val="16"/>
                <w:szCs w:val="16"/>
                <w:b w:val="1"/>
                <w:bCs w:val="1"/>
                <w:color w:val="FFFFFF"/>
                <w:w w:val="98"/>
              </w:rPr>
              <w:t>Continued</w:t>
            </w:r>
          </w:p>
        </w:tc>
        <w:tc>
          <w:tcPr>
            <w:tcW w:w="1320" w:type="dxa"/>
            <w:vAlign w:val="bottom"/>
            <w:tcBorders>
              <w:top w:val="single" w:sz="8" w:color="CC092F"/>
            </w:tcBorders>
            <w:vMerge w:val="restart"/>
            <w:shd w:val="clear" w:color="auto" w:fill="B8B8B8"/>
          </w:tcPr>
          <w:p>
            <w:pPr>
              <w:jc w:val="center"/>
              <w:ind w:right="1"/>
              <w:spacing w:after="0"/>
              <w:rPr>
                <w:sz w:val="20"/>
                <w:szCs w:val="20"/>
                <w:color w:val="auto"/>
              </w:rPr>
            </w:pPr>
            <w:r>
              <w:rPr>
                <w:rFonts w:ascii="Arial" w:cs="Arial" w:eastAsia="Arial" w:hAnsi="Arial"/>
                <w:sz w:val="16"/>
                <w:szCs w:val="16"/>
                <w:b w:val="1"/>
                <w:bCs w:val="1"/>
                <w:color w:val="FFFFFF"/>
              </w:rPr>
              <w:t>Bonus</w:t>
            </w:r>
            <w:r>
              <w:rPr>
                <w:rFonts w:ascii="Arial" w:cs="Arial" w:eastAsia="Arial" w:hAnsi="Arial"/>
                <w:sz w:val="8"/>
                <w:szCs w:val="8"/>
                <w:b w:val="1"/>
                <w:bCs w:val="1"/>
                <w:color w:val="FFFFFF"/>
              </w:rPr>
              <w:t>(1)</w:t>
            </w:r>
          </w:p>
        </w:tc>
        <w:tc>
          <w:tcPr>
            <w:tcW w:w="2560" w:type="dxa"/>
            <w:vAlign w:val="bottom"/>
            <w:tcBorders>
              <w:top w:val="single" w:sz="8" w:color="CC092F"/>
            </w:tcBorders>
            <w:shd w:val="clear" w:color="auto" w:fill="B8B8B8"/>
          </w:tcPr>
          <w:p>
            <w:pPr>
              <w:jc w:val="center"/>
              <w:spacing w:after="0" w:line="172" w:lineRule="exact"/>
              <w:rPr>
                <w:sz w:val="20"/>
                <w:szCs w:val="20"/>
                <w:color w:val="auto"/>
              </w:rPr>
            </w:pPr>
            <w:r>
              <w:rPr>
                <w:rFonts w:ascii="Arial" w:cs="Arial" w:eastAsia="Arial" w:hAnsi="Arial"/>
                <w:sz w:val="16"/>
                <w:szCs w:val="16"/>
                <w:b w:val="1"/>
                <w:bCs w:val="1"/>
                <w:color w:val="FFFFFF"/>
                <w:w w:val="99"/>
              </w:rPr>
              <w:t>Health Benefits</w:t>
            </w:r>
          </w:p>
        </w:tc>
        <w:tc>
          <w:tcPr>
            <w:tcW w:w="2480" w:type="dxa"/>
            <w:vAlign w:val="bottom"/>
            <w:tcBorders>
              <w:top w:val="single" w:sz="8" w:color="CC092F"/>
            </w:tcBorders>
            <w:shd w:val="clear" w:color="auto" w:fill="B8B8B8"/>
          </w:tcPr>
          <w:p>
            <w:pPr>
              <w:jc w:val="center"/>
              <w:spacing w:after="0" w:line="172" w:lineRule="exact"/>
              <w:rPr>
                <w:sz w:val="20"/>
                <w:szCs w:val="20"/>
                <w:color w:val="auto"/>
              </w:rPr>
            </w:pPr>
            <w:r>
              <w:rPr>
                <w:rFonts w:ascii="Arial" w:cs="Arial" w:eastAsia="Arial" w:hAnsi="Arial"/>
                <w:sz w:val="16"/>
                <w:szCs w:val="16"/>
                <w:b w:val="1"/>
                <w:bCs w:val="1"/>
                <w:color w:val="FFFFFF"/>
                <w:w w:val="99"/>
              </w:rPr>
              <w:t>Equity Award</w:t>
            </w:r>
          </w:p>
        </w:tc>
        <w:tc>
          <w:tcPr>
            <w:tcW w:w="0" w:type="dxa"/>
            <w:vAlign w:val="bottom"/>
          </w:tcPr>
          <w:p>
            <w:pPr>
              <w:spacing w:after="0"/>
              <w:rPr>
                <w:sz w:val="1"/>
                <w:szCs w:val="1"/>
                <w:color w:val="auto"/>
              </w:rPr>
            </w:pPr>
          </w:p>
        </w:tc>
      </w:tr>
      <w:tr>
        <w:trPr>
          <w:trHeight w:val="212"/>
        </w:trPr>
        <w:tc>
          <w:tcPr>
            <w:tcW w:w="2720" w:type="dxa"/>
            <w:vAlign w:val="bottom"/>
            <w:tcBorders>
              <w:bottom w:val="single" w:sz="8" w:color="CC092F"/>
            </w:tcBorders>
            <w:vMerge w:val="continue"/>
            <w:shd w:val="clear" w:color="auto" w:fill="B8B8B8"/>
          </w:tcPr>
          <w:p>
            <w:pPr>
              <w:spacing w:after="0"/>
              <w:rPr>
                <w:sz w:val="18"/>
                <w:szCs w:val="18"/>
                <w:color w:val="auto"/>
              </w:rPr>
            </w:pPr>
          </w:p>
        </w:tc>
        <w:tc>
          <w:tcPr>
            <w:tcW w:w="2120" w:type="dxa"/>
            <w:vAlign w:val="bottom"/>
            <w:tcBorders>
              <w:bottom w:val="single" w:sz="8" w:color="CC092F"/>
            </w:tcBorders>
            <w:shd w:val="clear" w:color="auto" w:fill="B8B8B8"/>
          </w:tcPr>
          <w:p>
            <w:pPr>
              <w:jc w:val="center"/>
              <w:ind w:left="461"/>
              <w:spacing w:after="0"/>
              <w:rPr>
                <w:sz w:val="20"/>
                <w:szCs w:val="20"/>
                <w:color w:val="auto"/>
              </w:rPr>
            </w:pPr>
            <w:r>
              <w:rPr>
                <w:rFonts w:ascii="Arial" w:cs="Arial" w:eastAsia="Arial" w:hAnsi="Arial"/>
                <w:sz w:val="16"/>
                <w:szCs w:val="16"/>
                <w:b w:val="1"/>
                <w:bCs w:val="1"/>
                <w:color w:val="FFFFFF"/>
                <w:w w:val="99"/>
              </w:rPr>
              <w:t>Base Salary</w:t>
            </w:r>
          </w:p>
        </w:tc>
        <w:tc>
          <w:tcPr>
            <w:tcW w:w="1320" w:type="dxa"/>
            <w:vAlign w:val="bottom"/>
            <w:tcBorders>
              <w:bottom w:val="single" w:sz="8" w:color="CC092F"/>
            </w:tcBorders>
            <w:vMerge w:val="continue"/>
            <w:shd w:val="clear" w:color="auto" w:fill="B8B8B8"/>
          </w:tcPr>
          <w:p>
            <w:pPr>
              <w:spacing w:after="0"/>
              <w:rPr>
                <w:sz w:val="18"/>
                <w:szCs w:val="18"/>
                <w:color w:val="auto"/>
              </w:rPr>
            </w:pPr>
          </w:p>
        </w:tc>
        <w:tc>
          <w:tcPr>
            <w:tcW w:w="256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6"/>
                <w:szCs w:val="16"/>
                <w:b w:val="1"/>
                <w:bCs w:val="1"/>
                <w:color w:val="FFFFFF"/>
                <w:w w:val="98"/>
              </w:rPr>
              <w:t>Continuation Coverage</w:t>
            </w:r>
          </w:p>
        </w:tc>
        <w:tc>
          <w:tcPr>
            <w:tcW w:w="248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6"/>
                <w:szCs w:val="16"/>
                <w:b w:val="1"/>
                <w:bCs w:val="1"/>
                <w:color w:val="FFFFFF"/>
                <w:w w:val="98"/>
              </w:rPr>
              <w:t>Vesting Acceleration</w:t>
            </w:r>
            <w:r>
              <w:rPr>
                <w:rFonts w:ascii="Arial" w:cs="Arial" w:eastAsia="Arial" w:hAnsi="Arial"/>
                <w:sz w:val="8"/>
                <w:szCs w:val="8"/>
                <w:b w:val="1"/>
                <w:bCs w:val="1"/>
                <w:color w:val="FFFFFF"/>
                <w:w w:val="98"/>
              </w:rPr>
              <w:t>(2)</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6"/>
                <w:szCs w:val="16"/>
                <w:color w:val="242424"/>
              </w:rPr>
              <w:t>Hock E. Tan</w:t>
            </w:r>
          </w:p>
        </w:tc>
        <w:tc>
          <w:tcPr>
            <w:tcW w:w="2120" w:type="dxa"/>
            <w:vAlign w:val="bottom"/>
          </w:tcPr>
          <w:p>
            <w:pPr>
              <w:jc w:val="center"/>
              <w:ind w:left="461"/>
              <w:spacing w:after="0"/>
              <w:rPr>
                <w:sz w:val="20"/>
                <w:szCs w:val="20"/>
                <w:color w:val="auto"/>
              </w:rPr>
            </w:pPr>
            <w:r>
              <w:rPr>
                <w:rFonts w:ascii="Arial" w:cs="Arial" w:eastAsia="Arial" w:hAnsi="Arial"/>
                <w:sz w:val="16"/>
                <w:szCs w:val="16"/>
                <w:color w:val="242424"/>
                <w:w w:val="98"/>
              </w:rPr>
              <w:t>24 months</w:t>
            </w:r>
          </w:p>
        </w:tc>
        <w:tc>
          <w:tcPr>
            <w:tcW w:w="1320" w:type="dxa"/>
            <w:vAlign w:val="bottom"/>
          </w:tcPr>
          <w:p>
            <w:pPr>
              <w:jc w:val="center"/>
              <w:ind w:right="1"/>
              <w:spacing w:after="0"/>
              <w:rPr>
                <w:sz w:val="20"/>
                <w:szCs w:val="20"/>
                <w:color w:val="auto"/>
              </w:rPr>
            </w:pPr>
            <w:r>
              <w:rPr>
                <w:rFonts w:ascii="Arial" w:cs="Arial" w:eastAsia="Arial" w:hAnsi="Arial"/>
                <w:sz w:val="16"/>
                <w:szCs w:val="16"/>
                <w:color w:val="242424"/>
                <w:w w:val="97"/>
              </w:rPr>
              <w:t>200%</w:t>
            </w:r>
          </w:p>
        </w:tc>
        <w:tc>
          <w:tcPr>
            <w:tcW w:w="2560" w:type="dxa"/>
            <w:vAlign w:val="bottom"/>
          </w:tcPr>
          <w:p>
            <w:pPr>
              <w:jc w:val="center"/>
              <w:spacing w:after="0"/>
              <w:rPr>
                <w:sz w:val="20"/>
                <w:szCs w:val="20"/>
                <w:color w:val="auto"/>
              </w:rPr>
            </w:pPr>
            <w:r>
              <w:rPr>
                <w:rFonts w:ascii="Arial" w:cs="Arial" w:eastAsia="Arial" w:hAnsi="Arial"/>
                <w:sz w:val="16"/>
                <w:szCs w:val="16"/>
                <w:color w:val="242424"/>
                <w:w w:val="99"/>
              </w:rPr>
              <w:t>—</w:t>
            </w:r>
          </w:p>
        </w:tc>
        <w:tc>
          <w:tcPr>
            <w:tcW w:w="2480" w:type="dxa"/>
            <w:vAlign w:val="bottom"/>
          </w:tcPr>
          <w:p>
            <w:pPr>
              <w:jc w:val="center"/>
              <w:spacing w:after="0"/>
              <w:rPr>
                <w:sz w:val="20"/>
                <w:szCs w:val="20"/>
                <w:color w:val="auto"/>
              </w:rPr>
            </w:pPr>
            <w:r>
              <w:rPr>
                <w:rFonts w:ascii="Arial" w:cs="Arial" w:eastAsia="Arial" w:hAnsi="Arial"/>
                <w:sz w:val="16"/>
                <w:szCs w:val="16"/>
                <w:color w:val="242424"/>
              </w:rPr>
              <w:t>100%</w:t>
            </w:r>
          </w:p>
        </w:tc>
        <w:tc>
          <w:tcPr>
            <w:tcW w:w="0" w:type="dxa"/>
            <w:vAlign w:val="bottom"/>
          </w:tcPr>
          <w:p>
            <w:pPr>
              <w:spacing w:after="0"/>
              <w:rPr>
                <w:sz w:val="1"/>
                <w:szCs w:val="1"/>
                <w:color w:val="auto"/>
              </w:rPr>
            </w:pPr>
          </w:p>
        </w:tc>
      </w:tr>
      <w:tr>
        <w:trPr>
          <w:trHeight w:val="254"/>
        </w:trPr>
        <w:tc>
          <w:tcPr>
            <w:tcW w:w="272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Kirsten M. Spears</w:t>
            </w:r>
          </w:p>
        </w:tc>
        <w:tc>
          <w:tcPr>
            <w:tcW w:w="2120" w:type="dxa"/>
            <w:vAlign w:val="bottom"/>
            <w:shd w:val="clear" w:color="auto" w:fill="EAEAEA"/>
          </w:tcPr>
          <w:p>
            <w:pPr>
              <w:jc w:val="center"/>
              <w:ind w:left="461"/>
              <w:spacing w:after="0"/>
              <w:rPr>
                <w:sz w:val="20"/>
                <w:szCs w:val="20"/>
                <w:color w:val="auto"/>
              </w:rPr>
            </w:pPr>
            <w:r>
              <w:rPr>
                <w:rFonts w:ascii="Arial" w:cs="Arial" w:eastAsia="Arial" w:hAnsi="Arial"/>
                <w:sz w:val="16"/>
                <w:szCs w:val="16"/>
                <w:color w:val="242424"/>
                <w:w w:val="98"/>
              </w:rPr>
              <w:t>12 months</w:t>
            </w:r>
          </w:p>
        </w:tc>
        <w:tc>
          <w:tcPr>
            <w:tcW w:w="1320" w:type="dxa"/>
            <w:vAlign w:val="bottom"/>
            <w:shd w:val="clear" w:color="auto" w:fill="EAEAEA"/>
          </w:tcPr>
          <w:p>
            <w:pPr>
              <w:jc w:val="center"/>
              <w:ind w:right="1"/>
              <w:spacing w:after="0"/>
              <w:rPr>
                <w:sz w:val="20"/>
                <w:szCs w:val="20"/>
                <w:color w:val="auto"/>
              </w:rPr>
            </w:pPr>
            <w:r>
              <w:rPr>
                <w:rFonts w:ascii="Arial" w:cs="Arial" w:eastAsia="Arial" w:hAnsi="Arial"/>
                <w:sz w:val="16"/>
                <w:szCs w:val="16"/>
                <w:color w:val="242424"/>
                <w:w w:val="97"/>
              </w:rPr>
              <w:t>100%</w:t>
            </w:r>
          </w:p>
        </w:tc>
        <w:tc>
          <w:tcPr>
            <w:tcW w:w="25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8"/>
              </w:rPr>
              <w:t>12 months</w:t>
            </w:r>
          </w:p>
        </w:tc>
        <w:tc>
          <w:tcPr>
            <w:tcW w:w="2480" w:type="dxa"/>
            <w:vAlign w:val="bottom"/>
            <w:shd w:val="clear" w:color="auto" w:fill="EAEAEA"/>
          </w:tcPr>
          <w:p>
            <w:pPr>
              <w:jc w:val="center"/>
              <w:spacing w:after="0"/>
              <w:rPr>
                <w:sz w:val="20"/>
                <w:szCs w:val="20"/>
                <w:color w:val="auto"/>
              </w:rPr>
            </w:pPr>
            <w:r>
              <w:rPr>
                <w:rFonts w:ascii="Arial" w:cs="Arial" w:eastAsia="Arial" w:hAnsi="Arial"/>
                <w:sz w:val="16"/>
                <w:szCs w:val="16"/>
                <w:color w:val="242424"/>
              </w:rPr>
              <w:t>100%</w:t>
            </w:r>
          </w:p>
        </w:tc>
        <w:tc>
          <w:tcPr>
            <w:tcW w:w="0" w:type="dxa"/>
            <w:vAlign w:val="bottom"/>
          </w:tcPr>
          <w:p>
            <w:pPr>
              <w:spacing w:after="0"/>
              <w:rPr>
                <w:sz w:val="1"/>
                <w:szCs w:val="1"/>
                <w:color w:val="auto"/>
              </w:rPr>
            </w:pPr>
          </w:p>
        </w:tc>
      </w:tr>
      <w:tr>
        <w:trPr>
          <w:trHeight w:val="249"/>
        </w:trPr>
        <w:tc>
          <w:tcPr>
            <w:tcW w:w="2720" w:type="dxa"/>
            <w:vAlign w:val="bottom"/>
          </w:tcPr>
          <w:p>
            <w:pPr>
              <w:ind w:left="20"/>
              <w:spacing w:after="0"/>
              <w:rPr>
                <w:sz w:val="20"/>
                <w:szCs w:val="20"/>
                <w:color w:val="auto"/>
              </w:rPr>
            </w:pPr>
            <w:r>
              <w:rPr>
                <w:rFonts w:ascii="Arial" w:cs="Arial" w:eastAsia="Arial" w:hAnsi="Arial"/>
                <w:sz w:val="16"/>
                <w:szCs w:val="16"/>
                <w:color w:val="242424"/>
              </w:rPr>
              <w:t>Mark D. Brazeal</w:t>
            </w:r>
          </w:p>
        </w:tc>
        <w:tc>
          <w:tcPr>
            <w:tcW w:w="2120" w:type="dxa"/>
            <w:vAlign w:val="bottom"/>
          </w:tcPr>
          <w:p>
            <w:pPr>
              <w:jc w:val="center"/>
              <w:ind w:left="461"/>
              <w:spacing w:after="0"/>
              <w:rPr>
                <w:sz w:val="20"/>
                <w:szCs w:val="20"/>
                <w:color w:val="auto"/>
              </w:rPr>
            </w:pPr>
            <w:r>
              <w:rPr>
                <w:rFonts w:ascii="Arial" w:cs="Arial" w:eastAsia="Arial" w:hAnsi="Arial"/>
                <w:sz w:val="16"/>
                <w:szCs w:val="16"/>
                <w:color w:val="242424"/>
                <w:w w:val="98"/>
              </w:rPr>
              <w:t>12 months</w:t>
            </w:r>
          </w:p>
        </w:tc>
        <w:tc>
          <w:tcPr>
            <w:tcW w:w="1320" w:type="dxa"/>
            <w:vAlign w:val="bottom"/>
          </w:tcPr>
          <w:p>
            <w:pPr>
              <w:jc w:val="center"/>
              <w:ind w:right="1"/>
              <w:spacing w:after="0"/>
              <w:rPr>
                <w:sz w:val="20"/>
                <w:szCs w:val="20"/>
                <w:color w:val="auto"/>
              </w:rPr>
            </w:pPr>
            <w:r>
              <w:rPr>
                <w:rFonts w:ascii="Arial" w:cs="Arial" w:eastAsia="Arial" w:hAnsi="Arial"/>
                <w:sz w:val="16"/>
                <w:szCs w:val="16"/>
                <w:color w:val="242424"/>
                <w:w w:val="97"/>
              </w:rPr>
              <w:t>100%</w:t>
            </w:r>
          </w:p>
        </w:tc>
        <w:tc>
          <w:tcPr>
            <w:tcW w:w="2560" w:type="dxa"/>
            <w:vAlign w:val="bottom"/>
          </w:tcPr>
          <w:p>
            <w:pPr>
              <w:jc w:val="center"/>
              <w:spacing w:after="0"/>
              <w:rPr>
                <w:sz w:val="20"/>
                <w:szCs w:val="20"/>
                <w:color w:val="auto"/>
              </w:rPr>
            </w:pPr>
            <w:r>
              <w:rPr>
                <w:rFonts w:ascii="Arial" w:cs="Arial" w:eastAsia="Arial" w:hAnsi="Arial"/>
                <w:sz w:val="16"/>
                <w:szCs w:val="16"/>
                <w:color w:val="242424"/>
                <w:w w:val="98"/>
              </w:rPr>
              <w:t>12 months</w:t>
            </w:r>
          </w:p>
        </w:tc>
        <w:tc>
          <w:tcPr>
            <w:tcW w:w="2480" w:type="dxa"/>
            <w:vAlign w:val="bottom"/>
          </w:tcPr>
          <w:p>
            <w:pPr>
              <w:jc w:val="center"/>
              <w:spacing w:after="0"/>
              <w:rPr>
                <w:sz w:val="20"/>
                <w:szCs w:val="20"/>
                <w:color w:val="auto"/>
              </w:rPr>
            </w:pPr>
            <w:r>
              <w:rPr>
                <w:rFonts w:ascii="Arial" w:cs="Arial" w:eastAsia="Arial" w:hAnsi="Arial"/>
                <w:sz w:val="16"/>
                <w:szCs w:val="16"/>
                <w:color w:val="242424"/>
              </w:rPr>
              <w:t>100%</w:t>
            </w:r>
          </w:p>
        </w:tc>
        <w:tc>
          <w:tcPr>
            <w:tcW w:w="0" w:type="dxa"/>
            <w:vAlign w:val="bottom"/>
          </w:tcPr>
          <w:p>
            <w:pPr>
              <w:spacing w:after="0"/>
              <w:rPr>
                <w:sz w:val="1"/>
                <w:szCs w:val="1"/>
                <w:color w:val="auto"/>
              </w:rPr>
            </w:pPr>
          </w:p>
        </w:tc>
      </w:tr>
      <w:tr>
        <w:trPr>
          <w:trHeight w:val="254"/>
        </w:trPr>
        <w:tc>
          <w:tcPr>
            <w:tcW w:w="272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Charlie B. Kawwas, Ph.D.</w:t>
            </w:r>
          </w:p>
        </w:tc>
        <w:tc>
          <w:tcPr>
            <w:tcW w:w="2120" w:type="dxa"/>
            <w:vAlign w:val="bottom"/>
            <w:shd w:val="clear" w:color="auto" w:fill="EAEAEA"/>
          </w:tcPr>
          <w:p>
            <w:pPr>
              <w:jc w:val="center"/>
              <w:ind w:left="461"/>
              <w:spacing w:after="0"/>
              <w:rPr>
                <w:sz w:val="20"/>
                <w:szCs w:val="20"/>
                <w:color w:val="auto"/>
              </w:rPr>
            </w:pPr>
            <w:r>
              <w:rPr>
                <w:rFonts w:ascii="Arial" w:cs="Arial" w:eastAsia="Arial" w:hAnsi="Arial"/>
                <w:sz w:val="16"/>
                <w:szCs w:val="16"/>
                <w:color w:val="242424"/>
                <w:w w:val="98"/>
              </w:rPr>
              <w:t>12 months</w:t>
            </w:r>
          </w:p>
        </w:tc>
        <w:tc>
          <w:tcPr>
            <w:tcW w:w="1320" w:type="dxa"/>
            <w:vAlign w:val="bottom"/>
            <w:shd w:val="clear" w:color="auto" w:fill="EAEAEA"/>
          </w:tcPr>
          <w:p>
            <w:pPr>
              <w:jc w:val="center"/>
              <w:ind w:right="1"/>
              <w:spacing w:after="0"/>
              <w:rPr>
                <w:sz w:val="20"/>
                <w:szCs w:val="20"/>
                <w:color w:val="auto"/>
              </w:rPr>
            </w:pPr>
            <w:r>
              <w:rPr>
                <w:rFonts w:ascii="Arial" w:cs="Arial" w:eastAsia="Arial" w:hAnsi="Arial"/>
                <w:sz w:val="16"/>
                <w:szCs w:val="16"/>
                <w:color w:val="242424"/>
                <w:w w:val="97"/>
              </w:rPr>
              <w:t>100%</w:t>
            </w:r>
          </w:p>
        </w:tc>
        <w:tc>
          <w:tcPr>
            <w:tcW w:w="25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8"/>
              </w:rPr>
              <w:t>12 months</w:t>
            </w:r>
          </w:p>
        </w:tc>
        <w:tc>
          <w:tcPr>
            <w:tcW w:w="2480" w:type="dxa"/>
            <w:vAlign w:val="bottom"/>
            <w:shd w:val="clear" w:color="auto" w:fill="EAEAEA"/>
          </w:tcPr>
          <w:p>
            <w:pPr>
              <w:jc w:val="center"/>
              <w:spacing w:after="0"/>
              <w:rPr>
                <w:sz w:val="20"/>
                <w:szCs w:val="20"/>
                <w:color w:val="auto"/>
              </w:rPr>
            </w:pPr>
            <w:r>
              <w:rPr>
                <w:rFonts w:ascii="Arial" w:cs="Arial" w:eastAsia="Arial" w:hAnsi="Arial"/>
                <w:sz w:val="16"/>
                <w:szCs w:val="16"/>
                <w:color w:val="242424"/>
              </w:rPr>
              <w:t>100%</w:t>
            </w:r>
          </w:p>
        </w:tc>
        <w:tc>
          <w:tcPr>
            <w:tcW w:w="0" w:type="dxa"/>
            <w:vAlign w:val="bottom"/>
          </w:tcPr>
          <w:p>
            <w:pPr>
              <w:spacing w:after="0"/>
              <w:rPr>
                <w:sz w:val="1"/>
                <w:szCs w:val="1"/>
                <w:color w:val="auto"/>
              </w:rPr>
            </w:pPr>
          </w:p>
        </w:tc>
      </w:tr>
      <w:tr>
        <w:trPr>
          <w:trHeight w:val="247"/>
        </w:trPr>
        <w:tc>
          <w:tcPr>
            <w:tcW w:w="2720" w:type="dxa"/>
            <w:vAlign w:val="bottom"/>
          </w:tcPr>
          <w:p>
            <w:pPr>
              <w:ind w:left="20"/>
              <w:spacing w:after="0"/>
              <w:rPr>
                <w:sz w:val="20"/>
                <w:szCs w:val="20"/>
                <w:color w:val="auto"/>
              </w:rPr>
            </w:pPr>
            <w:r>
              <w:rPr>
                <w:rFonts w:ascii="Arial" w:cs="Arial" w:eastAsia="Arial" w:hAnsi="Arial"/>
                <w:sz w:val="16"/>
                <w:szCs w:val="16"/>
                <w:color w:val="242424"/>
              </w:rPr>
              <w:t>Thomas H. Krause, Jr.</w:t>
            </w:r>
          </w:p>
        </w:tc>
        <w:tc>
          <w:tcPr>
            <w:tcW w:w="2120" w:type="dxa"/>
            <w:vAlign w:val="bottom"/>
          </w:tcPr>
          <w:p>
            <w:pPr>
              <w:jc w:val="center"/>
              <w:ind w:left="461"/>
              <w:spacing w:after="0"/>
              <w:rPr>
                <w:sz w:val="20"/>
                <w:szCs w:val="20"/>
                <w:color w:val="auto"/>
              </w:rPr>
            </w:pPr>
            <w:r>
              <w:rPr>
                <w:rFonts w:ascii="Arial" w:cs="Arial" w:eastAsia="Arial" w:hAnsi="Arial"/>
                <w:sz w:val="16"/>
                <w:szCs w:val="16"/>
                <w:color w:val="242424"/>
                <w:w w:val="98"/>
              </w:rPr>
              <w:t>12 months</w:t>
            </w:r>
          </w:p>
        </w:tc>
        <w:tc>
          <w:tcPr>
            <w:tcW w:w="1320" w:type="dxa"/>
            <w:vAlign w:val="bottom"/>
          </w:tcPr>
          <w:p>
            <w:pPr>
              <w:jc w:val="center"/>
              <w:ind w:right="1"/>
              <w:spacing w:after="0"/>
              <w:rPr>
                <w:sz w:val="20"/>
                <w:szCs w:val="20"/>
                <w:color w:val="auto"/>
              </w:rPr>
            </w:pPr>
            <w:r>
              <w:rPr>
                <w:rFonts w:ascii="Arial" w:cs="Arial" w:eastAsia="Arial" w:hAnsi="Arial"/>
                <w:sz w:val="16"/>
                <w:szCs w:val="16"/>
                <w:color w:val="242424"/>
                <w:w w:val="97"/>
              </w:rPr>
              <w:t>100%</w:t>
            </w:r>
          </w:p>
        </w:tc>
        <w:tc>
          <w:tcPr>
            <w:tcW w:w="2560" w:type="dxa"/>
            <w:vAlign w:val="bottom"/>
          </w:tcPr>
          <w:p>
            <w:pPr>
              <w:jc w:val="center"/>
              <w:spacing w:after="0"/>
              <w:rPr>
                <w:sz w:val="20"/>
                <w:szCs w:val="20"/>
                <w:color w:val="auto"/>
              </w:rPr>
            </w:pPr>
            <w:r>
              <w:rPr>
                <w:rFonts w:ascii="Arial" w:cs="Arial" w:eastAsia="Arial" w:hAnsi="Arial"/>
                <w:sz w:val="16"/>
                <w:szCs w:val="16"/>
                <w:color w:val="242424"/>
                <w:w w:val="98"/>
              </w:rPr>
              <w:t>12 months</w:t>
            </w:r>
          </w:p>
        </w:tc>
        <w:tc>
          <w:tcPr>
            <w:tcW w:w="2480" w:type="dxa"/>
            <w:vAlign w:val="bottom"/>
          </w:tcPr>
          <w:p>
            <w:pPr>
              <w:jc w:val="center"/>
              <w:spacing w:after="0"/>
              <w:rPr>
                <w:sz w:val="20"/>
                <w:szCs w:val="20"/>
                <w:color w:val="auto"/>
              </w:rPr>
            </w:pPr>
            <w:r>
              <w:rPr>
                <w:rFonts w:ascii="Arial" w:cs="Arial" w:eastAsia="Arial" w:hAnsi="Arial"/>
                <w:sz w:val="16"/>
                <w:szCs w:val="16"/>
                <w:color w:val="242424"/>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146050</wp:posOffset>
            </wp:positionV>
            <wp:extent cx="1993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81" w:lineRule="exact"/>
        <w:rPr>
          <w:sz w:val="20"/>
          <w:szCs w:val="20"/>
          <w:color w:val="auto"/>
        </w:rPr>
      </w:pPr>
    </w:p>
    <w:p>
      <w:pPr>
        <w:ind w:left="420" w:hanging="335"/>
        <w:spacing w:after="0"/>
        <w:tabs>
          <w:tab w:leader="none" w:pos="420" w:val="left"/>
        </w:tabs>
        <w:numPr>
          <w:ilvl w:val="0"/>
          <w:numId w:val="78"/>
        </w:numPr>
        <w:rPr>
          <w:rFonts w:ascii="Arial" w:cs="Arial" w:eastAsia="Arial" w:hAnsi="Arial"/>
          <w:sz w:val="14"/>
          <w:szCs w:val="14"/>
          <w:color w:val="242424"/>
        </w:rPr>
      </w:pPr>
      <w:r>
        <w:rPr>
          <w:rFonts w:ascii="Arial" w:cs="Arial" w:eastAsia="Arial" w:hAnsi="Arial"/>
          <w:sz w:val="14"/>
          <w:szCs w:val="14"/>
          <w:color w:val="242424"/>
        </w:rPr>
        <w:t>Bonus payments are calculated using the lesser of the NEO’s prior year’s actual bonus or target bonus.</w:t>
      </w:r>
    </w:p>
    <w:p>
      <w:pPr>
        <w:spacing w:after="0" w:line="51" w:lineRule="exact"/>
        <w:rPr>
          <w:rFonts w:ascii="Arial" w:cs="Arial" w:eastAsia="Arial" w:hAnsi="Arial"/>
          <w:sz w:val="14"/>
          <w:szCs w:val="14"/>
          <w:color w:val="242424"/>
        </w:rPr>
      </w:pPr>
    </w:p>
    <w:p>
      <w:pPr>
        <w:ind w:left="400" w:right="680" w:hanging="315"/>
        <w:spacing w:after="0" w:line="250" w:lineRule="auto"/>
        <w:tabs>
          <w:tab w:leader="none" w:pos="409" w:val="left"/>
        </w:tabs>
        <w:numPr>
          <w:ilvl w:val="0"/>
          <w:numId w:val="78"/>
        </w:numPr>
        <w:rPr>
          <w:rFonts w:ascii="Arial" w:cs="Arial" w:eastAsia="Arial" w:hAnsi="Arial"/>
          <w:sz w:val="14"/>
          <w:szCs w:val="14"/>
          <w:color w:val="242424"/>
        </w:rPr>
      </w:pPr>
      <w:r>
        <w:rPr>
          <w:rFonts w:ascii="Arial" w:cs="Arial" w:eastAsia="Arial" w:hAnsi="Arial"/>
          <w:sz w:val="14"/>
          <w:szCs w:val="14"/>
          <w:color w:val="242424"/>
        </w:rPr>
        <w:t>The NEO will receive full acceleration of all outstanding service-based RSU awards and acceleration of outstanding PSU awards, after giving effect to any deemed satisfaction of performance goals in accordance with this footnote (2).</w:t>
      </w:r>
    </w:p>
    <w:p>
      <w:pPr>
        <w:spacing w:after="0" w:line="35" w:lineRule="exact"/>
        <w:rPr>
          <w:rFonts w:ascii="Arial" w:cs="Arial" w:eastAsia="Arial" w:hAnsi="Arial"/>
          <w:sz w:val="14"/>
          <w:szCs w:val="14"/>
          <w:color w:val="242424"/>
        </w:rPr>
      </w:pPr>
    </w:p>
    <w:p>
      <w:pPr>
        <w:ind w:left="400" w:right="60"/>
        <w:spacing w:after="0"/>
        <w:rPr>
          <w:rFonts w:ascii="Arial" w:cs="Arial" w:eastAsia="Arial" w:hAnsi="Arial"/>
          <w:sz w:val="14"/>
          <w:szCs w:val="14"/>
          <w:color w:val="242424"/>
        </w:rPr>
      </w:pPr>
      <w:r>
        <w:rPr>
          <w:rFonts w:ascii="Arial" w:cs="Arial" w:eastAsia="Arial" w:hAnsi="Arial"/>
          <w:sz w:val="14"/>
          <w:szCs w:val="14"/>
          <w:color w:val="242424"/>
        </w:rPr>
        <w:t>Effective Fiscal Year 2021, for Messrs. Tan and Krause, Ms. Spears and Dr. Kawwas, except as otherwise provided in an applicable award agreement, for PSU awards for which the performance period has not been completed, the performance goals will be deemed met at target levels. For Mr. Brazeal, the performance goals applicable to his PSU awards will be deemed satisfied up to 100% in the discretion of our Board, based on Broadcom’s performance through the date of the change in control. The severance benefit agreements for Messrs. Tan, Brazeal, Krause and Dr. Kawwas also contain alternative language that would apply to PSU awards that vest based on share price contingencies, but no such awards were outstanding as of October 31, 2021.</w:t>
      </w:r>
    </w:p>
    <w:p>
      <w:pPr>
        <w:spacing w:after="0" w:line="43" w:lineRule="exact"/>
        <w:rPr>
          <w:rFonts w:ascii="Arial" w:cs="Arial" w:eastAsia="Arial" w:hAnsi="Arial"/>
          <w:sz w:val="14"/>
          <w:szCs w:val="14"/>
          <w:color w:val="242424"/>
        </w:rPr>
      </w:pPr>
    </w:p>
    <w:p>
      <w:pPr>
        <w:ind w:left="400" w:right="180"/>
        <w:spacing w:after="0" w:line="243" w:lineRule="auto"/>
        <w:rPr>
          <w:rFonts w:ascii="Arial" w:cs="Arial" w:eastAsia="Arial" w:hAnsi="Arial"/>
          <w:sz w:val="14"/>
          <w:szCs w:val="14"/>
          <w:color w:val="242424"/>
        </w:rPr>
      </w:pPr>
      <w:r>
        <w:rPr>
          <w:rFonts w:ascii="Arial" w:cs="Arial" w:eastAsia="Arial" w:hAnsi="Arial"/>
          <w:sz w:val="14"/>
          <w:szCs w:val="14"/>
          <w:color w:val="242424"/>
        </w:rPr>
        <w:t>Under the terms of the Tan Fiscal Year 2021 PSU Award, the Kawwas/Krause Promotion PSUs and the Spears Promotion PSUs, the performance goals will be based on Broadcom’s performance through a date within 10 days prior to the change in control and the Achievement Factor will be calculated on a date before the change in control, as determined by the plan administrator of the 2012 Plan.</w:t>
      </w:r>
    </w:p>
    <w:p>
      <w:pPr>
        <w:spacing w:after="0" w:line="200" w:lineRule="exact"/>
        <w:rPr>
          <w:sz w:val="20"/>
          <w:szCs w:val="20"/>
          <w:color w:val="auto"/>
        </w:rPr>
      </w:pPr>
    </w:p>
    <w:p>
      <w:pPr>
        <w:spacing w:after="0" w:line="236"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49</w:t>
      </w:r>
    </w:p>
    <w:p>
      <w:pPr>
        <w:sectPr>
          <w:pgSz w:w="11900" w:h="16838" w:orient="portrait"/>
          <w:cols w:equalWidth="0" w:num="1">
            <w:col w:w="11240"/>
          </w:cols>
          <w:pgMar w:left="320" w:top="340" w:right="339" w:bottom="1440" w:gutter="0" w:footer="0" w:header="0"/>
        </w:sectPr>
      </w:pPr>
    </w:p>
    <w:bookmarkStart w:id="52" w:name="page53"/>
    <w:bookmarkEnd w:id="52"/>
    <w:p>
      <w:pPr>
        <w:ind w:left="20"/>
        <w:spacing w:after="0"/>
        <w:rPr>
          <w:sz w:val="20"/>
          <w:szCs w:val="20"/>
          <w:color w:val="auto"/>
        </w:rPr>
      </w:pPr>
      <w:r>
        <w:rPr>
          <w:rFonts w:ascii="Arial" w:cs="Arial" w:eastAsia="Arial" w:hAnsi="Arial"/>
          <w:sz w:val="16"/>
          <w:szCs w:val="16"/>
          <w:color w:val="CC092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242424"/>
        </w:rPr>
        <w:t>If a Covered Termination takes place other than in connection with a “change in control” (as defined in the severance benefits agreement)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242424"/>
        </w:rPr>
        <w:t>Broadcom, Broadcom must provide the NEO with:</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800" w:type="dxa"/>
            <w:vAlign w:val="bottom"/>
            <w:tcBorders>
              <w:top w:val="single" w:sz="8" w:color="CC092F"/>
            </w:tcBorders>
            <w:vMerge w:val="restart"/>
            <w:shd w:val="clear" w:color="auto" w:fill="B8B8B8"/>
          </w:tcPr>
          <w:p>
            <w:pPr>
              <w:ind w:left="20"/>
              <w:spacing w:after="0"/>
              <w:rPr>
                <w:sz w:val="20"/>
                <w:szCs w:val="20"/>
                <w:color w:val="auto"/>
              </w:rPr>
            </w:pPr>
            <w:r>
              <w:rPr>
                <w:rFonts w:ascii="Arial" w:cs="Arial" w:eastAsia="Arial" w:hAnsi="Arial"/>
                <w:sz w:val="16"/>
                <w:szCs w:val="16"/>
                <w:b w:val="1"/>
                <w:bCs w:val="1"/>
                <w:color w:val="FFFFFF"/>
              </w:rPr>
              <w:t>Name</w:t>
            </w:r>
          </w:p>
        </w:tc>
        <w:tc>
          <w:tcPr>
            <w:tcW w:w="2040" w:type="dxa"/>
            <w:vAlign w:val="bottom"/>
            <w:tcBorders>
              <w:top w:val="single" w:sz="8" w:color="CC092F"/>
            </w:tcBorders>
            <w:shd w:val="clear" w:color="auto" w:fill="B8B8B8"/>
          </w:tcPr>
          <w:p>
            <w:pPr>
              <w:jc w:val="right"/>
              <w:ind w:right="321"/>
              <w:spacing w:after="0" w:line="172" w:lineRule="exact"/>
              <w:rPr>
                <w:sz w:val="20"/>
                <w:szCs w:val="20"/>
                <w:color w:val="auto"/>
              </w:rPr>
            </w:pPr>
            <w:r>
              <w:rPr>
                <w:rFonts w:ascii="Arial" w:cs="Arial" w:eastAsia="Arial" w:hAnsi="Arial"/>
                <w:sz w:val="16"/>
                <w:szCs w:val="16"/>
                <w:b w:val="1"/>
                <w:bCs w:val="1"/>
                <w:color w:val="FFFFFF"/>
              </w:rPr>
              <w:t>Continued</w:t>
            </w:r>
          </w:p>
        </w:tc>
        <w:tc>
          <w:tcPr>
            <w:tcW w:w="1320" w:type="dxa"/>
            <w:vAlign w:val="bottom"/>
            <w:tcBorders>
              <w:top w:val="single" w:sz="8" w:color="CC092F"/>
            </w:tcBorders>
            <w:vMerge w:val="restart"/>
            <w:shd w:val="clear" w:color="auto" w:fill="B8B8B8"/>
          </w:tcPr>
          <w:p>
            <w:pPr>
              <w:jc w:val="right"/>
              <w:ind w:right="321"/>
              <w:spacing w:after="0"/>
              <w:rPr>
                <w:sz w:val="20"/>
                <w:szCs w:val="20"/>
                <w:color w:val="auto"/>
              </w:rPr>
            </w:pPr>
            <w:r>
              <w:rPr>
                <w:rFonts w:ascii="Arial" w:cs="Arial" w:eastAsia="Arial" w:hAnsi="Arial"/>
                <w:sz w:val="16"/>
                <w:szCs w:val="16"/>
                <w:b w:val="1"/>
                <w:bCs w:val="1"/>
                <w:color w:val="FFFFFF"/>
              </w:rPr>
              <w:t>Bonus</w:t>
            </w:r>
            <w:r>
              <w:rPr>
                <w:rFonts w:ascii="Arial" w:cs="Arial" w:eastAsia="Arial" w:hAnsi="Arial"/>
                <w:sz w:val="8"/>
                <w:szCs w:val="8"/>
                <w:b w:val="1"/>
                <w:bCs w:val="1"/>
                <w:color w:val="FFFFFF"/>
              </w:rPr>
              <w:t>(1)</w:t>
            </w:r>
          </w:p>
        </w:tc>
        <w:tc>
          <w:tcPr>
            <w:tcW w:w="2360" w:type="dxa"/>
            <w:vAlign w:val="bottom"/>
            <w:tcBorders>
              <w:top w:val="single" w:sz="8" w:color="CC092F"/>
            </w:tcBorders>
            <w:shd w:val="clear" w:color="auto" w:fill="B8B8B8"/>
          </w:tcPr>
          <w:p>
            <w:pPr>
              <w:jc w:val="center"/>
              <w:ind w:left="121"/>
              <w:spacing w:after="0" w:line="172" w:lineRule="exact"/>
              <w:rPr>
                <w:sz w:val="20"/>
                <w:szCs w:val="20"/>
                <w:color w:val="auto"/>
              </w:rPr>
            </w:pPr>
            <w:r>
              <w:rPr>
                <w:rFonts w:ascii="Arial" w:cs="Arial" w:eastAsia="Arial" w:hAnsi="Arial"/>
                <w:sz w:val="16"/>
                <w:szCs w:val="16"/>
                <w:b w:val="1"/>
                <w:bCs w:val="1"/>
                <w:color w:val="FFFFFF"/>
                <w:w w:val="99"/>
              </w:rPr>
              <w:t>Health Benefits</w:t>
            </w:r>
          </w:p>
        </w:tc>
        <w:tc>
          <w:tcPr>
            <w:tcW w:w="2680" w:type="dxa"/>
            <w:vAlign w:val="bottom"/>
            <w:tcBorders>
              <w:top w:val="single" w:sz="8" w:color="CC092F"/>
            </w:tcBorders>
            <w:shd w:val="clear" w:color="auto" w:fill="B8B8B8"/>
          </w:tcPr>
          <w:p>
            <w:pPr>
              <w:jc w:val="center"/>
              <w:ind w:left="101"/>
              <w:spacing w:after="0" w:line="172" w:lineRule="exact"/>
              <w:rPr>
                <w:sz w:val="20"/>
                <w:szCs w:val="20"/>
                <w:color w:val="auto"/>
              </w:rPr>
            </w:pPr>
            <w:r>
              <w:rPr>
                <w:rFonts w:ascii="Arial" w:cs="Arial" w:eastAsia="Arial" w:hAnsi="Arial"/>
                <w:sz w:val="16"/>
                <w:szCs w:val="16"/>
                <w:b w:val="1"/>
                <w:bCs w:val="1"/>
                <w:color w:val="FFFFFF"/>
                <w:w w:val="99"/>
              </w:rPr>
              <w:t>Cash Payments in Exchange for</w:t>
            </w:r>
          </w:p>
        </w:tc>
        <w:tc>
          <w:tcPr>
            <w:tcW w:w="0" w:type="dxa"/>
            <w:vAlign w:val="bottom"/>
          </w:tcPr>
          <w:p>
            <w:pPr>
              <w:spacing w:after="0"/>
              <w:rPr>
                <w:sz w:val="1"/>
                <w:szCs w:val="1"/>
                <w:color w:val="auto"/>
              </w:rPr>
            </w:pPr>
          </w:p>
        </w:tc>
      </w:tr>
      <w:tr>
        <w:trPr>
          <w:trHeight w:val="212"/>
        </w:trPr>
        <w:tc>
          <w:tcPr>
            <w:tcW w:w="2800" w:type="dxa"/>
            <w:vAlign w:val="bottom"/>
            <w:tcBorders>
              <w:bottom w:val="single" w:sz="8" w:color="CC092F"/>
            </w:tcBorders>
            <w:vMerge w:val="continue"/>
            <w:shd w:val="clear" w:color="auto" w:fill="B8B8B8"/>
          </w:tcPr>
          <w:p>
            <w:pPr>
              <w:spacing w:after="0"/>
              <w:rPr>
                <w:sz w:val="18"/>
                <w:szCs w:val="18"/>
                <w:color w:val="auto"/>
              </w:rPr>
            </w:pPr>
          </w:p>
        </w:tc>
        <w:tc>
          <w:tcPr>
            <w:tcW w:w="2040" w:type="dxa"/>
            <w:vAlign w:val="bottom"/>
            <w:tcBorders>
              <w:bottom w:val="single" w:sz="8" w:color="CC092F"/>
            </w:tcBorders>
            <w:shd w:val="clear" w:color="auto" w:fill="B8B8B8"/>
          </w:tcPr>
          <w:p>
            <w:pPr>
              <w:jc w:val="right"/>
              <w:ind w:right="241"/>
              <w:spacing w:after="0"/>
              <w:rPr>
                <w:sz w:val="20"/>
                <w:szCs w:val="20"/>
                <w:color w:val="auto"/>
              </w:rPr>
            </w:pPr>
            <w:r>
              <w:rPr>
                <w:rFonts w:ascii="Arial" w:cs="Arial" w:eastAsia="Arial" w:hAnsi="Arial"/>
                <w:sz w:val="16"/>
                <w:szCs w:val="16"/>
                <w:b w:val="1"/>
                <w:bCs w:val="1"/>
                <w:color w:val="FFFFFF"/>
              </w:rPr>
              <w:t>Base Salary</w:t>
            </w:r>
          </w:p>
        </w:tc>
        <w:tc>
          <w:tcPr>
            <w:tcW w:w="1320" w:type="dxa"/>
            <w:vAlign w:val="bottom"/>
            <w:tcBorders>
              <w:bottom w:val="single" w:sz="8" w:color="CC092F"/>
            </w:tcBorders>
            <w:vMerge w:val="continue"/>
            <w:shd w:val="clear" w:color="auto" w:fill="B8B8B8"/>
          </w:tcPr>
          <w:p>
            <w:pPr>
              <w:spacing w:after="0"/>
              <w:rPr>
                <w:sz w:val="18"/>
                <w:szCs w:val="18"/>
                <w:color w:val="auto"/>
              </w:rPr>
            </w:pPr>
          </w:p>
        </w:tc>
        <w:tc>
          <w:tcPr>
            <w:tcW w:w="2360" w:type="dxa"/>
            <w:vAlign w:val="bottom"/>
            <w:tcBorders>
              <w:bottom w:val="single" w:sz="8" w:color="CC092F"/>
            </w:tcBorders>
            <w:shd w:val="clear" w:color="auto" w:fill="B8B8B8"/>
          </w:tcPr>
          <w:p>
            <w:pPr>
              <w:jc w:val="center"/>
              <w:ind w:left="101"/>
              <w:spacing w:after="0"/>
              <w:rPr>
                <w:sz w:val="20"/>
                <w:szCs w:val="20"/>
                <w:color w:val="auto"/>
              </w:rPr>
            </w:pPr>
            <w:r>
              <w:rPr>
                <w:rFonts w:ascii="Arial" w:cs="Arial" w:eastAsia="Arial" w:hAnsi="Arial"/>
                <w:sz w:val="16"/>
                <w:szCs w:val="16"/>
                <w:b w:val="1"/>
                <w:bCs w:val="1"/>
                <w:color w:val="FFFFFF"/>
                <w:w w:val="98"/>
              </w:rPr>
              <w:t>Continuation Coverage</w:t>
            </w:r>
          </w:p>
        </w:tc>
        <w:tc>
          <w:tcPr>
            <w:tcW w:w="2680" w:type="dxa"/>
            <w:vAlign w:val="bottom"/>
            <w:tcBorders>
              <w:bottom w:val="single" w:sz="8" w:color="CC092F"/>
            </w:tcBorders>
            <w:shd w:val="clear" w:color="auto" w:fill="B8B8B8"/>
          </w:tcPr>
          <w:p>
            <w:pPr>
              <w:jc w:val="center"/>
              <w:ind w:left="101"/>
              <w:spacing w:after="0" w:line="212" w:lineRule="exact"/>
              <w:rPr>
                <w:sz w:val="20"/>
                <w:szCs w:val="20"/>
                <w:color w:val="auto"/>
              </w:rPr>
            </w:pPr>
            <w:r>
              <w:rPr>
                <w:rFonts w:ascii="Arial" w:cs="Arial" w:eastAsia="Arial" w:hAnsi="Arial"/>
                <w:sz w:val="16"/>
                <w:szCs w:val="16"/>
                <w:b w:val="1"/>
                <w:bCs w:val="1"/>
                <w:color w:val="FFFFFF"/>
                <w:w w:val="98"/>
              </w:rPr>
              <w:t>Equity Cancellation</w:t>
            </w:r>
            <w:r>
              <w:rPr>
                <w:rFonts w:ascii="Arial" w:cs="Arial" w:eastAsia="Arial" w:hAnsi="Arial"/>
                <w:sz w:val="20"/>
                <w:szCs w:val="20"/>
                <w:b w:val="1"/>
                <w:bCs w:val="1"/>
                <w:color w:val="FFFFFF"/>
                <w:w w:val="98"/>
                <w:vertAlign w:val="superscript"/>
              </w:rPr>
              <w:t>(2)</w:t>
            </w:r>
          </w:p>
        </w:tc>
        <w:tc>
          <w:tcPr>
            <w:tcW w:w="0" w:type="dxa"/>
            <w:vAlign w:val="bottom"/>
          </w:tcPr>
          <w:p>
            <w:pPr>
              <w:spacing w:after="0"/>
              <w:rPr>
                <w:sz w:val="1"/>
                <w:szCs w:val="1"/>
                <w:color w:val="auto"/>
              </w:rPr>
            </w:pPr>
          </w:p>
        </w:tc>
      </w:tr>
      <w:tr>
        <w:trPr>
          <w:trHeight w:val="243"/>
        </w:trPr>
        <w:tc>
          <w:tcPr>
            <w:tcW w:w="2800" w:type="dxa"/>
            <w:vAlign w:val="bottom"/>
          </w:tcPr>
          <w:p>
            <w:pPr>
              <w:ind w:left="20"/>
              <w:spacing w:after="0"/>
              <w:rPr>
                <w:sz w:val="20"/>
                <w:szCs w:val="20"/>
                <w:color w:val="auto"/>
              </w:rPr>
            </w:pPr>
            <w:r>
              <w:rPr>
                <w:rFonts w:ascii="Arial" w:cs="Arial" w:eastAsia="Arial" w:hAnsi="Arial"/>
                <w:sz w:val="16"/>
                <w:szCs w:val="16"/>
                <w:color w:val="242424"/>
              </w:rPr>
              <w:t>Hock E. Tan</w:t>
            </w:r>
          </w:p>
        </w:tc>
        <w:tc>
          <w:tcPr>
            <w:tcW w:w="2040" w:type="dxa"/>
            <w:vAlign w:val="bottom"/>
          </w:tcPr>
          <w:p>
            <w:pPr>
              <w:jc w:val="right"/>
              <w:ind w:right="321"/>
              <w:spacing w:after="0"/>
              <w:rPr>
                <w:sz w:val="20"/>
                <w:szCs w:val="20"/>
                <w:color w:val="auto"/>
              </w:rPr>
            </w:pPr>
            <w:r>
              <w:rPr>
                <w:rFonts w:ascii="Arial" w:cs="Arial" w:eastAsia="Arial" w:hAnsi="Arial"/>
                <w:sz w:val="16"/>
                <w:szCs w:val="16"/>
                <w:color w:val="242424"/>
              </w:rPr>
              <w:t>12 months</w:t>
            </w:r>
          </w:p>
        </w:tc>
        <w:tc>
          <w:tcPr>
            <w:tcW w:w="1320" w:type="dxa"/>
            <w:vAlign w:val="bottom"/>
          </w:tcPr>
          <w:p>
            <w:pPr>
              <w:jc w:val="right"/>
              <w:ind w:right="421"/>
              <w:spacing w:after="0"/>
              <w:rPr>
                <w:sz w:val="20"/>
                <w:szCs w:val="20"/>
                <w:color w:val="auto"/>
              </w:rPr>
            </w:pPr>
            <w:r>
              <w:rPr>
                <w:rFonts w:ascii="Arial" w:cs="Arial" w:eastAsia="Arial" w:hAnsi="Arial"/>
                <w:sz w:val="16"/>
                <w:szCs w:val="16"/>
                <w:color w:val="242424"/>
              </w:rPr>
              <w:t>100%</w:t>
            </w:r>
          </w:p>
        </w:tc>
        <w:tc>
          <w:tcPr>
            <w:tcW w:w="2360" w:type="dxa"/>
            <w:vAlign w:val="bottom"/>
          </w:tcPr>
          <w:p>
            <w:pPr>
              <w:jc w:val="center"/>
              <w:ind w:left="121"/>
              <w:spacing w:after="0"/>
              <w:rPr>
                <w:sz w:val="20"/>
                <w:szCs w:val="20"/>
                <w:color w:val="auto"/>
              </w:rPr>
            </w:pPr>
            <w:r>
              <w:rPr>
                <w:rFonts w:ascii="Arial" w:cs="Arial" w:eastAsia="Arial" w:hAnsi="Arial"/>
                <w:sz w:val="16"/>
                <w:szCs w:val="16"/>
                <w:color w:val="242424"/>
                <w:w w:val="99"/>
              </w:rPr>
              <w:t>—</w:t>
            </w:r>
          </w:p>
        </w:tc>
        <w:tc>
          <w:tcPr>
            <w:tcW w:w="2680" w:type="dxa"/>
            <w:vAlign w:val="bottom"/>
          </w:tcPr>
          <w:p>
            <w:pPr>
              <w:jc w:val="center"/>
              <w:ind w:left="101"/>
              <w:spacing w:after="0"/>
              <w:rPr>
                <w:sz w:val="20"/>
                <w:szCs w:val="20"/>
                <w:color w:val="auto"/>
              </w:rPr>
            </w:pPr>
            <w:r>
              <w:rPr>
                <w:rFonts w:ascii="Arial" w:cs="Arial" w:eastAsia="Arial" w:hAnsi="Arial"/>
                <w:sz w:val="16"/>
                <w:szCs w:val="16"/>
                <w:color w:val="242424"/>
                <w:w w:val="87"/>
              </w:rPr>
              <w:t>—</w:t>
            </w:r>
          </w:p>
        </w:tc>
        <w:tc>
          <w:tcPr>
            <w:tcW w:w="0" w:type="dxa"/>
            <w:vAlign w:val="bottom"/>
          </w:tcPr>
          <w:p>
            <w:pPr>
              <w:spacing w:after="0"/>
              <w:rPr>
                <w:sz w:val="1"/>
                <w:szCs w:val="1"/>
                <w:color w:val="auto"/>
              </w:rPr>
            </w:pPr>
          </w:p>
        </w:tc>
      </w:tr>
      <w:tr>
        <w:trPr>
          <w:trHeight w:val="254"/>
        </w:trPr>
        <w:tc>
          <w:tcPr>
            <w:tcW w:w="280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Kirsten M. Spears</w:t>
            </w:r>
          </w:p>
        </w:tc>
        <w:tc>
          <w:tcPr>
            <w:tcW w:w="2040" w:type="dxa"/>
            <w:vAlign w:val="bottom"/>
            <w:shd w:val="clear" w:color="auto" w:fill="EAEAEA"/>
          </w:tcPr>
          <w:p>
            <w:pPr>
              <w:jc w:val="right"/>
              <w:ind w:right="321"/>
              <w:spacing w:after="0"/>
              <w:rPr>
                <w:sz w:val="20"/>
                <w:szCs w:val="20"/>
                <w:color w:val="auto"/>
              </w:rPr>
            </w:pPr>
            <w:r>
              <w:rPr>
                <w:rFonts w:ascii="Arial" w:cs="Arial" w:eastAsia="Arial" w:hAnsi="Arial"/>
                <w:sz w:val="16"/>
                <w:szCs w:val="16"/>
                <w:color w:val="242424"/>
              </w:rPr>
              <w:t>9 months</w:t>
            </w:r>
          </w:p>
        </w:tc>
        <w:tc>
          <w:tcPr>
            <w:tcW w:w="1320" w:type="dxa"/>
            <w:vAlign w:val="bottom"/>
            <w:shd w:val="clear" w:color="auto" w:fill="EAEAEA"/>
          </w:tcPr>
          <w:p>
            <w:pPr>
              <w:jc w:val="right"/>
              <w:ind w:right="381"/>
              <w:spacing w:after="0"/>
              <w:rPr>
                <w:sz w:val="20"/>
                <w:szCs w:val="20"/>
                <w:color w:val="auto"/>
              </w:rPr>
            </w:pPr>
            <w:r>
              <w:rPr>
                <w:rFonts w:ascii="Arial" w:cs="Arial" w:eastAsia="Arial" w:hAnsi="Arial"/>
                <w:sz w:val="16"/>
                <w:szCs w:val="16"/>
                <w:color w:val="242424"/>
              </w:rPr>
              <w:t>50%</w:t>
            </w:r>
          </w:p>
        </w:tc>
        <w:tc>
          <w:tcPr>
            <w:tcW w:w="2360" w:type="dxa"/>
            <w:vAlign w:val="bottom"/>
            <w:shd w:val="clear" w:color="auto" w:fill="EAEAEA"/>
          </w:tcPr>
          <w:p>
            <w:pPr>
              <w:jc w:val="center"/>
              <w:ind w:left="101"/>
              <w:spacing w:after="0"/>
              <w:rPr>
                <w:sz w:val="20"/>
                <w:szCs w:val="20"/>
                <w:color w:val="auto"/>
              </w:rPr>
            </w:pPr>
            <w:r>
              <w:rPr>
                <w:rFonts w:ascii="Arial" w:cs="Arial" w:eastAsia="Arial" w:hAnsi="Arial"/>
                <w:sz w:val="16"/>
                <w:szCs w:val="16"/>
                <w:color w:val="242424"/>
              </w:rPr>
              <w:t>6 months</w:t>
            </w:r>
          </w:p>
        </w:tc>
        <w:tc>
          <w:tcPr>
            <w:tcW w:w="2680" w:type="dxa"/>
            <w:vAlign w:val="bottom"/>
            <w:shd w:val="clear" w:color="auto" w:fill="EAEAEA"/>
          </w:tcPr>
          <w:p>
            <w:pPr>
              <w:jc w:val="center"/>
              <w:ind w:left="101"/>
              <w:spacing w:after="0"/>
              <w:rPr>
                <w:sz w:val="20"/>
                <w:szCs w:val="20"/>
                <w:color w:val="auto"/>
              </w:rPr>
            </w:pPr>
            <w:r>
              <w:rPr>
                <w:rFonts w:ascii="Arial" w:cs="Arial" w:eastAsia="Arial" w:hAnsi="Arial"/>
                <w:sz w:val="16"/>
                <w:szCs w:val="16"/>
                <w:color w:val="242424"/>
                <w:w w:val="87"/>
              </w:rPr>
              <w:t>—</w:t>
            </w:r>
          </w:p>
        </w:tc>
        <w:tc>
          <w:tcPr>
            <w:tcW w:w="0" w:type="dxa"/>
            <w:vAlign w:val="bottom"/>
          </w:tcPr>
          <w:p>
            <w:pPr>
              <w:spacing w:after="0"/>
              <w:rPr>
                <w:sz w:val="1"/>
                <w:szCs w:val="1"/>
                <w:color w:val="auto"/>
              </w:rPr>
            </w:pPr>
          </w:p>
        </w:tc>
      </w:tr>
      <w:tr>
        <w:trPr>
          <w:trHeight w:val="249"/>
        </w:trPr>
        <w:tc>
          <w:tcPr>
            <w:tcW w:w="2800" w:type="dxa"/>
            <w:vAlign w:val="bottom"/>
          </w:tcPr>
          <w:p>
            <w:pPr>
              <w:ind w:left="20"/>
              <w:spacing w:after="0"/>
              <w:rPr>
                <w:sz w:val="20"/>
                <w:szCs w:val="20"/>
                <w:color w:val="auto"/>
              </w:rPr>
            </w:pPr>
            <w:r>
              <w:rPr>
                <w:rFonts w:ascii="Arial" w:cs="Arial" w:eastAsia="Arial" w:hAnsi="Arial"/>
                <w:sz w:val="16"/>
                <w:szCs w:val="16"/>
                <w:color w:val="242424"/>
              </w:rPr>
              <w:t>Mark D. Brazeal</w:t>
            </w:r>
          </w:p>
        </w:tc>
        <w:tc>
          <w:tcPr>
            <w:tcW w:w="2040" w:type="dxa"/>
            <w:vAlign w:val="bottom"/>
          </w:tcPr>
          <w:p>
            <w:pPr>
              <w:jc w:val="right"/>
              <w:ind w:right="321"/>
              <w:spacing w:after="0"/>
              <w:rPr>
                <w:sz w:val="20"/>
                <w:szCs w:val="20"/>
                <w:color w:val="auto"/>
              </w:rPr>
            </w:pPr>
            <w:r>
              <w:rPr>
                <w:rFonts w:ascii="Arial" w:cs="Arial" w:eastAsia="Arial" w:hAnsi="Arial"/>
                <w:sz w:val="16"/>
                <w:szCs w:val="16"/>
                <w:color w:val="242424"/>
              </w:rPr>
              <w:t>9 months</w:t>
            </w:r>
          </w:p>
        </w:tc>
        <w:tc>
          <w:tcPr>
            <w:tcW w:w="1320" w:type="dxa"/>
            <w:vAlign w:val="bottom"/>
          </w:tcPr>
          <w:p>
            <w:pPr>
              <w:jc w:val="right"/>
              <w:ind w:right="381"/>
              <w:spacing w:after="0"/>
              <w:rPr>
                <w:sz w:val="20"/>
                <w:szCs w:val="20"/>
                <w:color w:val="auto"/>
              </w:rPr>
            </w:pPr>
            <w:r>
              <w:rPr>
                <w:rFonts w:ascii="Arial" w:cs="Arial" w:eastAsia="Arial" w:hAnsi="Arial"/>
                <w:sz w:val="16"/>
                <w:szCs w:val="16"/>
                <w:color w:val="242424"/>
              </w:rPr>
              <w:t>50%</w:t>
            </w:r>
          </w:p>
        </w:tc>
        <w:tc>
          <w:tcPr>
            <w:tcW w:w="2360" w:type="dxa"/>
            <w:vAlign w:val="bottom"/>
          </w:tcPr>
          <w:p>
            <w:pPr>
              <w:jc w:val="center"/>
              <w:ind w:left="101"/>
              <w:spacing w:after="0"/>
              <w:rPr>
                <w:sz w:val="20"/>
                <w:szCs w:val="20"/>
                <w:color w:val="auto"/>
              </w:rPr>
            </w:pPr>
            <w:r>
              <w:rPr>
                <w:rFonts w:ascii="Arial" w:cs="Arial" w:eastAsia="Arial" w:hAnsi="Arial"/>
                <w:sz w:val="16"/>
                <w:szCs w:val="16"/>
                <w:color w:val="242424"/>
              </w:rPr>
              <w:t>6 months</w:t>
            </w:r>
          </w:p>
        </w:tc>
        <w:tc>
          <w:tcPr>
            <w:tcW w:w="2680" w:type="dxa"/>
            <w:vAlign w:val="bottom"/>
          </w:tcPr>
          <w:p>
            <w:pPr>
              <w:jc w:val="center"/>
              <w:ind w:left="101"/>
              <w:spacing w:after="0"/>
              <w:rPr>
                <w:sz w:val="20"/>
                <w:szCs w:val="20"/>
                <w:color w:val="auto"/>
              </w:rPr>
            </w:pPr>
            <w:r>
              <w:rPr>
                <w:rFonts w:ascii="Arial" w:cs="Arial" w:eastAsia="Arial" w:hAnsi="Arial"/>
                <w:sz w:val="16"/>
                <w:szCs w:val="16"/>
                <w:color w:val="242424"/>
                <w:w w:val="87"/>
              </w:rPr>
              <w:t>—</w:t>
            </w:r>
          </w:p>
        </w:tc>
        <w:tc>
          <w:tcPr>
            <w:tcW w:w="0" w:type="dxa"/>
            <w:vAlign w:val="bottom"/>
          </w:tcPr>
          <w:p>
            <w:pPr>
              <w:spacing w:after="0"/>
              <w:rPr>
                <w:sz w:val="1"/>
                <w:szCs w:val="1"/>
                <w:color w:val="auto"/>
              </w:rPr>
            </w:pPr>
          </w:p>
        </w:tc>
      </w:tr>
      <w:tr>
        <w:trPr>
          <w:trHeight w:val="254"/>
        </w:trPr>
        <w:tc>
          <w:tcPr>
            <w:tcW w:w="280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Charlie B. Kawwas, Ph.D.</w:t>
            </w:r>
            <w:r>
              <w:rPr>
                <w:rFonts w:ascii="Arial" w:cs="Arial" w:eastAsia="Arial" w:hAnsi="Arial"/>
                <w:sz w:val="20"/>
                <w:szCs w:val="20"/>
                <w:color w:val="242424"/>
                <w:vertAlign w:val="superscript"/>
              </w:rPr>
              <w:t>(2)</w:t>
            </w:r>
          </w:p>
        </w:tc>
        <w:tc>
          <w:tcPr>
            <w:tcW w:w="2040" w:type="dxa"/>
            <w:vAlign w:val="bottom"/>
            <w:shd w:val="clear" w:color="auto" w:fill="EAEAEA"/>
          </w:tcPr>
          <w:p>
            <w:pPr>
              <w:jc w:val="right"/>
              <w:ind w:right="321"/>
              <w:spacing w:after="0"/>
              <w:rPr>
                <w:sz w:val="20"/>
                <w:szCs w:val="20"/>
                <w:color w:val="auto"/>
              </w:rPr>
            </w:pPr>
            <w:r>
              <w:rPr>
                <w:rFonts w:ascii="Arial" w:cs="Arial" w:eastAsia="Arial" w:hAnsi="Arial"/>
                <w:sz w:val="16"/>
                <w:szCs w:val="16"/>
                <w:color w:val="242424"/>
              </w:rPr>
              <w:t>9 months</w:t>
            </w:r>
          </w:p>
        </w:tc>
        <w:tc>
          <w:tcPr>
            <w:tcW w:w="1320" w:type="dxa"/>
            <w:vAlign w:val="bottom"/>
            <w:shd w:val="clear" w:color="auto" w:fill="EAEAEA"/>
          </w:tcPr>
          <w:p>
            <w:pPr>
              <w:jc w:val="right"/>
              <w:ind w:right="381"/>
              <w:spacing w:after="0"/>
              <w:rPr>
                <w:sz w:val="20"/>
                <w:szCs w:val="20"/>
                <w:color w:val="auto"/>
              </w:rPr>
            </w:pPr>
            <w:r>
              <w:rPr>
                <w:rFonts w:ascii="Arial" w:cs="Arial" w:eastAsia="Arial" w:hAnsi="Arial"/>
                <w:sz w:val="16"/>
                <w:szCs w:val="16"/>
                <w:color w:val="242424"/>
              </w:rPr>
              <w:t>50%</w:t>
            </w:r>
          </w:p>
        </w:tc>
        <w:tc>
          <w:tcPr>
            <w:tcW w:w="2360" w:type="dxa"/>
            <w:vAlign w:val="bottom"/>
            <w:shd w:val="clear" w:color="auto" w:fill="EAEAEA"/>
          </w:tcPr>
          <w:p>
            <w:pPr>
              <w:jc w:val="center"/>
              <w:ind w:left="101"/>
              <w:spacing w:after="0"/>
              <w:rPr>
                <w:sz w:val="20"/>
                <w:szCs w:val="20"/>
                <w:color w:val="auto"/>
              </w:rPr>
            </w:pPr>
            <w:r>
              <w:rPr>
                <w:rFonts w:ascii="Arial" w:cs="Arial" w:eastAsia="Arial" w:hAnsi="Arial"/>
                <w:sz w:val="16"/>
                <w:szCs w:val="16"/>
                <w:color w:val="242424"/>
              </w:rPr>
              <w:t>6 months</w:t>
            </w:r>
          </w:p>
        </w:tc>
        <w:tc>
          <w:tcPr>
            <w:tcW w:w="2680" w:type="dxa"/>
            <w:vAlign w:val="bottom"/>
            <w:shd w:val="clear" w:color="auto" w:fill="EAEAEA"/>
          </w:tcPr>
          <w:p>
            <w:pPr>
              <w:jc w:val="center"/>
              <w:ind w:left="101"/>
              <w:spacing w:after="0"/>
              <w:rPr>
                <w:sz w:val="20"/>
                <w:szCs w:val="20"/>
                <w:color w:val="auto"/>
              </w:rPr>
            </w:pPr>
            <w:r>
              <w:rPr>
                <w:rFonts w:ascii="Arial" w:cs="Arial" w:eastAsia="Arial" w:hAnsi="Arial"/>
                <w:sz w:val="16"/>
                <w:szCs w:val="16"/>
                <w:color w:val="242424"/>
              </w:rPr>
              <w:t>18 months acceleration</w:t>
            </w:r>
          </w:p>
        </w:tc>
        <w:tc>
          <w:tcPr>
            <w:tcW w:w="0" w:type="dxa"/>
            <w:vAlign w:val="bottom"/>
          </w:tcPr>
          <w:p>
            <w:pPr>
              <w:spacing w:after="0"/>
              <w:rPr>
                <w:sz w:val="1"/>
                <w:szCs w:val="1"/>
                <w:color w:val="auto"/>
              </w:rPr>
            </w:pPr>
          </w:p>
        </w:tc>
      </w:tr>
      <w:tr>
        <w:trPr>
          <w:trHeight w:val="264"/>
        </w:trPr>
        <w:tc>
          <w:tcPr>
            <w:tcW w:w="2800" w:type="dxa"/>
            <w:vAlign w:val="bottom"/>
          </w:tcPr>
          <w:p>
            <w:pPr>
              <w:ind w:left="20"/>
              <w:spacing w:after="0"/>
              <w:rPr>
                <w:sz w:val="20"/>
                <w:szCs w:val="20"/>
                <w:color w:val="auto"/>
              </w:rPr>
            </w:pPr>
            <w:r>
              <w:rPr>
                <w:rFonts w:ascii="Arial" w:cs="Arial" w:eastAsia="Arial" w:hAnsi="Arial"/>
                <w:sz w:val="16"/>
                <w:szCs w:val="16"/>
                <w:color w:val="242424"/>
              </w:rPr>
              <w:t>Thomas H. Krause, Jr.</w:t>
            </w:r>
            <w:r>
              <w:rPr>
                <w:rFonts w:ascii="Arial" w:cs="Arial" w:eastAsia="Arial" w:hAnsi="Arial"/>
                <w:sz w:val="20"/>
                <w:szCs w:val="20"/>
                <w:color w:val="242424"/>
                <w:vertAlign w:val="superscript"/>
              </w:rPr>
              <w:t>(2)</w:t>
            </w:r>
          </w:p>
        </w:tc>
        <w:tc>
          <w:tcPr>
            <w:tcW w:w="2040" w:type="dxa"/>
            <w:vAlign w:val="bottom"/>
          </w:tcPr>
          <w:p>
            <w:pPr>
              <w:jc w:val="right"/>
              <w:ind w:right="321"/>
              <w:spacing w:after="0"/>
              <w:rPr>
                <w:sz w:val="20"/>
                <w:szCs w:val="20"/>
                <w:color w:val="auto"/>
              </w:rPr>
            </w:pPr>
            <w:r>
              <w:rPr>
                <w:rFonts w:ascii="Arial" w:cs="Arial" w:eastAsia="Arial" w:hAnsi="Arial"/>
                <w:sz w:val="16"/>
                <w:szCs w:val="16"/>
                <w:color w:val="242424"/>
              </w:rPr>
              <w:t>9 months</w:t>
            </w:r>
          </w:p>
        </w:tc>
        <w:tc>
          <w:tcPr>
            <w:tcW w:w="1320" w:type="dxa"/>
            <w:vAlign w:val="bottom"/>
          </w:tcPr>
          <w:p>
            <w:pPr>
              <w:jc w:val="right"/>
              <w:ind w:right="381"/>
              <w:spacing w:after="0"/>
              <w:rPr>
                <w:sz w:val="20"/>
                <w:szCs w:val="20"/>
                <w:color w:val="auto"/>
              </w:rPr>
            </w:pPr>
            <w:r>
              <w:rPr>
                <w:rFonts w:ascii="Arial" w:cs="Arial" w:eastAsia="Arial" w:hAnsi="Arial"/>
                <w:sz w:val="16"/>
                <w:szCs w:val="16"/>
                <w:color w:val="242424"/>
              </w:rPr>
              <w:t>50%</w:t>
            </w:r>
          </w:p>
        </w:tc>
        <w:tc>
          <w:tcPr>
            <w:tcW w:w="2360" w:type="dxa"/>
            <w:vAlign w:val="bottom"/>
          </w:tcPr>
          <w:p>
            <w:pPr>
              <w:jc w:val="center"/>
              <w:ind w:left="101"/>
              <w:spacing w:after="0"/>
              <w:rPr>
                <w:sz w:val="20"/>
                <w:szCs w:val="20"/>
                <w:color w:val="auto"/>
              </w:rPr>
            </w:pPr>
            <w:r>
              <w:rPr>
                <w:rFonts w:ascii="Arial" w:cs="Arial" w:eastAsia="Arial" w:hAnsi="Arial"/>
                <w:sz w:val="16"/>
                <w:szCs w:val="16"/>
                <w:color w:val="242424"/>
              </w:rPr>
              <w:t>6 months</w:t>
            </w:r>
          </w:p>
        </w:tc>
        <w:tc>
          <w:tcPr>
            <w:tcW w:w="2680" w:type="dxa"/>
            <w:vAlign w:val="bottom"/>
          </w:tcPr>
          <w:p>
            <w:pPr>
              <w:jc w:val="center"/>
              <w:ind w:left="101"/>
              <w:spacing w:after="0"/>
              <w:rPr>
                <w:sz w:val="20"/>
                <w:szCs w:val="20"/>
                <w:color w:val="auto"/>
              </w:rPr>
            </w:pPr>
            <w:r>
              <w:rPr>
                <w:rFonts w:ascii="Arial" w:cs="Arial" w:eastAsia="Arial" w:hAnsi="Arial"/>
                <w:sz w:val="16"/>
                <w:szCs w:val="16"/>
                <w:color w:val="242424"/>
              </w:rPr>
              <w:t>18 months acceleration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135255</wp:posOffset>
            </wp:positionV>
            <wp:extent cx="1993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64" w:lineRule="exact"/>
        <w:rPr>
          <w:sz w:val="20"/>
          <w:szCs w:val="20"/>
          <w:color w:val="auto"/>
        </w:rPr>
      </w:pPr>
    </w:p>
    <w:p>
      <w:pPr>
        <w:ind w:left="420" w:hanging="335"/>
        <w:spacing w:after="0"/>
        <w:tabs>
          <w:tab w:leader="none" w:pos="420" w:val="left"/>
        </w:tabs>
        <w:numPr>
          <w:ilvl w:val="0"/>
          <w:numId w:val="79"/>
        </w:numPr>
        <w:rPr>
          <w:rFonts w:ascii="Arial" w:cs="Arial" w:eastAsia="Arial" w:hAnsi="Arial"/>
          <w:sz w:val="14"/>
          <w:szCs w:val="14"/>
          <w:color w:val="242424"/>
        </w:rPr>
      </w:pPr>
      <w:r>
        <w:rPr>
          <w:rFonts w:ascii="Arial" w:cs="Arial" w:eastAsia="Arial" w:hAnsi="Arial"/>
          <w:sz w:val="14"/>
          <w:szCs w:val="14"/>
          <w:color w:val="242424"/>
        </w:rPr>
        <w:t>Bonus payments are calculated using the lesser of the NEO’s prior year’s actual bonus or prior year’s target bonus.</w:t>
      </w:r>
    </w:p>
    <w:p>
      <w:pPr>
        <w:spacing w:after="0" w:line="51" w:lineRule="exact"/>
        <w:rPr>
          <w:rFonts w:ascii="Arial" w:cs="Arial" w:eastAsia="Arial" w:hAnsi="Arial"/>
          <w:sz w:val="14"/>
          <w:szCs w:val="14"/>
          <w:color w:val="242424"/>
        </w:rPr>
      </w:pPr>
    </w:p>
    <w:p>
      <w:pPr>
        <w:ind w:left="400" w:right="40" w:hanging="315"/>
        <w:spacing w:after="0"/>
        <w:tabs>
          <w:tab w:leader="none" w:pos="451" w:val="left"/>
        </w:tabs>
        <w:numPr>
          <w:ilvl w:val="0"/>
          <w:numId w:val="79"/>
        </w:numPr>
        <w:rPr>
          <w:rFonts w:ascii="Arial" w:cs="Arial" w:eastAsia="Arial" w:hAnsi="Arial"/>
          <w:sz w:val="14"/>
          <w:szCs w:val="14"/>
          <w:color w:val="242424"/>
        </w:rPr>
      </w:pPr>
      <w:r>
        <w:rPr>
          <w:rFonts w:ascii="Arial" w:cs="Arial" w:eastAsia="Arial" w:hAnsi="Arial"/>
          <w:sz w:val="14"/>
          <w:szCs w:val="14"/>
          <w:color w:val="242424"/>
        </w:rPr>
        <w:t>If termination of employment without “cause” or for “good reason” occurs during the Continuation Period (as defined below), the NEO will receive a lump sum cash amount shortly after their release of claims becomes effective and irrevocable equal to: (x) that number of shares that would have vested under the Kawwas/Krause Promotion RSUs and PSUs had the NEO remained continuously employed by Broadcom for an additional 18 months following his termination, with the performance goals deemed met at target performance, multiplied by (y) the closing price of Broadcom common stock on the date his employment terminates (or, if there is no closing price on such date, then the closing price on the last preceding trading date).</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17"/>
          <w:szCs w:val="17"/>
          <w:color w:val="242424"/>
        </w:rPr>
        <w:t>The definition of “good reason” generally means any of the following, subject to certain notice and cure period provisions: (A) a material reduction in the NEO’s salary (other than as part of a broad salary reduction program instituted because Broadcom is in financial distress); (B) a substantial reduction in the NEO’s duties and responsibilities; (C) the elimination or reduction of the NEO’s eligibility to participate in Broadcom’s benefit programs that is inconsistent with the eligibility of our executives to participate therein; (D) Broadcom informs the NEO of its intention to transfer the NEO’s primary workplace to a location that is more than 50 miles from the location of the NEO’s primary workplace as of such date;</w:t>
      </w:r>
    </w:p>
    <w:p>
      <w:pPr>
        <w:spacing w:after="0" w:line="1" w:lineRule="exact"/>
        <w:rPr>
          <w:sz w:val="20"/>
          <w:szCs w:val="20"/>
          <w:color w:val="auto"/>
        </w:rPr>
      </w:pPr>
    </w:p>
    <w:p>
      <w:pPr>
        <w:ind w:right="60" w:firstLine="6"/>
        <w:spacing w:after="0" w:line="260" w:lineRule="auto"/>
        <w:tabs>
          <w:tab w:leader="none" w:pos="284" w:val="left"/>
        </w:tabs>
        <w:numPr>
          <w:ilvl w:val="0"/>
          <w:numId w:val="80"/>
        </w:numPr>
        <w:rPr>
          <w:rFonts w:ascii="Arial" w:cs="Arial" w:eastAsia="Arial" w:hAnsi="Arial"/>
          <w:sz w:val="17"/>
          <w:szCs w:val="17"/>
          <w:color w:val="242424"/>
        </w:rPr>
      </w:pPr>
      <w:r>
        <w:rPr>
          <w:rFonts w:ascii="Arial" w:cs="Arial" w:eastAsia="Arial" w:hAnsi="Arial"/>
          <w:sz w:val="17"/>
          <w:szCs w:val="17"/>
          <w:color w:val="242424"/>
        </w:rPr>
        <w:t>Broadcom’s material breach of the severance benefits agreement that is not cured within 60 days written notice thereof; and (F) any serious chronic mental or physical illness of the NEO or a member of the NEO’s family that requires the NEO to terminate their employment because of substantial interference with the NEOs duties; provided, that at Broadcom’s request the NEO provides Broadcom with a written physician’s statement confirming the existence of such mental or physical illness. For each of Dr. Kawwas and Mr. Krause, a termination during the period between and inclusive of December 10, 2020 and December 15, 2023 (such period, the “Continuation Period”) for “good reason” also includes:</w:t>
      </w:r>
    </w:p>
    <w:p>
      <w:pPr>
        <w:spacing w:after="0" w:line="1" w:lineRule="exact"/>
        <w:rPr>
          <w:rFonts w:ascii="Arial" w:cs="Arial" w:eastAsia="Arial" w:hAnsi="Arial"/>
          <w:sz w:val="17"/>
          <w:szCs w:val="17"/>
          <w:color w:val="242424"/>
        </w:rPr>
      </w:pPr>
    </w:p>
    <w:p>
      <w:pPr>
        <w:ind w:right="120" w:firstLine="6"/>
        <w:spacing w:after="0" w:line="251" w:lineRule="auto"/>
        <w:tabs>
          <w:tab w:leader="none" w:pos="284" w:val="left"/>
        </w:tabs>
        <w:numPr>
          <w:ilvl w:val="0"/>
          <w:numId w:val="81"/>
        </w:numPr>
        <w:rPr>
          <w:rFonts w:ascii="Arial" w:cs="Arial" w:eastAsia="Arial" w:hAnsi="Arial"/>
          <w:sz w:val="18"/>
          <w:szCs w:val="18"/>
          <w:color w:val="242424"/>
        </w:rPr>
      </w:pPr>
      <w:r>
        <w:rPr>
          <w:rFonts w:ascii="Arial" w:cs="Arial" w:eastAsia="Arial" w:hAnsi="Arial"/>
          <w:sz w:val="18"/>
          <w:szCs w:val="18"/>
          <w:color w:val="242424"/>
        </w:rPr>
        <w:t>an adverse change or reduction in either (i) their position, title, reporting responsibilities or duties or (ii) compensation, or (B) being required to report to anyone other than our CEO or the Board.</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Acceleration of Equity Awards in the Event of Death or Permanent Disability</w:t>
      </w:r>
    </w:p>
    <w:p>
      <w:pPr>
        <w:spacing w:after="0" w:line="19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242424"/>
        </w:rPr>
        <w:t>Upon an executive’s death or permanent disability, Broadcom’s Death and Permanent Disability Policies, updated in June 2021, provide for the full acceleration of vesting of the executive’s outstanding and unvested equity awards that have started vesting and would otherwise vest solely based on the executive’s continued service, including PSU awards for which the performance criteria have been met as of the date of such death or permanent disability. Under such circumstances, any PSU awards held by executives with performance periods that have started but not ended will have their performance goals deemed achieved at 100% of target levels, with all other terms and conditions deemed met. However, pursuant to the terms of the 2019 Multi-Year Equity Awards, holders are not entitled to full acceleration of vesting of these awards except with respect to those awards for which the vesting start date has already occurred at the time of the applicable executive’s death or disability. The Death Policy applies to all of our employees, directors and other service providers, including the NEOs, while the Permanent Disability Policy applies to (i) any officer of Broadcom, as such term is defined in Exchange Act Rule 16a-1 and (ii) any member of the CEO’s executive staff, including the NEOs, as determined by the CEO. The benefits provided under the Death and Permanent Disability Policies are intended to be additive to any benefits a NEO becomes entitled to under any other policy, program, plan or agreement (including severance benefit agreements), generally unless the Board, the Compensation Committee or the Policy Committee (as defined in the applicable policy) determines otherwise.</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Retirement</w:t>
      </w:r>
    </w:p>
    <w:p>
      <w:pPr>
        <w:spacing w:after="0" w:line="19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242424"/>
        </w:rPr>
        <w:t>As Mr. Tan has reached the age of 70, if he retires from Broadcom on or after the last day of Fiscal Year 2021, the performance period for the Tan Fiscal Year 2021 PSU Award will end on the date of his retirement notice and vest on his retirement date, subject to achievement of the performance goals. Such retirement notice must be provided at least 30 days prior to Mr. Tan’s retirement date for the Tan Fiscal Year 2021 PSU Award to vest in accordance with this paragraph. If Mr. Tan had provided retirement notice on October 1, 2021 and retired effective October 31, 2021, 98,227 shares</w:t>
      </w:r>
    </w:p>
    <w:p>
      <w:pPr>
        <w:spacing w:after="0" w:line="200" w:lineRule="exact"/>
        <w:rPr>
          <w:sz w:val="20"/>
          <w:szCs w:val="20"/>
          <w:color w:val="auto"/>
        </w:rPr>
      </w:pPr>
    </w:p>
    <w:p>
      <w:pPr>
        <w:spacing w:after="0" w:line="248" w:lineRule="exact"/>
        <w:rPr>
          <w:sz w:val="20"/>
          <w:szCs w:val="20"/>
          <w:color w:val="auto"/>
        </w:rPr>
      </w:pPr>
    </w:p>
    <w:p>
      <w:pPr>
        <w:ind w:left="360" w:hanging="354"/>
        <w:spacing w:after="0"/>
        <w:tabs>
          <w:tab w:leader="none" w:pos="360" w:val="left"/>
        </w:tabs>
        <w:numPr>
          <w:ilvl w:val="0"/>
          <w:numId w:val="82"/>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40"/>
          </w:cols>
          <w:pgMar w:left="320" w:top="340" w:right="339" w:bottom="1440" w:gutter="0" w:footer="0" w:header="0"/>
        </w:sectPr>
      </w:pPr>
    </w:p>
    <w:bookmarkStart w:id="53" w:name="page54"/>
    <w:bookmarkEnd w:id="53"/>
    <w:p>
      <w:pPr>
        <w:ind w:left="9000"/>
        <w:spacing w:after="0"/>
        <w:rPr>
          <w:sz w:val="20"/>
          <w:szCs w:val="20"/>
          <w:color w:val="auto"/>
        </w:rPr>
      </w:pPr>
      <w:r>
        <w:rPr>
          <w:rFonts w:ascii="Arial" w:cs="Arial" w:eastAsia="Arial" w:hAnsi="Arial"/>
          <w:sz w:val="15"/>
          <w:szCs w:val="15"/>
          <w:color w:val="CC092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242424"/>
        </w:rPr>
        <w:t>subject to the Tan Fiscal Year 2021 PSU Award would have vested and the value of such acceleration would have been $52,224,349, based on a per share price of $531.67, which was the closing price per share of Broadcom common stock on October 29, 2021.</w:t>
      </w:r>
    </w:p>
    <w:p>
      <w:pPr>
        <w:spacing w:after="0" w:line="185" w:lineRule="exact"/>
        <w:rPr>
          <w:sz w:val="20"/>
          <w:szCs w:val="20"/>
          <w:color w:val="auto"/>
        </w:rPr>
      </w:pPr>
    </w:p>
    <w:p>
      <w:pPr>
        <w:ind w:right="400"/>
        <w:spacing w:after="0" w:line="290" w:lineRule="auto"/>
        <w:rPr>
          <w:sz w:val="20"/>
          <w:szCs w:val="20"/>
          <w:color w:val="auto"/>
        </w:rPr>
      </w:pPr>
      <w:r>
        <w:rPr>
          <w:rFonts w:ascii="Arial" w:cs="Arial" w:eastAsia="Arial" w:hAnsi="Arial"/>
          <w:sz w:val="21"/>
          <w:szCs w:val="21"/>
          <w:b w:val="1"/>
          <w:bCs w:val="1"/>
          <w:color w:val="CC092F"/>
        </w:rPr>
        <w:t>Potential Payments and Benefits upon Certain Terminations of Employment in Connection with a Change in Control</w:t>
      </w:r>
    </w:p>
    <w:p>
      <w:pPr>
        <w:spacing w:after="0" w:line="97" w:lineRule="exact"/>
        <w:rPr>
          <w:sz w:val="20"/>
          <w:szCs w:val="20"/>
          <w:color w:val="auto"/>
        </w:rPr>
      </w:pPr>
    </w:p>
    <w:p>
      <w:pPr>
        <w:spacing w:after="0" w:line="265" w:lineRule="auto"/>
        <w:rPr>
          <w:sz w:val="20"/>
          <w:szCs w:val="20"/>
          <w:color w:val="auto"/>
        </w:rPr>
      </w:pPr>
      <w:r>
        <w:rPr>
          <w:rFonts w:ascii="Arial" w:cs="Arial" w:eastAsia="Arial" w:hAnsi="Arial"/>
          <w:sz w:val="17"/>
          <w:szCs w:val="17"/>
          <w:color w:val="242424"/>
        </w:rPr>
        <w:t>The following table reflects the potential payments and benefits to which our NEOs would be entitled under their severance benefits agreements and equity award agreements in effect as of the end of Fiscal Year 2021 in the event of a Covered Termination taking place within 12 months following a change in control of Broadcom (or in the case of Mr. Tan three months before or 12 months following a change in control of Broadcom). The amounts presented in the table assume an employment termination date and a change in control date of October 31, 2021 and that all eligibility requirements contemplated by the NEO’s respective agreements and our policies and practices, as applicable, were met.</w:t>
      </w:r>
    </w:p>
    <w:p>
      <w:pPr>
        <w:spacing w:after="0" w:line="8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400" w:type="dxa"/>
            <w:vAlign w:val="bottom"/>
            <w:tcBorders>
              <w:top w:val="single" w:sz="8" w:color="CC092F"/>
            </w:tcBorders>
            <w:shd w:val="clear" w:color="auto" w:fill="B8B8B8"/>
          </w:tcPr>
          <w:p>
            <w:pPr>
              <w:spacing w:after="0"/>
              <w:rPr>
                <w:sz w:val="14"/>
                <w:szCs w:val="14"/>
                <w:color w:val="auto"/>
              </w:rPr>
            </w:pPr>
          </w:p>
        </w:tc>
        <w:tc>
          <w:tcPr>
            <w:tcW w:w="2000" w:type="dxa"/>
            <w:vAlign w:val="bottom"/>
            <w:tcBorders>
              <w:top w:val="single" w:sz="8" w:color="CC092F"/>
            </w:tcBorders>
            <w:vMerge w:val="restart"/>
            <w:shd w:val="clear" w:color="auto" w:fill="B8B8B8"/>
          </w:tcPr>
          <w:p>
            <w:pPr>
              <w:jc w:val="center"/>
              <w:ind w:left="281"/>
              <w:spacing w:after="0"/>
              <w:rPr>
                <w:sz w:val="20"/>
                <w:szCs w:val="20"/>
                <w:color w:val="auto"/>
              </w:rPr>
            </w:pPr>
            <w:r>
              <w:rPr>
                <w:rFonts w:ascii="Arial" w:cs="Arial" w:eastAsia="Arial" w:hAnsi="Arial"/>
                <w:sz w:val="16"/>
                <w:szCs w:val="16"/>
                <w:b w:val="1"/>
                <w:bCs w:val="1"/>
                <w:color w:val="FFFFFF"/>
              </w:rPr>
              <w:t>Cash Severance</w:t>
            </w:r>
          </w:p>
        </w:tc>
        <w:tc>
          <w:tcPr>
            <w:tcW w:w="1660" w:type="dxa"/>
            <w:vAlign w:val="bottom"/>
            <w:tcBorders>
              <w:top w:val="single" w:sz="8" w:color="CC092F"/>
            </w:tcBorders>
            <w:vMerge w:val="restart"/>
            <w:shd w:val="clear" w:color="auto" w:fill="B8B8B8"/>
          </w:tcPr>
          <w:p>
            <w:pPr>
              <w:jc w:val="center"/>
              <w:spacing w:after="0"/>
              <w:rPr>
                <w:sz w:val="20"/>
                <w:szCs w:val="20"/>
                <w:color w:val="auto"/>
              </w:rPr>
            </w:pPr>
            <w:r>
              <w:rPr>
                <w:rFonts w:ascii="Arial" w:cs="Arial" w:eastAsia="Arial" w:hAnsi="Arial"/>
                <w:sz w:val="16"/>
                <w:szCs w:val="16"/>
                <w:b w:val="1"/>
                <w:bCs w:val="1"/>
                <w:color w:val="FFFFFF"/>
                <w:w w:val="98"/>
              </w:rPr>
              <w:t>Cash Severance</w:t>
            </w:r>
          </w:p>
        </w:tc>
        <w:tc>
          <w:tcPr>
            <w:tcW w:w="1620" w:type="dxa"/>
            <w:vAlign w:val="bottom"/>
            <w:tcBorders>
              <w:top w:val="single" w:sz="8" w:color="CC092F"/>
            </w:tcBorders>
            <w:shd w:val="clear" w:color="auto" w:fill="B8B8B8"/>
          </w:tcPr>
          <w:p>
            <w:pPr>
              <w:jc w:val="center"/>
              <w:spacing w:after="0" w:line="172" w:lineRule="exact"/>
              <w:rPr>
                <w:sz w:val="20"/>
                <w:szCs w:val="20"/>
                <w:color w:val="auto"/>
              </w:rPr>
            </w:pPr>
            <w:r>
              <w:rPr>
                <w:rFonts w:ascii="Arial" w:cs="Arial" w:eastAsia="Arial" w:hAnsi="Arial"/>
                <w:sz w:val="16"/>
                <w:szCs w:val="16"/>
                <w:b w:val="1"/>
                <w:bCs w:val="1"/>
                <w:color w:val="FFFFFF"/>
                <w:w w:val="99"/>
              </w:rPr>
              <w:t>Health Benefits</w:t>
            </w:r>
          </w:p>
        </w:tc>
        <w:tc>
          <w:tcPr>
            <w:tcW w:w="2000" w:type="dxa"/>
            <w:vAlign w:val="bottom"/>
            <w:tcBorders>
              <w:top w:val="single" w:sz="8" w:color="CC092F"/>
            </w:tcBorders>
            <w:shd w:val="clear" w:color="auto" w:fill="B8B8B8"/>
          </w:tcPr>
          <w:p>
            <w:pPr>
              <w:spacing w:after="0"/>
              <w:rPr>
                <w:sz w:val="14"/>
                <w:szCs w:val="14"/>
                <w:color w:val="auto"/>
              </w:rPr>
            </w:pPr>
          </w:p>
        </w:tc>
        <w:tc>
          <w:tcPr>
            <w:tcW w:w="1260" w:type="dxa"/>
            <w:vAlign w:val="bottom"/>
            <w:tcBorders>
              <w:top w:val="single" w:sz="8" w:color="CC092F"/>
            </w:tcBorders>
            <w:shd w:val="clear" w:color="auto" w:fill="B8B8B8"/>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00" w:type="dxa"/>
            <w:vAlign w:val="bottom"/>
            <w:shd w:val="clear" w:color="auto" w:fill="B8B8B8"/>
          </w:tcPr>
          <w:p>
            <w:pPr>
              <w:spacing w:after="0"/>
              <w:rPr>
                <w:sz w:val="13"/>
                <w:szCs w:val="13"/>
                <w:color w:val="auto"/>
              </w:rPr>
            </w:pPr>
          </w:p>
        </w:tc>
        <w:tc>
          <w:tcPr>
            <w:tcW w:w="2000" w:type="dxa"/>
            <w:vAlign w:val="bottom"/>
            <w:vMerge w:val="continue"/>
            <w:shd w:val="clear" w:color="auto" w:fill="B8B8B8"/>
          </w:tcPr>
          <w:p>
            <w:pPr>
              <w:spacing w:after="0"/>
              <w:rPr>
                <w:sz w:val="13"/>
                <w:szCs w:val="13"/>
                <w:color w:val="auto"/>
              </w:rPr>
            </w:pPr>
          </w:p>
        </w:tc>
        <w:tc>
          <w:tcPr>
            <w:tcW w:w="1660" w:type="dxa"/>
            <w:vAlign w:val="bottom"/>
            <w:vMerge w:val="continue"/>
            <w:shd w:val="clear" w:color="auto" w:fill="B8B8B8"/>
          </w:tcPr>
          <w:p>
            <w:pPr>
              <w:spacing w:after="0"/>
              <w:rPr>
                <w:sz w:val="13"/>
                <w:szCs w:val="13"/>
                <w:color w:val="auto"/>
              </w:rPr>
            </w:pPr>
          </w:p>
        </w:tc>
        <w:tc>
          <w:tcPr>
            <w:tcW w:w="162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w w:val="99"/>
              </w:rPr>
              <w:t>Continuation</w:t>
            </w:r>
          </w:p>
        </w:tc>
        <w:tc>
          <w:tcPr>
            <w:tcW w:w="2000" w:type="dxa"/>
            <w:vAlign w:val="bottom"/>
            <w:vMerge w:val="restart"/>
            <w:shd w:val="clear" w:color="auto" w:fill="B8B8B8"/>
          </w:tcPr>
          <w:p>
            <w:pPr>
              <w:ind w:left="260"/>
              <w:spacing w:after="0"/>
              <w:rPr>
                <w:sz w:val="20"/>
                <w:szCs w:val="20"/>
                <w:color w:val="auto"/>
              </w:rPr>
            </w:pPr>
            <w:r>
              <w:rPr>
                <w:rFonts w:ascii="Arial" w:cs="Arial" w:eastAsia="Arial" w:hAnsi="Arial"/>
                <w:sz w:val="16"/>
                <w:szCs w:val="16"/>
                <w:b w:val="1"/>
                <w:bCs w:val="1"/>
                <w:color w:val="FFFFFF"/>
              </w:rPr>
              <w:t>Value of RSU/PSU</w:t>
            </w:r>
          </w:p>
        </w:tc>
        <w:tc>
          <w:tcPr>
            <w:tcW w:w="1260" w:type="dxa"/>
            <w:vAlign w:val="bottom"/>
            <w:vMerge w:val="restart"/>
            <w:shd w:val="clear" w:color="auto" w:fill="B8B8B8"/>
          </w:tcPr>
          <w:p>
            <w:pPr>
              <w:jc w:val="right"/>
              <w:ind w:right="441"/>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59"/>
        </w:trPr>
        <w:tc>
          <w:tcPr>
            <w:tcW w:w="2400" w:type="dxa"/>
            <w:vAlign w:val="bottom"/>
            <w:vMerge w:val="restart"/>
            <w:shd w:val="clear" w:color="auto" w:fill="B8B8B8"/>
          </w:tcPr>
          <w:p>
            <w:pPr>
              <w:ind w:left="20"/>
              <w:spacing w:after="0"/>
              <w:rPr>
                <w:sz w:val="20"/>
                <w:szCs w:val="20"/>
                <w:color w:val="auto"/>
              </w:rPr>
            </w:pPr>
            <w:r>
              <w:rPr>
                <w:rFonts w:ascii="Arial" w:cs="Arial" w:eastAsia="Arial" w:hAnsi="Arial"/>
                <w:sz w:val="16"/>
                <w:szCs w:val="16"/>
                <w:b w:val="1"/>
                <w:bCs w:val="1"/>
                <w:color w:val="FFFFFF"/>
              </w:rPr>
              <w:t>Name</w:t>
            </w:r>
          </w:p>
        </w:tc>
        <w:tc>
          <w:tcPr>
            <w:tcW w:w="2000" w:type="dxa"/>
            <w:vAlign w:val="bottom"/>
            <w:shd w:val="clear" w:color="auto" w:fill="B8B8B8"/>
          </w:tcPr>
          <w:p>
            <w:pPr>
              <w:jc w:val="center"/>
              <w:ind w:left="221"/>
              <w:spacing w:after="0" w:line="159" w:lineRule="exact"/>
              <w:rPr>
                <w:sz w:val="20"/>
                <w:szCs w:val="20"/>
                <w:color w:val="auto"/>
              </w:rPr>
            </w:pPr>
            <w:r>
              <w:rPr>
                <w:rFonts w:ascii="Arial" w:cs="Arial" w:eastAsia="Arial" w:hAnsi="Arial"/>
                <w:sz w:val="16"/>
                <w:szCs w:val="16"/>
                <w:b w:val="1"/>
                <w:bCs w:val="1"/>
                <w:color w:val="FFFFFF"/>
                <w:w w:val="99"/>
              </w:rPr>
              <w:t>Base Salary</w:t>
            </w:r>
          </w:p>
        </w:tc>
        <w:tc>
          <w:tcPr>
            <w:tcW w:w="166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rPr>
              <w:t>Bonus</w:t>
            </w:r>
          </w:p>
        </w:tc>
        <w:tc>
          <w:tcPr>
            <w:tcW w:w="162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w w:val="98"/>
              </w:rPr>
              <w:t>Coverage</w:t>
            </w:r>
          </w:p>
        </w:tc>
        <w:tc>
          <w:tcPr>
            <w:tcW w:w="2000" w:type="dxa"/>
            <w:vAlign w:val="bottom"/>
            <w:vMerge w:val="continue"/>
            <w:shd w:val="clear" w:color="auto" w:fill="B8B8B8"/>
          </w:tcPr>
          <w:p>
            <w:pPr>
              <w:spacing w:after="0"/>
              <w:rPr>
                <w:sz w:val="13"/>
                <w:szCs w:val="13"/>
                <w:color w:val="auto"/>
              </w:rPr>
            </w:pPr>
          </w:p>
        </w:tc>
        <w:tc>
          <w:tcPr>
            <w:tcW w:w="1260" w:type="dxa"/>
            <w:vAlign w:val="bottom"/>
            <w:vMerge w:val="continue"/>
            <w:shd w:val="clear" w:color="auto" w:fill="B8B8B8"/>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400" w:type="dxa"/>
            <w:vAlign w:val="bottom"/>
            <w:tcBorders>
              <w:bottom w:val="single" w:sz="8" w:color="CC092F"/>
            </w:tcBorders>
            <w:vMerge w:val="continue"/>
            <w:shd w:val="clear" w:color="auto" w:fill="B8B8B8"/>
          </w:tcPr>
          <w:p>
            <w:pPr>
              <w:spacing w:after="0"/>
              <w:rPr>
                <w:sz w:val="18"/>
                <w:szCs w:val="18"/>
                <w:color w:val="auto"/>
              </w:rPr>
            </w:pPr>
          </w:p>
        </w:tc>
        <w:tc>
          <w:tcPr>
            <w:tcW w:w="2000" w:type="dxa"/>
            <w:vAlign w:val="bottom"/>
            <w:tcBorders>
              <w:bottom w:val="single" w:sz="8" w:color="CC092F"/>
            </w:tcBorders>
            <w:shd w:val="clear" w:color="auto" w:fill="B8B8B8"/>
          </w:tcPr>
          <w:p>
            <w:pPr>
              <w:jc w:val="center"/>
              <w:ind w:left="281"/>
              <w:spacing w:after="0"/>
              <w:rPr>
                <w:sz w:val="20"/>
                <w:szCs w:val="20"/>
                <w:color w:val="auto"/>
              </w:rPr>
            </w:pPr>
            <w:r>
              <w:rPr>
                <w:rFonts w:ascii="Arial" w:cs="Arial" w:eastAsia="Arial" w:hAnsi="Arial"/>
                <w:sz w:val="16"/>
                <w:szCs w:val="16"/>
                <w:b w:val="1"/>
                <w:bCs w:val="1"/>
                <w:color w:val="FFFFFF"/>
              </w:rPr>
              <w:t>($)</w:t>
            </w:r>
          </w:p>
        </w:tc>
        <w:tc>
          <w:tcPr>
            <w:tcW w:w="166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6"/>
                <w:szCs w:val="16"/>
                <w:b w:val="1"/>
                <w:bCs w:val="1"/>
                <w:color w:val="FFFFFF"/>
                <w:w w:val="91"/>
              </w:rPr>
              <w:t>($)</w:t>
            </w:r>
          </w:p>
        </w:tc>
        <w:tc>
          <w:tcPr>
            <w:tcW w:w="162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8"/>
                <w:szCs w:val="8"/>
                <w:b w:val="1"/>
                <w:bCs w:val="1"/>
                <w:color w:val="FFFFFF"/>
              </w:rPr>
              <w:t>(1)</w:t>
            </w:r>
          </w:p>
        </w:tc>
        <w:tc>
          <w:tcPr>
            <w:tcW w:w="2000" w:type="dxa"/>
            <w:vAlign w:val="bottom"/>
            <w:tcBorders>
              <w:bottom w:val="single" w:sz="8" w:color="CC092F"/>
            </w:tcBorders>
            <w:shd w:val="clear" w:color="auto" w:fill="B8B8B8"/>
          </w:tcPr>
          <w:p>
            <w:pPr>
              <w:ind w:left="360"/>
              <w:spacing w:after="0"/>
              <w:rPr>
                <w:sz w:val="20"/>
                <w:szCs w:val="20"/>
                <w:color w:val="auto"/>
              </w:rPr>
            </w:pPr>
            <w:r>
              <w:rPr>
                <w:rFonts w:ascii="Arial" w:cs="Arial" w:eastAsia="Arial" w:hAnsi="Arial"/>
                <w:sz w:val="16"/>
                <w:szCs w:val="16"/>
                <w:b w:val="1"/>
                <w:bCs w:val="1"/>
                <w:color w:val="FFFFFF"/>
              </w:rPr>
              <w:t>Acceleration ($)</w:t>
            </w:r>
          </w:p>
        </w:tc>
        <w:tc>
          <w:tcPr>
            <w:tcW w:w="1260" w:type="dxa"/>
            <w:vAlign w:val="bottom"/>
            <w:tcBorders>
              <w:bottom w:val="single" w:sz="8" w:color="CC092F"/>
            </w:tcBorders>
            <w:shd w:val="clear" w:color="auto" w:fill="B8B8B8"/>
          </w:tcPr>
          <w:p>
            <w:pPr>
              <w:jc w:val="right"/>
              <w:ind w:right="501"/>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56"/>
        </w:trPr>
        <w:tc>
          <w:tcPr>
            <w:tcW w:w="2400" w:type="dxa"/>
            <w:vAlign w:val="bottom"/>
          </w:tcPr>
          <w:p>
            <w:pPr>
              <w:ind w:left="20"/>
              <w:spacing w:after="0"/>
              <w:rPr>
                <w:sz w:val="20"/>
                <w:szCs w:val="20"/>
                <w:color w:val="auto"/>
              </w:rPr>
            </w:pPr>
            <w:r>
              <w:rPr>
                <w:rFonts w:ascii="Arial" w:cs="Arial" w:eastAsia="Arial" w:hAnsi="Arial"/>
                <w:sz w:val="16"/>
                <w:szCs w:val="16"/>
                <w:color w:val="242424"/>
              </w:rPr>
              <w:t>Hock E. Tan</w:t>
            </w:r>
          </w:p>
        </w:tc>
        <w:tc>
          <w:tcPr>
            <w:tcW w:w="2000" w:type="dxa"/>
            <w:vAlign w:val="bottom"/>
          </w:tcPr>
          <w:p>
            <w:pPr>
              <w:jc w:val="right"/>
              <w:ind w:right="541"/>
              <w:spacing w:after="0"/>
              <w:rPr>
                <w:sz w:val="20"/>
                <w:szCs w:val="20"/>
                <w:color w:val="auto"/>
              </w:rPr>
            </w:pPr>
            <w:r>
              <w:rPr>
                <w:rFonts w:ascii="Arial" w:cs="Arial" w:eastAsia="Arial" w:hAnsi="Arial"/>
                <w:sz w:val="16"/>
                <w:szCs w:val="16"/>
                <w:color w:val="242424"/>
              </w:rPr>
              <w:t>2,400,000</w:t>
            </w:r>
          </w:p>
        </w:tc>
        <w:tc>
          <w:tcPr>
            <w:tcW w:w="1660" w:type="dxa"/>
            <w:vAlign w:val="bottom"/>
          </w:tcPr>
          <w:p>
            <w:pPr>
              <w:jc w:val="right"/>
              <w:ind w:right="521"/>
              <w:spacing w:after="0"/>
              <w:rPr>
                <w:sz w:val="20"/>
                <w:szCs w:val="20"/>
                <w:color w:val="auto"/>
              </w:rPr>
            </w:pPr>
            <w:r>
              <w:rPr>
                <w:rFonts w:ascii="Arial" w:cs="Arial" w:eastAsia="Arial" w:hAnsi="Arial"/>
                <w:sz w:val="16"/>
                <w:szCs w:val="16"/>
                <w:color w:val="242424"/>
              </w:rPr>
              <w:t>4,800,000</w:t>
            </w:r>
          </w:p>
        </w:tc>
        <w:tc>
          <w:tcPr>
            <w:tcW w:w="1620" w:type="dxa"/>
            <w:vAlign w:val="bottom"/>
          </w:tcPr>
          <w:p>
            <w:pPr>
              <w:jc w:val="center"/>
              <w:spacing w:after="0"/>
              <w:rPr>
                <w:sz w:val="20"/>
                <w:szCs w:val="20"/>
                <w:color w:val="auto"/>
              </w:rPr>
            </w:pPr>
            <w:r>
              <w:rPr>
                <w:rFonts w:ascii="Arial" w:cs="Arial" w:eastAsia="Arial" w:hAnsi="Arial"/>
                <w:sz w:val="16"/>
                <w:szCs w:val="16"/>
                <w:color w:val="242424"/>
                <w:w w:val="99"/>
              </w:rPr>
              <w:t>—</w:t>
            </w:r>
          </w:p>
        </w:tc>
        <w:tc>
          <w:tcPr>
            <w:tcW w:w="2000" w:type="dxa"/>
            <w:vAlign w:val="bottom"/>
          </w:tcPr>
          <w:p>
            <w:pPr>
              <w:ind w:left="380"/>
              <w:spacing w:after="0"/>
              <w:rPr>
                <w:sz w:val="20"/>
                <w:szCs w:val="20"/>
                <w:color w:val="auto"/>
              </w:rPr>
            </w:pPr>
            <w:r>
              <w:rPr>
                <w:rFonts w:ascii="Arial" w:cs="Arial" w:eastAsia="Arial" w:hAnsi="Arial"/>
                <w:sz w:val="16"/>
                <w:szCs w:val="16"/>
                <w:color w:val="242424"/>
              </w:rPr>
              <w:t>51,712,351</w:t>
            </w:r>
            <w:r>
              <w:rPr>
                <w:rFonts w:ascii="Arial" w:cs="Arial" w:eastAsia="Arial" w:hAnsi="Arial"/>
                <w:sz w:val="8"/>
                <w:szCs w:val="8"/>
                <w:color w:val="242424"/>
              </w:rPr>
              <w:t>(2)</w:t>
            </w:r>
          </w:p>
        </w:tc>
        <w:tc>
          <w:tcPr>
            <w:tcW w:w="1260" w:type="dxa"/>
            <w:vAlign w:val="bottom"/>
          </w:tcPr>
          <w:p>
            <w:pPr>
              <w:jc w:val="right"/>
              <w:spacing w:after="0"/>
              <w:rPr>
                <w:sz w:val="20"/>
                <w:szCs w:val="20"/>
                <w:color w:val="auto"/>
              </w:rPr>
            </w:pPr>
            <w:r>
              <w:rPr>
                <w:rFonts w:ascii="Arial" w:cs="Arial" w:eastAsia="Arial" w:hAnsi="Arial"/>
                <w:sz w:val="16"/>
                <w:szCs w:val="16"/>
                <w:color w:val="242424"/>
              </w:rPr>
              <w:t>58,912,351</w:t>
            </w:r>
          </w:p>
        </w:tc>
        <w:tc>
          <w:tcPr>
            <w:tcW w:w="0" w:type="dxa"/>
            <w:vAlign w:val="bottom"/>
          </w:tcPr>
          <w:p>
            <w:pPr>
              <w:spacing w:after="0"/>
              <w:rPr>
                <w:sz w:val="1"/>
                <w:szCs w:val="1"/>
                <w:color w:val="auto"/>
              </w:rPr>
            </w:pPr>
          </w:p>
        </w:tc>
      </w:tr>
      <w:tr>
        <w:trPr>
          <w:trHeight w:val="214"/>
        </w:trPr>
        <w:tc>
          <w:tcPr>
            <w:tcW w:w="240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Kirsten M. Spears</w:t>
            </w:r>
          </w:p>
        </w:tc>
        <w:tc>
          <w:tcPr>
            <w:tcW w:w="2000" w:type="dxa"/>
            <w:vAlign w:val="bottom"/>
            <w:shd w:val="clear" w:color="auto" w:fill="EAEAEA"/>
          </w:tcPr>
          <w:p>
            <w:pPr>
              <w:jc w:val="right"/>
              <w:ind w:right="541"/>
              <w:spacing w:after="0"/>
              <w:rPr>
                <w:sz w:val="20"/>
                <w:szCs w:val="20"/>
                <w:color w:val="auto"/>
              </w:rPr>
            </w:pPr>
            <w:r>
              <w:rPr>
                <w:rFonts w:ascii="Arial" w:cs="Arial" w:eastAsia="Arial" w:hAnsi="Arial"/>
                <w:sz w:val="16"/>
                <w:szCs w:val="16"/>
                <w:color w:val="242424"/>
              </w:rPr>
              <w:t>400,000</w:t>
            </w:r>
          </w:p>
        </w:tc>
        <w:tc>
          <w:tcPr>
            <w:tcW w:w="1660" w:type="dxa"/>
            <w:vAlign w:val="bottom"/>
            <w:shd w:val="clear" w:color="auto" w:fill="EAEAEA"/>
          </w:tcPr>
          <w:p>
            <w:pPr>
              <w:jc w:val="right"/>
              <w:ind w:right="521"/>
              <w:spacing w:after="0"/>
              <w:rPr>
                <w:sz w:val="20"/>
                <w:szCs w:val="20"/>
                <w:color w:val="auto"/>
              </w:rPr>
            </w:pPr>
            <w:r>
              <w:rPr>
                <w:rFonts w:ascii="Arial" w:cs="Arial" w:eastAsia="Arial" w:hAnsi="Arial"/>
                <w:sz w:val="16"/>
                <w:szCs w:val="16"/>
                <w:color w:val="242424"/>
              </w:rPr>
              <w:t>166,482</w:t>
            </w:r>
          </w:p>
        </w:tc>
        <w:tc>
          <w:tcPr>
            <w:tcW w:w="162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8"/>
              </w:rPr>
              <w:t>23,800</w:t>
            </w:r>
          </w:p>
        </w:tc>
        <w:tc>
          <w:tcPr>
            <w:tcW w:w="2000" w:type="dxa"/>
            <w:vAlign w:val="bottom"/>
            <w:shd w:val="clear" w:color="auto" w:fill="EAEAEA"/>
          </w:tcPr>
          <w:p>
            <w:pPr>
              <w:ind w:left="380"/>
              <w:spacing w:after="0"/>
              <w:rPr>
                <w:sz w:val="20"/>
                <w:szCs w:val="20"/>
                <w:color w:val="auto"/>
              </w:rPr>
            </w:pPr>
            <w:r>
              <w:rPr>
                <w:rFonts w:ascii="Arial" w:cs="Arial" w:eastAsia="Arial" w:hAnsi="Arial"/>
                <w:sz w:val="16"/>
                <w:szCs w:val="16"/>
                <w:color w:val="242424"/>
              </w:rPr>
              <w:t>36,872,910</w:t>
            </w:r>
            <w:r>
              <w:rPr>
                <w:rFonts w:ascii="Arial" w:cs="Arial" w:eastAsia="Arial" w:hAnsi="Arial"/>
                <w:sz w:val="8"/>
                <w:szCs w:val="8"/>
                <w:color w:val="242424"/>
              </w:rPr>
              <w:t>(3)</w:t>
            </w: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242424"/>
              </w:rPr>
              <w:t>37,463,192</w:t>
            </w:r>
          </w:p>
        </w:tc>
        <w:tc>
          <w:tcPr>
            <w:tcW w:w="0" w:type="dxa"/>
            <w:vAlign w:val="bottom"/>
          </w:tcPr>
          <w:p>
            <w:pPr>
              <w:spacing w:after="0"/>
              <w:rPr>
                <w:sz w:val="1"/>
                <w:szCs w:val="1"/>
                <w:color w:val="auto"/>
              </w:rPr>
            </w:pPr>
          </w:p>
        </w:tc>
      </w:tr>
      <w:tr>
        <w:trPr>
          <w:trHeight w:val="263"/>
        </w:trPr>
        <w:tc>
          <w:tcPr>
            <w:tcW w:w="2400" w:type="dxa"/>
            <w:vAlign w:val="bottom"/>
          </w:tcPr>
          <w:p>
            <w:pPr>
              <w:ind w:left="20"/>
              <w:spacing w:after="0"/>
              <w:rPr>
                <w:sz w:val="20"/>
                <w:szCs w:val="20"/>
                <w:color w:val="auto"/>
              </w:rPr>
            </w:pPr>
            <w:r>
              <w:rPr>
                <w:rFonts w:ascii="Arial" w:cs="Arial" w:eastAsia="Arial" w:hAnsi="Arial"/>
                <w:sz w:val="16"/>
                <w:szCs w:val="16"/>
                <w:color w:val="242424"/>
              </w:rPr>
              <w:t>Mark D. Brazeal</w:t>
            </w:r>
          </w:p>
        </w:tc>
        <w:tc>
          <w:tcPr>
            <w:tcW w:w="2000" w:type="dxa"/>
            <w:vAlign w:val="bottom"/>
          </w:tcPr>
          <w:p>
            <w:pPr>
              <w:jc w:val="right"/>
              <w:ind w:right="541"/>
              <w:spacing w:after="0"/>
              <w:rPr>
                <w:sz w:val="20"/>
                <w:szCs w:val="20"/>
                <w:color w:val="auto"/>
              </w:rPr>
            </w:pPr>
            <w:r>
              <w:rPr>
                <w:rFonts w:ascii="Arial" w:cs="Arial" w:eastAsia="Arial" w:hAnsi="Arial"/>
                <w:sz w:val="16"/>
                <w:szCs w:val="16"/>
                <w:color w:val="242424"/>
              </w:rPr>
              <w:t>500,000</w:t>
            </w:r>
          </w:p>
        </w:tc>
        <w:tc>
          <w:tcPr>
            <w:tcW w:w="1660" w:type="dxa"/>
            <w:vAlign w:val="bottom"/>
          </w:tcPr>
          <w:p>
            <w:pPr>
              <w:jc w:val="right"/>
              <w:ind w:right="521"/>
              <w:spacing w:after="0"/>
              <w:rPr>
                <w:sz w:val="20"/>
                <w:szCs w:val="20"/>
                <w:color w:val="auto"/>
              </w:rPr>
            </w:pPr>
            <w:r>
              <w:rPr>
                <w:rFonts w:ascii="Arial" w:cs="Arial" w:eastAsia="Arial" w:hAnsi="Arial"/>
                <w:sz w:val="16"/>
                <w:szCs w:val="16"/>
                <w:color w:val="242424"/>
              </w:rPr>
              <w:t>500,000</w:t>
            </w:r>
          </w:p>
        </w:tc>
        <w:tc>
          <w:tcPr>
            <w:tcW w:w="1620" w:type="dxa"/>
            <w:vAlign w:val="bottom"/>
          </w:tcPr>
          <w:p>
            <w:pPr>
              <w:jc w:val="center"/>
              <w:spacing w:after="0"/>
              <w:rPr>
                <w:sz w:val="20"/>
                <w:szCs w:val="20"/>
                <w:color w:val="auto"/>
              </w:rPr>
            </w:pPr>
            <w:r>
              <w:rPr>
                <w:rFonts w:ascii="Arial" w:cs="Arial" w:eastAsia="Arial" w:hAnsi="Arial"/>
                <w:sz w:val="16"/>
                <w:szCs w:val="16"/>
                <w:color w:val="242424"/>
                <w:w w:val="98"/>
              </w:rPr>
              <w:t>23,285</w:t>
            </w:r>
          </w:p>
        </w:tc>
        <w:tc>
          <w:tcPr>
            <w:tcW w:w="2000" w:type="dxa"/>
            <w:vAlign w:val="bottom"/>
          </w:tcPr>
          <w:p>
            <w:pPr>
              <w:ind w:left="380"/>
              <w:spacing w:after="0"/>
              <w:rPr>
                <w:sz w:val="20"/>
                <w:szCs w:val="20"/>
                <w:color w:val="auto"/>
              </w:rPr>
            </w:pPr>
            <w:r>
              <w:rPr>
                <w:rFonts w:ascii="Arial" w:cs="Arial" w:eastAsia="Arial" w:hAnsi="Arial"/>
                <w:sz w:val="16"/>
                <w:szCs w:val="16"/>
                <w:color w:val="242424"/>
              </w:rPr>
              <w:t>30,053,178</w:t>
            </w:r>
            <w:r>
              <w:rPr>
                <w:rFonts w:ascii="Arial" w:cs="Arial" w:eastAsia="Arial" w:hAnsi="Arial"/>
                <w:sz w:val="8"/>
                <w:szCs w:val="8"/>
                <w:color w:val="242424"/>
              </w:rPr>
              <w:t>(3)</w:t>
            </w:r>
          </w:p>
        </w:tc>
        <w:tc>
          <w:tcPr>
            <w:tcW w:w="1260" w:type="dxa"/>
            <w:vAlign w:val="bottom"/>
          </w:tcPr>
          <w:p>
            <w:pPr>
              <w:jc w:val="right"/>
              <w:spacing w:after="0"/>
              <w:rPr>
                <w:sz w:val="20"/>
                <w:szCs w:val="20"/>
                <w:color w:val="auto"/>
              </w:rPr>
            </w:pPr>
            <w:r>
              <w:rPr>
                <w:rFonts w:ascii="Arial" w:cs="Arial" w:eastAsia="Arial" w:hAnsi="Arial"/>
                <w:sz w:val="16"/>
                <w:szCs w:val="16"/>
                <w:color w:val="242424"/>
              </w:rPr>
              <w:t>31,076,464</w:t>
            </w:r>
          </w:p>
        </w:tc>
        <w:tc>
          <w:tcPr>
            <w:tcW w:w="0" w:type="dxa"/>
            <w:vAlign w:val="bottom"/>
          </w:tcPr>
          <w:p>
            <w:pPr>
              <w:spacing w:after="0"/>
              <w:rPr>
                <w:sz w:val="1"/>
                <w:szCs w:val="1"/>
                <w:color w:val="auto"/>
              </w:rPr>
            </w:pPr>
          </w:p>
        </w:tc>
      </w:tr>
      <w:tr>
        <w:trPr>
          <w:trHeight w:val="267"/>
        </w:trPr>
        <w:tc>
          <w:tcPr>
            <w:tcW w:w="240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Charlie B. Kawwas, Ph.D.</w:t>
            </w:r>
          </w:p>
        </w:tc>
        <w:tc>
          <w:tcPr>
            <w:tcW w:w="2000" w:type="dxa"/>
            <w:vAlign w:val="bottom"/>
            <w:shd w:val="clear" w:color="auto" w:fill="EAEAEA"/>
          </w:tcPr>
          <w:p>
            <w:pPr>
              <w:jc w:val="right"/>
              <w:ind w:right="541"/>
              <w:spacing w:after="0"/>
              <w:rPr>
                <w:sz w:val="20"/>
                <w:szCs w:val="20"/>
                <w:color w:val="auto"/>
              </w:rPr>
            </w:pPr>
            <w:r>
              <w:rPr>
                <w:rFonts w:ascii="Arial" w:cs="Arial" w:eastAsia="Arial" w:hAnsi="Arial"/>
                <w:sz w:val="16"/>
                <w:szCs w:val="16"/>
                <w:color w:val="242424"/>
              </w:rPr>
              <w:t>700,000</w:t>
            </w:r>
          </w:p>
        </w:tc>
        <w:tc>
          <w:tcPr>
            <w:tcW w:w="1660" w:type="dxa"/>
            <w:vAlign w:val="bottom"/>
            <w:shd w:val="clear" w:color="auto" w:fill="EAEAEA"/>
          </w:tcPr>
          <w:p>
            <w:pPr>
              <w:jc w:val="right"/>
              <w:ind w:right="521"/>
              <w:spacing w:after="0"/>
              <w:rPr>
                <w:sz w:val="20"/>
                <w:szCs w:val="20"/>
                <w:color w:val="auto"/>
              </w:rPr>
            </w:pPr>
            <w:r>
              <w:rPr>
                <w:rFonts w:ascii="Arial" w:cs="Arial" w:eastAsia="Arial" w:hAnsi="Arial"/>
                <w:sz w:val="16"/>
                <w:szCs w:val="16"/>
                <w:color w:val="242424"/>
              </w:rPr>
              <w:t>500,000</w:t>
            </w:r>
          </w:p>
        </w:tc>
        <w:tc>
          <w:tcPr>
            <w:tcW w:w="162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8"/>
              </w:rPr>
              <w:t>23,800</w:t>
            </w:r>
          </w:p>
        </w:tc>
        <w:tc>
          <w:tcPr>
            <w:tcW w:w="2000" w:type="dxa"/>
            <w:vAlign w:val="bottom"/>
            <w:shd w:val="clear" w:color="auto" w:fill="EAEAEA"/>
          </w:tcPr>
          <w:p>
            <w:pPr>
              <w:ind w:left="380"/>
              <w:spacing w:after="0"/>
              <w:rPr>
                <w:sz w:val="20"/>
                <w:szCs w:val="20"/>
                <w:color w:val="auto"/>
              </w:rPr>
            </w:pPr>
            <w:r>
              <w:rPr>
                <w:rFonts w:ascii="Arial" w:cs="Arial" w:eastAsia="Arial" w:hAnsi="Arial"/>
                <w:sz w:val="16"/>
                <w:szCs w:val="16"/>
                <w:color w:val="242424"/>
              </w:rPr>
              <w:t>61,338,768</w:t>
            </w:r>
            <w:r>
              <w:rPr>
                <w:rFonts w:ascii="Arial" w:cs="Arial" w:eastAsia="Arial" w:hAnsi="Arial"/>
                <w:sz w:val="8"/>
                <w:szCs w:val="8"/>
                <w:color w:val="242424"/>
              </w:rPr>
              <w:t>(3)</w:t>
            </w: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242424"/>
              </w:rPr>
              <w:t>62,562,568</w:t>
            </w:r>
          </w:p>
        </w:tc>
        <w:tc>
          <w:tcPr>
            <w:tcW w:w="0" w:type="dxa"/>
            <w:vAlign w:val="bottom"/>
          </w:tcPr>
          <w:p>
            <w:pPr>
              <w:spacing w:after="0"/>
              <w:rPr>
                <w:sz w:val="1"/>
                <w:szCs w:val="1"/>
                <w:color w:val="auto"/>
              </w:rPr>
            </w:pPr>
          </w:p>
        </w:tc>
      </w:tr>
      <w:tr>
        <w:trPr>
          <w:trHeight w:val="260"/>
        </w:trPr>
        <w:tc>
          <w:tcPr>
            <w:tcW w:w="2400" w:type="dxa"/>
            <w:vAlign w:val="bottom"/>
          </w:tcPr>
          <w:p>
            <w:pPr>
              <w:ind w:left="20"/>
              <w:spacing w:after="0"/>
              <w:rPr>
                <w:sz w:val="20"/>
                <w:szCs w:val="20"/>
                <w:color w:val="auto"/>
              </w:rPr>
            </w:pPr>
            <w:r>
              <w:rPr>
                <w:rFonts w:ascii="Arial" w:cs="Arial" w:eastAsia="Arial" w:hAnsi="Arial"/>
                <w:sz w:val="16"/>
                <w:szCs w:val="16"/>
                <w:color w:val="242424"/>
              </w:rPr>
              <w:t>Thomas H. Krause, Jr.</w:t>
            </w:r>
          </w:p>
        </w:tc>
        <w:tc>
          <w:tcPr>
            <w:tcW w:w="2000" w:type="dxa"/>
            <w:vAlign w:val="bottom"/>
          </w:tcPr>
          <w:p>
            <w:pPr>
              <w:jc w:val="right"/>
              <w:ind w:right="541"/>
              <w:spacing w:after="0"/>
              <w:rPr>
                <w:sz w:val="20"/>
                <w:szCs w:val="20"/>
                <w:color w:val="auto"/>
              </w:rPr>
            </w:pPr>
            <w:r>
              <w:rPr>
                <w:rFonts w:ascii="Arial" w:cs="Arial" w:eastAsia="Arial" w:hAnsi="Arial"/>
                <w:sz w:val="16"/>
                <w:szCs w:val="16"/>
                <w:color w:val="242424"/>
              </w:rPr>
              <w:t>700,000</w:t>
            </w:r>
          </w:p>
        </w:tc>
        <w:tc>
          <w:tcPr>
            <w:tcW w:w="1660" w:type="dxa"/>
            <w:vAlign w:val="bottom"/>
          </w:tcPr>
          <w:p>
            <w:pPr>
              <w:jc w:val="right"/>
              <w:ind w:right="521"/>
              <w:spacing w:after="0"/>
              <w:rPr>
                <w:sz w:val="20"/>
                <w:szCs w:val="20"/>
                <w:color w:val="auto"/>
              </w:rPr>
            </w:pPr>
            <w:r>
              <w:rPr>
                <w:rFonts w:ascii="Arial" w:cs="Arial" w:eastAsia="Arial" w:hAnsi="Arial"/>
                <w:sz w:val="16"/>
                <w:szCs w:val="16"/>
                <w:color w:val="242424"/>
              </w:rPr>
              <w:t>500,000</w:t>
            </w:r>
          </w:p>
        </w:tc>
        <w:tc>
          <w:tcPr>
            <w:tcW w:w="1620" w:type="dxa"/>
            <w:vAlign w:val="bottom"/>
          </w:tcPr>
          <w:p>
            <w:pPr>
              <w:jc w:val="center"/>
              <w:spacing w:after="0"/>
              <w:rPr>
                <w:sz w:val="20"/>
                <w:szCs w:val="20"/>
                <w:color w:val="auto"/>
              </w:rPr>
            </w:pPr>
            <w:r>
              <w:rPr>
                <w:rFonts w:ascii="Arial" w:cs="Arial" w:eastAsia="Arial" w:hAnsi="Arial"/>
                <w:sz w:val="16"/>
                <w:szCs w:val="16"/>
                <w:color w:val="242424"/>
                <w:w w:val="98"/>
              </w:rPr>
              <w:t>23,449</w:t>
            </w:r>
          </w:p>
        </w:tc>
        <w:tc>
          <w:tcPr>
            <w:tcW w:w="2000" w:type="dxa"/>
            <w:vAlign w:val="bottom"/>
          </w:tcPr>
          <w:p>
            <w:pPr>
              <w:ind w:left="380"/>
              <w:spacing w:after="0"/>
              <w:rPr>
                <w:sz w:val="20"/>
                <w:szCs w:val="20"/>
                <w:color w:val="auto"/>
              </w:rPr>
            </w:pPr>
            <w:r>
              <w:rPr>
                <w:rFonts w:ascii="Arial" w:cs="Arial" w:eastAsia="Arial" w:hAnsi="Arial"/>
                <w:sz w:val="16"/>
                <w:szCs w:val="16"/>
                <w:color w:val="242424"/>
              </w:rPr>
              <w:t>61,737,520</w:t>
            </w:r>
            <w:r>
              <w:rPr>
                <w:rFonts w:ascii="Arial" w:cs="Arial" w:eastAsia="Arial" w:hAnsi="Arial"/>
                <w:sz w:val="8"/>
                <w:szCs w:val="8"/>
                <w:color w:val="242424"/>
              </w:rPr>
              <w:t>(3)</w:t>
            </w:r>
          </w:p>
        </w:tc>
        <w:tc>
          <w:tcPr>
            <w:tcW w:w="1260" w:type="dxa"/>
            <w:vAlign w:val="bottom"/>
          </w:tcPr>
          <w:p>
            <w:pPr>
              <w:jc w:val="right"/>
              <w:spacing w:after="0"/>
              <w:rPr>
                <w:sz w:val="20"/>
                <w:szCs w:val="20"/>
                <w:color w:val="auto"/>
              </w:rPr>
            </w:pPr>
            <w:r>
              <w:rPr>
                <w:rFonts w:ascii="Arial" w:cs="Arial" w:eastAsia="Arial" w:hAnsi="Arial"/>
                <w:sz w:val="16"/>
                <w:szCs w:val="16"/>
                <w:color w:val="242424"/>
              </w:rPr>
              <w:t>62,960,969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146050</wp:posOffset>
            </wp:positionV>
            <wp:extent cx="1993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81" w:lineRule="exact"/>
        <w:rPr>
          <w:sz w:val="20"/>
          <w:szCs w:val="20"/>
          <w:color w:val="auto"/>
        </w:rPr>
      </w:pPr>
    </w:p>
    <w:p>
      <w:pPr>
        <w:ind w:left="500" w:hanging="335"/>
        <w:spacing w:after="0"/>
        <w:tabs>
          <w:tab w:leader="none" w:pos="500" w:val="left"/>
        </w:tabs>
        <w:numPr>
          <w:ilvl w:val="0"/>
          <w:numId w:val="83"/>
        </w:numPr>
        <w:rPr>
          <w:rFonts w:ascii="Arial" w:cs="Arial" w:eastAsia="Arial" w:hAnsi="Arial"/>
          <w:sz w:val="14"/>
          <w:szCs w:val="14"/>
          <w:color w:val="242424"/>
        </w:rPr>
      </w:pPr>
      <w:r>
        <w:rPr>
          <w:rFonts w:ascii="Arial" w:cs="Arial" w:eastAsia="Arial" w:hAnsi="Arial"/>
          <w:sz w:val="14"/>
          <w:szCs w:val="14"/>
          <w:color w:val="242424"/>
        </w:rPr>
        <w:t>Represents the cost of our subsidized continued healthcare benefits based on our current costs to provide such coverage.</w:t>
      </w:r>
    </w:p>
    <w:p>
      <w:pPr>
        <w:spacing w:after="0" w:line="51" w:lineRule="exact"/>
        <w:rPr>
          <w:rFonts w:ascii="Arial" w:cs="Arial" w:eastAsia="Arial" w:hAnsi="Arial"/>
          <w:sz w:val="14"/>
          <w:szCs w:val="14"/>
          <w:color w:val="242424"/>
        </w:rPr>
      </w:pPr>
    </w:p>
    <w:p>
      <w:pPr>
        <w:ind w:left="480" w:right="60" w:hanging="315"/>
        <w:spacing w:after="0" w:line="243" w:lineRule="auto"/>
        <w:tabs>
          <w:tab w:leader="none" w:pos="489" w:val="left"/>
        </w:tabs>
        <w:numPr>
          <w:ilvl w:val="0"/>
          <w:numId w:val="83"/>
        </w:numPr>
        <w:rPr>
          <w:rFonts w:ascii="Arial" w:cs="Arial" w:eastAsia="Arial" w:hAnsi="Arial"/>
          <w:sz w:val="14"/>
          <w:szCs w:val="14"/>
          <w:color w:val="242424"/>
        </w:rPr>
      </w:pPr>
      <w:r>
        <w:rPr>
          <w:rFonts w:ascii="Arial" w:cs="Arial" w:eastAsia="Arial" w:hAnsi="Arial"/>
          <w:sz w:val="14"/>
          <w:szCs w:val="14"/>
          <w:color w:val="242424"/>
        </w:rPr>
        <w:t>This amount includes the number of shares subject to the Tan Fiscal Year 2021 PSU Award for which the performance goals have been deemed satisfied based on Broadcom’s actual performance immediately prior to October 31, 2021, multiplied by $531.67, the closing price per share of Broadcom common stock on October 29, 2021, the last trading day of Fiscal Year 2021.</w:t>
      </w:r>
    </w:p>
    <w:p>
      <w:pPr>
        <w:spacing w:after="0" w:line="40" w:lineRule="exact"/>
        <w:rPr>
          <w:rFonts w:ascii="Arial" w:cs="Arial" w:eastAsia="Arial" w:hAnsi="Arial"/>
          <w:sz w:val="14"/>
          <w:szCs w:val="14"/>
          <w:color w:val="242424"/>
        </w:rPr>
      </w:pPr>
    </w:p>
    <w:p>
      <w:pPr>
        <w:ind w:left="480" w:right="240" w:hanging="315"/>
        <w:spacing w:after="0" w:line="243" w:lineRule="auto"/>
        <w:tabs>
          <w:tab w:leader="none" w:pos="489" w:val="left"/>
        </w:tabs>
        <w:numPr>
          <w:ilvl w:val="0"/>
          <w:numId w:val="83"/>
        </w:numPr>
        <w:rPr>
          <w:rFonts w:ascii="Arial" w:cs="Arial" w:eastAsia="Arial" w:hAnsi="Arial"/>
          <w:sz w:val="14"/>
          <w:szCs w:val="14"/>
          <w:color w:val="242424"/>
        </w:rPr>
      </w:pPr>
      <w:r>
        <w:rPr>
          <w:rFonts w:ascii="Arial" w:cs="Arial" w:eastAsia="Arial" w:hAnsi="Arial"/>
          <w:sz w:val="14"/>
          <w:szCs w:val="14"/>
          <w:color w:val="242424"/>
        </w:rPr>
        <w:t>This amount includes the number of shares subject to (a) service-based RSU awards; and (b) PSU awards for which the performance goals have been deemed satisfied based on Broadcom’s actual performance immediately prior to October 31, 2021, in each case multiplied by $531.67, the closing price per share of Broadcom common stock on October 29, 2021.</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Potential Payments and Benefits upon Certain Terminations of Employment</w:t>
      </w:r>
    </w:p>
    <w:p>
      <w:pPr>
        <w:spacing w:after="0" w:line="188" w:lineRule="exact"/>
        <w:rPr>
          <w:sz w:val="20"/>
          <w:szCs w:val="20"/>
          <w:color w:val="auto"/>
        </w:rPr>
      </w:pPr>
    </w:p>
    <w:p>
      <w:pPr>
        <w:spacing w:after="0" w:line="247" w:lineRule="auto"/>
        <w:rPr>
          <w:sz w:val="20"/>
          <w:szCs w:val="20"/>
          <w:color w:val="auto"/>
        </w:rPr>
      </w:pPr>
      <w:r>
        <w:rPr>
          <w:rFonts w:ascii="Arial" w:cs="Arial" w:eastAsia="Arial" w:hAnsi="Arial"/>
          <w:sz w:val="18"/>
          <w:szCs w:val="18"/>
          <w:color w:val="242424"/>
        </w:rPr>
        <w:t>The following table reflects the potential payments and benefits to which our NEOs would be entitled under their severance benefits agreements in effect as of the end of Fiscal Year 2021, in the event of a Covered Termination taking place not in connection with a change in control of Broadcom. The amounts presented in the table assume an employment termination date of October 31, 2021 and that all eligibility requirements contemplated by the NEO’s respective agreements and our policies and practices, as applicable, were met.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0" w:type="dxa"/>
            <w:vAlign w:val="bottom"/>
            <w:tcBorders>
              <w:top w:val="single" w:sz="8" w:color="CC092F"/>
            </w:tcBorders>
            <w:shd w:val="clear" w:color="auto" w:fill="B8B8B8"/>
          </w:tcPr>
          <w:p>
            <w:pPr>
              <w:spacing w:after="0"/>
              <w:rPr>
                <w:sz w:val="19"/>
                <w:szCs w:val="19"/>
                <w:color w:val="auto"/>
              </w:rPr>
            </w:pPr>
          </w:p>
        </w:tc>
        <w:tc>
          <w:tcPr>
            <w:tcW w:w="2020" w:type="dxa"/>
            <w:vAlign w:val="bottom"/>
            <w:tcBorders>
              <w:top w:val="single" w:sz="8" w:color="CC092F"/>
            </w:tcBorders>
            <w:vMerge w:val="restart"/>
            <w:shd w:val="clear" w:color="auto" w:fill="B8B8B8"/>
          </w:tcPr>
          <w:p>
            <w:pPr>
              <w:jc w:val="center"/>
              <w:ind w:left="241"/>
              <w:spacing w:after="0"/>
              <w:rPr>
                <w:sz w:val="20"/>
                <w:szCs w:val="20"/>
                <w:color w:val="auto"/>
              </w:rPr>
            </w:pPr>
            <w:r>
              <w:rPr>
                <w:rFonts w:ascii="Arial" w:cs="Arial" w:eastAsia="Arial" w:hAnsi="Arial"/>
                <w:sz w:val="16"/>
                <w:szCs w:val="16"/>
                <w:b w:val="1"/>
                <w:bCs w:val="1"/>
                <w:color w:val="FFFFFF"/>
                <w:w w:val="98"/>
              </w:rPr>
              <w:t>Cash Severance</w:t>
            </w:r>
          </w:p>
        </w:tc>
        <w:tc>
          <w:tcPr>
            <w:tcW w:w="1700" w:type="dxa"/>
            <w:vAlign w:val="bottom"/>
            <w:tcBorders>
              <w:top w:val="single" w:sz="8" w:color="CC092F"/>
            </w:tcBorders>
            <w:vMerge w:val="restart"/>
            <w:shd w:val="clear" w:color="auto" w:fill="B8B8B8"/>
          </w:tcPr>
          <w:p>
            <w:pPr>
              <w:jc w:val="center"/>
              <w:spacing w:after="0"/>
              <w:rPr>
                <w:sz w:val="20"/>
                <w:szCs w:val="20"/>
                <w:color w:val="auto"/>
              </w:rPr>
            </w:pPr>
            <w:r>
              <w:rPr>
                <w:rFonts w:ascii="Arial" w:cs="Arial" w:eastAsia="Arial" w:hAnsi="Arial"/>
                <w:sz w:val="16"/>
                <w:szCs w:val="16"/>
                <w:b w:val="1"/>
                <w:bCs w:val="1"/>
                <w:color w:val="FFFFFF"/>
                <w:w w:val="98"/>
              </w:rPr>
              <w:t>Cash Severance</w:t>
            </w:r>
          </w:p>
        </w:tc>
        <w:tc>
          <w:tcPr>
            <w:tcW w:w="1580" w:type="dxa"/>
            <w:vAlign w:val="bottom"/>
            <w:tcBorders>
              <w:top w:val="single" w:sz="8" w:color="CC092F"/>
            </w:tcBorders>
            <w:shd w:val="clear" w:color="auto" w:fill="B8B8B8"/>
          </w:tcPr>
          <w:p>
            <w:pPr>
              <w:jc w:val="center"/>
              <w:spacing w:after="0"/>
              <w:rPr>
                <w:sz w:val="20"/>
                <w:szCs w:val="20"/>
                <w:color w:val="auto"/>
              </w:rPr>
            </w:pPr>
            <w:r>
              <w:rPr>
                <w:rFonts w:ascii="Arial" w:cs="Arial" w:eastAsia="Arial" w:hAnsi="Arial"/>
                <w:sz w:val="16"/>
                <w:szCs w:val="16"/>
                <w:b w:val="1"/>
                <w:bCs w:val="1"/>
                <w:color w:val="FFFFFF"/>
                <w:w w:val="97"/>
              </w:rPr>
              <w:t>Health Benefits</w:t>
            </w:r>
          </w:p>
        </w:tc>
        <w:tc>
          <w:tcPr>
            <w:tcW w:w="2060" w:type="dxa"/>
            <w:vAlign w:val="bottom"/>
            <w:tcBorders>
              <w:top w:val="single" w:sz="8" w:color="CC092F"/>
            </w:tcBorders>
            <w:shd w:val="clear" w:color="auto" w:fill="B8B8B8"/>
          </w:tcPr>
          <w:p>
            <w:pPr>
              <w:jc w:val="center"/>
              <w:ind w:right="24"/>
              <w:spacing w:after="0"/>
              <w:rPr>
                <w:sz w:val="20"/>
                <w:szCs w:val="20"/>
                <w:color w:val="auto"/>
              </w:rPr>
            </w:pPr>
            <w:r>
              <w:rPr>
                <w:rFonts w:ascii="Arial" w:cs="Arial" w:eastAsia="Arial" w:hAnsi="Arial"/>
                <w:sz w:val="16"/>
                <w:szCs w:val="16"/>
                <w:b w:val="1"/>
                <w:bCs w:val="1"/>
                <w:color w:val="FFFFFF"/>
                <w:w w:val="98"/>
              </w:rPr>
              <w:t>Cash Payments in</w:t>
            </w:r>
          </w:p>
        </w:tc>
        <w:tc>
          <w:tcPr>
            <w:tcW w:w="1240" w:type="dxa"/>
            <w:vAlign w:val="bottom"/>
            <w:tcBorders>
              <w:top w:val="single" w:sz="8" w:color="CC092F"/>
            </w:tcBorders>
            <w:shd w:val="clear" w:color="auto" w:fill="B8B8B8"/>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400" w:type="dxa"/>
            <w:vAlign w:val="bottom"/>
            <w:shd w:val="clear" w:color="auto" w:fill="B8B8B8"/>
          </w:tcPr>
          <w:p>
            <w:pPr>
              <w:spacing w:after="0"/>
              <w:rPr>
                <w:sz w:val="13"/>
                <w:szCs w:val="13"/>
                <w:color w:val="auto"/>
              </w:rPr>
            </w:pPr>
          </w:p>
        </w:tc>
        <w:tc>
          <w:tcPr>
            <w:tcW w:w="2020" w:type="dxa"/>
            <w:vAlign w:val="bottom"/>
            <w:vMerge w:val="continue"/>
            <w:shd w:val="clear" w:color="auto" w:fill="B8B8B8"/>
          </w:tcPr>
          <w:p>
            <w:pPr>
              <w:spacing w:after="0"/>
              <w:rPr>
                <w:sz w:val="13"/>
                <w:szCs w:val="13"/>
                <w:color w:val="auto"/>
              </w:rPr>
            </w:pPr>
          </w:p>
        </w:tc>
        <w:tc>
          <w:tcPr>
            <w:tcW w:w="1700" w:type="dxa"/>
            <w:vAlign w:val="bottom"/>
            <w:vMerge w:val="continue"/>
            <w:shd w:val="clear" w:color="auto" w:fill="B8B8B8"/>
          </w:tcPr>
          <w:p>
            <w:pPr>
              <w:spacing w:after="0"/>
              <w:rPr>
                <w:sz w:val="13"/>
                <w:szCs w:val="13"/>
                <w:color w:val="auto"/>
              </w:rPr>
            </w:pPr>
          </w:p>
        </w:tc>
        <w:tc>
          <w:tcPr>
            <w:tcW w:w="158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w w:val="99"/>
              </w:rPr>
              <w:t>Continuation</w:t>
            </w:r>
          </w:p>
        </w:tc>
        <w:tc>
          <w:tcPr>
            <w:tcW w:w="2060" w:type="dxa"/>
            <w:vAlign w:val="bottom"/>
            <w:shd w:val="clear" w:color="auto" w:fill="B8B8B8"/>
          </w:tcPr>
          <w:p>
            <w:pPr>
              <w:jc w:val="center"/>
              <w:ind w:right="44"/>
              <w:spacing w:after="0" w:line="159" w:lineRule="exact"/>
              <w:rPr>
                <w:sz w:val="20"/>
                <w:szCs w:val="20"/>
                <w:color w:val="auto"/>
              </w:rPr>
            </w:pPr>
            <w:r>
              <w:rPr>
                <w:rFonts w:ascii="Arial" w:cs="Arial" w:eastAsia="Arial" w:hAnsi="Arial"/>
                <w:sz w:val="16"/>
                <w:szCs w:val="16"/>
                <w:b w:val="1"/>
                <w:bCs w:val="1"/>
                <w:color w:val="FFFFFF"/>
                <w:w w:val="99"/>
              </w:rPr>
              <w:t>Exchange for Equity</w:t>
            </w:r>
          </w:p>
        </w:tc>
        <w:tc>
          <w:tcPr>
            <w:tcW w:w="1240" w:type="dxa"/>
            <w:vAlign w:val="bottom"/>
            <w:vMerge w:val="restart"/>
            <w:shd w:val="clear" w:color="auto" w:fill="B8B8B8"/>
          </w:tcPr>
          <w:p>
            <w:pPr>
              <w:jc w:val="right"/>
              <w:ind w:right="461"/>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59"/>
        </w:trPr>
        <w:tc>
          <w:tcPr>
            <w:tcW w:w="2400" w:type="dxa"/>
            <w:vAlign w:val="bottom"/>
            <w:shd w:val="clear" w:color="auto" w:fill="B8B8B8"/>
          </w:tcPr>
          <w:p>
            <w:pPr>
              <w:spacing w:after="0"/>
              <w:rPr>
                <w:sz w:val="13"/>
                <w:szCs w:val="13"/>
                <w:color w:val="auto"/>
              </w:rPr>
            </w:pPr>
          </w:p>
        </w:tc>
        <w:tc>
          <w:tcPr>
            <w:tcW w:w="2020" w:type="dxa"/>
            <w:vAlign w:val="bottom"/>
            <w:shd w:val="clear" w:color="auto" w:fill="B8B8B8"/>
          </w:tcPr>
          <w:p>
            <w:pPr>
              <w:jc w:val="center"/>
              <w:ind w:left="201"/>
              <w:spacing w:after="0" w:line="159" w:lineRule="exact"/>
              <w:rPr>
                <w:sz w:val="20"/>
                <w:szCs w:val="20"/>
                <w:color w:val="auto"/>
              </w:rPr>
            </w:pPr>
            <w:r>
              <w:rPr>
                <w:rFonts w:ascii="Arial" w:cs="Arial" w:eastAsia="Arial" w:hAnsi="Arial"/>
                <w:sz w:val="16"/>
                <w:szCs w:val="16"/>
                <w:b w:val="1"/>
                <w:bCs w:val="1"/>
                <w:color w:val="FFFFFF"/>
                <w:w w:val="99"/>
              </w:rPr>
              <w:t>Base Salary</w:t>
            </w:r>
          </w:p>
        </w:tc>
        <w:tc>
          <w:tcPr>
            <w:tcW w:w="170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rPr>
              <w:t>Bonus</w:t>
            </w:r>
          </w:p>
        </w:tc>
        <w:tc>
          <w:tcPr>
            <w:tcW w:w="158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w w:val="98"/>
              </w:rPr>
              <w:t>Coverage</w:t>
            </w:r>
          </w:p>
        </w:tc>
        <w:tc>
          <w:tcPr>
            <w:tcW w:w="2060" w:type="dxa"/>
            <w:vAlign w:val="bottom"/>
            <w:shd w:val="clear" w:color="auto" w:fill="B8B8B8"/>
          </w:tcPr>
          <w:p>
            <w:pPr>
              <w:jc w:val="center"/>
              <w:ind w:right="24"/>
              <w:spacing w:after="0" w:line="159" w:lineRule="exact"/>
              <w:rPr>
                <w:sz w:val="20"/>
                <w:szCs w:val="20"/>
                <w:color w:val="auto"/>
              </w:rPr>
            </w:pPr>
            <w:r>
              <w:rPr>
                <w:rFonts w:ascii="Arial" w:cs="Arial" w:eastAsia="Arial" w:hAnsi="Arial"/>
                <w:sz w:val="16"/>
                <w:szCs w:val="16"/>
                <w:b w:val="1"/>
                <w:bCs w:val="1"/>
                <w:color w:val="FFFFFF"/>
              </w:rPr>
              <w:t>Cancellation</w:t>
            </w:r>
          </w:p>
        </w:tc>
        <w:tc>
          <w:tcPr>
            <w:tcW w:w="1240" w:type="dxa"/>
            <w:vAlign w:val="bottom"/>
            <w:vMerge w:val="continue"/>
            <w:shd w:val="clear" w:color="auto" w:fill="B8B8B8"/>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400" w:type="dxa"/>
            <w:vAlign w:val="bottom"/>
            <w:tcBorders>
              <w:bottom w:val="single" w:sz="8" w:color="CC092F"/>
            </w:tcBorders>
            <w:shd w:val="clear" w:color="auto" w:fill="B8B8B8"/>
          </w:tcPr>
          <w:p>
            <w:pPr>
              <w:ind w:left="20"/>
              <w:spacing w:after="0"/>
              <w:rPr>
                <w:sz w:val="20"/>
                <w:szCs w:val="20"/>
                <w:color w:val="auto"/>
              </w:rPr>
            </w:pPr>
            <w:r>
              <w:rPr>
                <w:rFonts w:ascii="Arial" w:cs="Arial" w:eastAsia="Arial" w:hAnsi="Arial"/>
                <w:sz w:val="16"/>
                <w:szCs w:val="16"/>
                <w:color w:val="FFFFFF"/>
              </w:rPr>
              <w:t>Name</w:t>
            </w:r>
          </w:p>
        </w:tc>
        <w:tc>
          <w:tcPr>
            <w:tcW w:w="2020" w:type="dxa"/>
            <w:vAlign w:val="bottom"/>
            <w:tcBorders>
              <w:bottom w:val="single" w:sz="8" w:color="CC092F"/>
            </w:tcBorders>
            <w:shd w:val="clear" w:color="auto" w:fill="B8B8B8"/>
          </w:tcPr>
          <w:p>
            <w:pPr>
              <w:jc w:val="center"/>
              <w:ind w:left="241"/>
              <w:spacing w:after="0"/>
              <w:rPr>
                <w:sz w:val="20"/>
                <w:szCs w:val="20"/>
                <w:color w:val="auto"/>
              </w:rPr>
            </w:pPr>
            <w:r>
              <w:rPr>
                <w:rFonts w:ascii="Arial" w:cs="Arial" w:eastAsia="Arial" w:hAnsi="Arial"/>
                <w:sz w:val="16"/>
                <w:szCs w:val="16"/>
                <w:b w:val="1"/>
                <w:bCs w:val="1"/>
                <w:color w:val="FFFFFF"/>
                <w:w w:val="91"/>
              </w:rPr>
              <w:t>($)</w:t>
            </w:r>
          </w:p>
        </w:tc>
        <w:tc>
          <w:tcPr>
            <w:tcW w:w="170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6"/>
                <w:szCs w:val="16"/>
                <w:b w:val="1"/>
                <w:bCs w:val="1"/>
                <w:color w:val="FFFFFF"/>
              </w:rPr>
              <w:t>($)</w:t>
            </w:r>
          </w:p>
        </w:tc>
        <w:tc>
          <w:tcPr>
            <w:tcW w:w="158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8"/>
                <w:szCs w:val="8"/>
                <w:b w:val="1"/>
                <w:bCs w:val="1"/>
                <w:color w:val="FFFFFF"/>
              </w:rPr>
              <w:t>(1)</w:t>
            </w:r>
          </w:p>
        </w:tc>
        <w:tc>
          <w:tcPr>
            <w:tcW w:w="2060" w:type="dxa"/>
            <w:vAlign w:val="bottom"/>
            <w:tcBorders>
              <w:bottom w:val="single" w:sz="8" w:color="CC092F"/>
            </w:tcBorders>
            <w:shd w:val="clear" w:color="auto" w:fill="B8B8B8"/>
          </w:tcPr>
          <w:p>
            <w:pPr>
              <w:jc w:val="center"/>
              <w:ind w:right="24"/>
              <w:spacing w:after="0" w:line="212"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(2)</w:t>
            </w:r>
          </w:p>
        </w:tc>
        <w:tc>
          <w:tcPr>
            <w:tcW w:w="1240" w:type="dxa"/>
            <w:vAlign w:val="bottom"/>
            <w:tcBorders>
              <w:bottom w:val="single" w:sz="8" w:color="CC092F"/>
            </w:tcBorders>
            <w:shd w:val="clear" w:color="auto" w:fill="B8B8B8"/>
          </w:tcPr>
          <w:p>
            <w:pPr>
              <w:jc w:val="right"/>
              <w:ind w:right="521"/>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242424"/>
              </w:rPr>
              <w:t>Hock E. Tan</w:t>
            </w:r>
          </w:p>
        </w:tc>
        <w:tc>
          <w:tcPr>
            <w:tcW w:w="2020" w:type="dxa"/>
            <w:vAlign w:val="bottom"/>
          </w:tcPr>
          <w:p>
            <w:pPr>
              <w:jc w:val="right"/>
              <w:ind w:right="581"/>
              <w:spacing w:after="0"/>
              <w:rPr>
                <w:sz w:val="20"/>
                <w:szCs w:val="20"/>
                <w:color w:val="auto"/>
              </w:rPr>
            </w:pPr>
            <w:r>
              <w:rPr>
                <w:rFonts w:ascii="Arial" w:cs="Arial" w:eastAsia="Arial" w:hAnsi="Arial"/>
                <w:sz w:val="16"/>
                <w:szCs w:val="16"/>
                <w:color w:val="242424"/>
              </w:rPr>
              <w:t>1,200,000</w:t>
            </w:r>
          </w:p>
        </w:tc>
        <w:tc>
          <w:tcPr>
            <w:tcW w:w="1700" w:type="dxa"/>
            <w:vAlign w:val="bottom"/>
          </w:tcPr>
          <w:p>
            <w:pPr>
              <w:jc w:val="right"/>
              <w:ind w:right="661"/>
              <w:spacing w:after="0"/>
              <w:rPr>
                <w:sz w:val="20"/>
                <w:szCs w:val="20"/>
                <w:color w:val="auto"/>
              </w:rPr>
            </w:pPr>
            <w:r>
              <w:rPr>
                <w:rFonts w:ascii="Arial" w:cs="Arial" w:eastAsia="Arial" w:hAnsi="Arial"/>
                <w:sz w:val="16"/>
                <w:szCs w:val="16"/>
                <w:color w:val="242424"/>
              </w:rPr>
              <w:t>2,400,000</w:t>
            </w:r>
          </w:p>
        </w:tc>
        <w:tc>
          <w:tcPr>
            <w:tcW w:w="1580" w:type="dxa"/>
            <w:vAlign w:val="bottom"/>
          </w:tcPr>
          <w:p>
            <w:pPr>
              <w:jc w:val="center"/>
              <w:spacing w:after="0"/>
              <w:rPr>
                <w:sz w:val="20"/>
                <w:szCs w:val="20"/>
                <w:color w:val="auto"/>
              </w:rPr>
            </w:pPr>
            <w:r>
              <w:rPr>
                <w:rFonts w:ascii="Arial" w:cs="Arial" w:eastAsia="Arial" w:hAnsi="Arial"/>
                <w:sz w:val="16"/>
                <w:szCs w:val="16"/>
                <w:color w:val="242424"/>
                <w:w w:val="99"/>
              </w:rPr>
              <w:t>—</w:t>
            </w:r>
          </w:p>
        </w:tc>
        <w:tc>
          <w:tcPr>
            <w:tcW w:w="2060" w:type="dxa"/>
            <w:vAlign w:val="bottom"/>
          </w:tcPr>
          <w:p>
            <w:pPr>
              <w:ind w:left="1100"/>
              <w:spacing w:after="0"/>
              <w:rPr>
                <w:sz w:val="20"/>
                <w:szCs w:val="20"/>
                <w:color w:val="auto"/>
              </w:rPr>
            </w:pPr>
            <w:r>
              <w:rPr>
                <w:rFonts w:ascii="Arial" w:cs="Arial" w:eastAsia="Arial" w:hAnsi="Arial"/>
                <w:sz w:val="16"/>
                <w:szCs w:val="16"/>
                <w:color w:val="242424"/>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242424"/>
              </w:rPr>
              <w:t>3,600,000</w:t>
            </w:r>
          </w:p>
        </w:tc>
        <w:tc>
          <w:tcPr>
            <w:tcW w:w="0" w:type="dxa"/>
            <w:vAlign w:val="bottom"/>
          </w:tcPr>
          <w:p>
            <w:pPr>
              <w:spacing w:after="0"/>
              <w:rPr>
                <w:sz w:val="1"/>
                <w:szCs w:val="1"/>
                <w:color w:val="auto"/>
              </w:rPr>
            </w:pPr>
          </w:p>
        </w:tc>
      </w:tr>
      <w:tr>
        <w:trPr>
          <w:trHeight w:val="215"/>
        </w:trPr>
        <w:tc>
          <w:tcPr>
            <w:tcW w:w="240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Kirsten M. Spears</w:t>
            </w:r>
          </w:p>
        </w:tc>
        <w:tc>
          <w:tcPr>
            <w:tcW w:w="2020" w:type="dxa"/>
            <w:vAlign w:val="bottom"/>
            <w:shd w:val="clear" w:color="auto" w:fill="EAEAEA"/>
          </w:tcPr>
          <w:p>
            <w:pPr>
              <w:jc w:val="right"/>
              <w:ind w:right="581"/>
              <w:spacing w:after="0"/>
              <w:rPr>
                <w:sz w:val="20"/>
                <w:szCs w:val="20"/>
                <w:color w:val="auto"/>
              </w:rPr>
            </w:pPr>
            <w:r>
              <w:rPr>
                <w:rFonts w:ascii="Arial" w:cs="Arial" w:eastAsia="Arial" w:hAnsi="Arial"/>
                <w:sz w:val="16"/>
                <w:szCs w:val="16"/>
                <w:color w:val="242424"/>
              </w:rPr>
              <w:t>300,000</w:t>
            </w:r>
          </w:p>
        </w:tc>
        <w:tc>
          <w:tcPr>
            <w:tcW w:w="1700" w:type="dxa"/>
            <w:vAlign w:val="bottom"/>
            <w:shd w:val="clear" w:color="auto" w:fill="EAEAEA"/>
          </w:tcPr>
          <w:p>
            <w:pPr>
              <w:jc w:val="right"/>
              <w:ind w:right="681"/>
              <w:spacing w:after="0"/>
              <w:rPr>
                <w:sz w:val="20"/>
                <w:szCs w:val="20"/>
                <w:color w:val="auto"/>
              </w:rPr>
            </w:pPr>
            <w:r>
              <w:rPr>
                <w:rFonts w:ascii="Arial" w:cs="Arial" w:eastAsia="Arial" w:hAnsi="Arial"/>
                <w:sz w:val="16"/>
                <w:szCs w:val="16"/>
                <w:color w:val="242424"/>
              </w:rPr>
              <w:t>83,241</w:t>
            </w:r>
          </w:p>
        </w:tc>
        <w:tc>
          <w:tcPr>
            <w:tcW w:w="1580" w:type="dxa"/>
            <w:vAlign w:val="bottom"/>
            <w:shd w:val="clear" w:color="auto" w:fill="EAEAEA"/>
          </w:tcPr>
          <w:p>
            <w:pPr>
              <w:jc w:val="center"/>
              <w:spacing w:after="0"/>
              <w:rPr>
                <w:sz w:val="20"/>
                <w:szCs w:val="20"/>
                <w:color w:val="auto"/>
              </w:rPr>
            </w:pPr>
            <w:r>
              <w:rPr>
                <w:rFonts w:ascii="Arial" w:cs="Arial" w:eastAsia="Arial" w:hAnsi="Arial"/>
                <w:sz w:val="16"/>
                <w:szCs w:val="16"/>
                <w:color w:val="242424"/>
              </w:rPr>
              <w:t>11,900</w:t>
            </w:r>
          </w:p>
        </w:tc>
        <w:tc>
          <w:tcPr>
            <w:tcW w:w="2060" w:type="dxa"/>
            <w:vAlign w:val="bottom"/>
            <w:shd w:val="clear" w:color="auto" w:fill="EAEAEA"/>
          </w:tcPr>
          <w:p>
            <w:pPr>
              <w:ind w:left="1100"/>
              <w:spacing w:after="0"/>
              <w:rPr>
                <w:sz w:val="20"/>
                <w:szCs w:val="20"/>
                <w:color w:val="auto"/>
              </w:rPr>
            </w:pPr>
            <w:r>
              <w:rPr>
                <w:rFonts w:ascii="Arial" w:cs="Arial" w:eastAsia="Arial" w:hAnsi="Arial"/>
                <w:sz w:val="16"/>
                <w:szCs w:val="16"/>
                <w:color w:val="242424"/>
              </w:rPr>
              <w:t>—</w:t>
            </w:r>
          </w:p>
        </w:tc>
        <w:tc>
          <w:tcPr>
            <w:tcW w:w="1240" w:type="dxa"/>
            <w:vAlign w:val="bottom"/>
            <w:shd w:val="clear" w:color="auto" w:fill="EAEAEA"/>
          </w:tcPr>
          <w:p>
            <w:pPr>
              <w:jc w:val="right"/>
              <w:ind w:right="61"/>
              <w:spacing w:after="0"/>
              <w:rPr>
                <w:sz w:val="20"/>
                <w:szCs w:val="20"/>
                <w:color w:val="auto"/>
              </w:rPr>
            </w:pPr>
            <w:r>
              <w:rPr>
                <w:rFonts w:ascii="Arial" w:cs="Arial" w:eastAsia="Arial" w:hAnsi="Arial"/>
                <w:sz w:val="16"/>
                <w:szCs w:val="16"/>
                <w:color w:val="242424"/>
              </w:rPr>
              <w:t>395,141</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242424"/>
              </w:rPr>
              <w:t>Mark D. Brazeal</w:t>
            </w:r>
          </w:p>
        </w:tc>
        <w:tc>
          <w:tcPr>
            <w:tcW w:w="2020" w:type="dxa"/>
            <w:vAlign w:val="bottom"/>
          </w:tcPr>
          <w:p>
            <w:pPr>
              <w:jc w:val="right"/>
              <w:ind w:right="581"/>
              <w:spacing w:after="0"/>
              <w:rPr>
                <w:sz w:val="20"/>
                <w:szCs w:val="20"/>
                <w:color w:val="auto"/>
              </w:rPr>
            </w:pPr>
            <w:r>
              <w:rPr>
                <w:rFonts w:ascii="Arial" w:cs="Arial" w:eastAsia="Arial" w:hAnsi="Arial"/>
                <w:sz w:val="16"/>
                <w:szCs w:val="16"/>
                <w:color w:val="242424"/>
              </w:rPr>
              <w:t>375,000</w:t>
            </w:r>
          </w:p>
        </w:tc>
        <w:tc>
          <w:tcPr>
            <w:tcW w:w="1700" w:type="dxa"/>
            <w:vAlign w:val="bottom"/>
          </w:tcPr>
          <w:p>
            <w:pPr>
              <w:jc w:val="right"/>
              <w:ind w:right="661"/>
              <w:spacing w:after="0"/>
              <w:rPr>
                <w:sz w:val="20"/>
                <w:szCs w:val="20"/>
                <w:color w:val="auto"/>
              </w:rPr>
            </w:pPr>
            <w:r>
              <w:rPr>
                <w:rFonts w:ascii="Arial" w:cs="Arial" w:eastAsia="Arial" w:hAnsi="Arial"/>
                <w:sz w:val="16"/>
                <w:szCs w:val="16"/>
                <w:color w:val="242424"/>
              </w:rPr>
              <w:t>250,000</w:t>
            </w:r>
          </w:p>
        </w:tc>
        <w:tc>
          <w:tcPr>
            <w:tcW w:w="1580" w:type="dxa"/>
            <w:vAlign w:val="bottom"/>
          </w:tcPr>
          <w:p>
            <w:pPr>
              <w:jc w:val="center"/>
              <w:spacing w:after="0"/>
              <w:rPr>
                <w:sz w:val="20"/>
                <w:szCs w:val="20"/>
                <w:color w:val="auto"/>
              </w:rPr>
            </w:pPr>
            <w:r>
              <w:rPr>
                <w:rFonts w:ascii="Arial" w:cs="Arial" w:eastAsia="Arial" w:hAnsi="Arial"/>
                <w:sz w:val="16"/>
                <w:szCs w:val="16"/>
                <w:color w:val="242424"/>
              </w:rPr>
              <w:t>11,643</w:t>
            </w:r>
          </w:p>
        </w:tc>
        <w:tc>
          <w:tcPr>
            <w:tcW w:w="2060" w:type="dxa"/>
            <w:vAlign w:val="bottom"/>
          </w:tcPr>
          <w:p>
            <w:pPr>
              <w:ind w:left="1100"/>
              <w:spacing w:after="0"/>
              <w:rPr>
                <w:sz w:val="20"/>
                <w:szCs w:val="20"/>
                <w:color w:val="auto"/>
              </w:rPr>
            </w:pPr>
            <w:r>
              <w:rPr>
                <w:rFonts w:ascii="Arial" w:cs="Arial" w:eastAsia="Arial" w:hAnsi="Arial"/>
                <w:sz w:val="16"/>
                <w:szCs w:val="16"/>
                <w:color w:val="242424"/>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242424"/>
              </w:rPr>
              <w:t>636,643</w:t>
            </w:r>
          </w:p>
        </w:tc>
        <w:tc>
          <w:tcPr>
            <w:tcW w:w="0" w:type="dxa"/>
            <w:vAlign w:val="bottom"/>
          </w:tcPr>
          <w:p>
            <w:pPr>
              <w:spacing w:after="0"/>
              <w:rPr>
                <w:sz w:val="1"/>
                <w:szCs w:val="1"/>
                <w:color w:val="auto"/>
              </w:rPr>
            </w:pPr>
          </w:p>
        </w:tc>
      </w:tr>
      <w:tr>
        <w:trPr>
          <w:trHeight w:val="228"/>
        </w:trPr>
        <w:tc>
          <w:tcPr>
            <w:tcW w:w="240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Charlie B. Kawwas, Ph.D.</w:t>
            </w:r>
          </w:p>
        </w:tc>
        <w:tc>
          <w:tcPr>
            <w:tcW w:w="2020" w:type="dxa"/>
            <w:vAlign w:val="bottom"/>
            <w:shd w:val="clear" w:color="auto" w:fill="EAEAEA"/>
          </w:tcPr>
          <w:p>
            <w:pPr>
              <w:jc w:val="right"/>
              <w:ind w:right="581"/>
              <w:spacing w:after="0"/>
              <w:rPr>
                <w:sz w:val="20"/>
                <w:szCs w:val="20"/>
                <w:color w:val="auto"/>
              </w:rPr>
            </w:pPr>
            <w:r>
              <w:rPr>
                <w:rFonts w:ascii="Arial" w:cs="Arial" w:eastAsia="Arial" w:hAnsi="Arial"/>
                <w:sz w:val="16"/>
                <w:szCs w:val="16"/>
                <w:color w:val="242424"/>
              </w:rPr>
              <w:t>525,000</w:t>
            </w:r>
          </w:p>
        </w:tc>
        <w:tc>
          <w:tcPr>
            <w:tcW w:w="1700" w:type="dxa"/>
            <w:vAlign w:val="bottom"/>
            <w:shd w:val="clear" w:color="auto" w:fill="EAEAEA"/>
          </w:tcPr>
          <w:p>
            <w:pPr>
              <w:jc w:val="right"/>
              <w:ind w:right="661"/>
              <w:spacing w:after="0"/>
              <w:rPr>
                <w:sz w:val="20"/>
                <w:szCs w:val="20"/>
                <w:color w:val="auto"/>
              </w:rPr>
            </w:pPr>
            <w:r>
              <w:rPr>
                <w:rFonts w:ascii="Arial" w:cs="Arial" w:eastAsia="Arial" w:hAnsi="Arial"/>
                <w:sz w:val="16"/>
                <w:szCs w:val="16"/>
                <w:color w:val="242424"/>
              </w:rPr>
              <w:t>250,000</w:t>
            </w:r>
          </w:p>
        </w:tc>
        <w:tc>
          <w:tcPr>
            <w:tcW w:w="1580" w:type="dxa"/>
            <w:vAlign w:val="bottom"/>
            <w:shd w:val="clear" w:color="auto" w:fill="EAEAEA"/>
          </w:tcPr>
          <w:p>
            <w:pPr>
              <w:jc w:val="center"/>
              <w:spacing w:after="0"/>
              <w:rPr>
                <w:sz w:val="20"/>
                <w:szCs w:val="20"/>
                <w:color w:val="auto"/>
              </w:rPr>
            </w:pPr>
            <w:r>
              <w:rPr>
                <w:rFonts w:ascii="Arial" w:cs="Arial" w:eastAsia="Arial" w:hAnsi="Arial"/>
                <w:sz w:val="16"/>
                <w:szCs w:val="16"/>
                <w:color w:val="242424"/>
              </w:rPr>
              <w:t>11,900</w:t>
            </w:r>
          </w:p>
        </w:tc>
        <w:tc>
          <w:tcPr>
            <w:tcW w:w="2060" w:type="dxa"/>
            <w:vAlign w:val="bottom"/>
            <w:shd w:val="clear" w:color="auto" w:fill="EAEAEA"/>
          </w:tcPr>
          <w:p>
            <w:pPr>
              <w:jc w:val="right"/>
              <w:ind w:right="204"/>
              <w:spacing w:after="0"/>
              <w:rPr>
                <w:sz w:val="20"/>
                <w:szCs w:val="20"/>
                <w:color w:val="auto"/>
              </w:rPr>
            </w:pPr>
            <w:r>
              <w:rPr>
                <w:rFonts w:ascii="Arial" w:cs="Arial" w:eastAsia="Arial" w:hAnsi="Arial"/>
                <w:sz w:val="16"/>
                <w:szCs w:val="16"/>
                <w:color w:val="242424"/>
              </w:rPr>
              <w:t>27,625,573</w:t>
            </w:r>
          </w:p>
        </w:tc>
        <w:tc>
          <w:tcPr>
            <w:tcW w:w="1240" w:type="dxa"/>
            <w:vAlign w:val="bottom"/>
            <w:shd w:val="clear" w:color="auto" w:fill="EAEAEA"/>
          </w:tcPr>
          <w:p>
            <w:pPr>
              <w:jc w:val="right"/>
              <w:ind w:right="61"/>
              <w:spacing w:after="0"/>
              <w:rPr>
                <w:sz w:val="20"/>
                <w:szCs w:val="20"/>
                <w:color w:val="auto"/>
              </w:rPr>
            </w:pPr>
            <w:r>
              <w:rPr>
                <w:rFonts w:ascii="Arial" w:cs="Arial" w:eastAsia="Arial" w:hAnsi="Arial"/>
                <w:sz w:val="16"/>
                <w:szCs w:val="16"/>
                <w:color w:val="242424"/>
              </w:rPr>
              <w:t>28,412,473</w:t>
            </w:r>
          </w:p>
        </w:tc>
        <w:tc>
          <w:tcPr>
            <w:tcW w:w="0" w:type="dxa"/>
            <w:vAlign w:val="bottom"/>
          </w:tcPr>
          <w:p>
            <w:pPr>
              <w:spacing w:after="0"/>
              <w:rPr>
                <w:sz w:val="1"/>
                <w:szCs w:val="1"/>
                <w:color w:val="auto"/>
              </w:rPr>
            </w:pPr>
          </w:p>
        </w:tc>
      </w:tr>
      <w:tr>
        <w:trPr>
          <w:trHeight w:val="220"/>
        </w:trPr>
        <w:tc>
          <w:tcPr>
            <w:tcW w:w="2400" w:type="dxa"/>
            <w:vAlign w:val="bottom"/>
          </w:tcPr>
          <w:p>
            <w:pPr>
              <w:ind w:left="20"/>
              <w:spacing w:after="0"/>
              <w:rPr>
                <w:sz w:val="20"/>
                <w:szCs w:val="20"/>
                <w:color w:val="auto"/>
              </w:rPr>
            </w:pPr>
            <w:r>
              <w:rPr>
                <w:rFonts w:ascii="Arial" w:cs="Arial" w:eastAsia="Arial" w:hAnsi="Arial"/>
                <w:sz w:val="16"/>
                <w:szCs w:val="16"/>
                <w:color w:val="242424"/>
              </w:rPr>
              <w:t>Thomas H. Krause, Jr.</w:t>
            </w:r>
          </w:p>
        </w:tc>
        <w:tc>
          <w:tcPr>
            <w:tcW w:w="2020" w:type="dxa"/>
            <w:vAlign w:val="bottom"/>
          </w:tcPr>
          <w:p>
            <w:pPr>
              <w:jc w:val="right"/>
              <w:ind w:right="581"/>
              <w:spacing w:after="0"/>
              <w:rPr>
                <w:sz w:val="20"/>
                <w:szCs w:val="20"/>
                <w:color w:val="auto"/>
              </w:rPr>
            </w:pPr>
            <w:r>
              <w:rPr>
                <w:rFonts w:ascii="Arial" w:cs="Arial" w:eastAsia="Arial" w:hAnsi="Arial"/>
                <w:sz w:val="16"/>
                <w:szCs w:val="16"/>
                <w:color w:val="242424"/>
              </w:rPr>
              <w:t>525,000</w:t>
            </w:r>
          </w:p>
        </w:tc>
        <w:tc>
          <w:tcPr>
            <w:tcW w:w="1700" w:type="dxa"/>
            <w:vAlign w:val="bottom"/>
          </w:tcPr>
          <w:p>
            <w:pPr>
              <w:jc w:val="right"/>
              <w:ind w:right="661"/>
              <w:spacing w:after="0"/>
              <w:rPr>
                <w:sz w:val="20"/>
                <w:szCs w:val="20"/>
                <w:color w:val="auto"/>
              </w:rPr>
            </w:pPr>
            <w:r>
              <w:rPr>
                <w:rFonts w:ascii="Arial" w:cs="Arial" w:eastAsia="Arial" w:hAnsi="Arial"/>
                <w:sz w:val="16"/>
                <w:szCs w:val="16"/>
                <w:color w:val="242424"/>
              </w:rPr>
              <w:t>250,000</w:t>
            </w:r>
          </w:p>
        </w:tc>
        <w:tc>
          <w:tcPr>
            <w:tcW w:w="1580" w:type="dxa"/>
            <w:vAlign w:val="bottom"/>
          </w:tcPr>
          <w:p>
            <w:pPr>
              <w:jc w:val="center"/>
              <w:spacing w:after="0"/>
              <w:rPr>
                <w:sz w:val="20"/>
                <w:szCs w:val="20"/>
                <w:color w:val="auto"/>
              </w:rPr>
            </w:pPr>
            <w:r>
              <w:rPr>
                <w:rFonts w:ascii="Arial" w:cs="Arial" w:eastAsia="Arial" w:hAnsi="Arial"/>
                <w:sz w:val="16"/>
                <w:szCs w:val="16"/>
                <w:color w:val="242424"/>
              </w:rPr>
              <w:t>11,724</w:t>
            </w:r>
          </w:p>
        </w:tc>
        <w:tc>
          <w:tcPr>
            <w:tcW w:w="2060" w:type="dxa"/>
            <w:vAlign w:val="bottom"/>
          </w:tcPr>
          <w:p>
            <w:pPr>
              <w:jc w:val="right"/>
              <w:ind w:right="204"/>
              <w:spacing w:after="0"/>
              <w:rPr>
                <w:sz w:val="20"/>
                <w:szCs w:val="20"/>
                <w:color w:val="auto"/>
              </w:rPr>
            </w:pPr>
            <w:r>
              <w:rPr>
                <w:rFonts w:ascii="Arial" w:cs="Arial" w:eastAsia="Arial" w:hAnsi="Arial"/>
                <w:sz w:val="16"/>
                <w:szCs w:val="16"/>
                <w:color w:val="242424"/>
              </w:rPr>
              <w:t>27,758,491</w:t>
            </w:r>
          </w:p>
        </w:tc>
        <w:tc>
          <w:tcPr>
            <w:tcW w:w="1240" w:type="dxa"/>
            <w:vAlign w:val="bottom"/>
          </w:tcPr>
          <w:p>
            <w:pPr>
              <w:jc w:val="right"/>
              <w:ind w:right="61"/>
              <w:spacing w:after="0"/>
              <w:rPr>
                <w:sz w:val="20"/>
                <w:szCs w:val="20"/>
                <w:color w:val="auto"/>
              </w:rPr>
            </w:pPr>
            <w:r>
              <w:rPr>
                <w:rFonts w:ascii="Arial" w:cs="Arial" w:eastAsia="Arial" w:hAnsi="Arial"/>
                <w:sz w:val="16"/>
                <w:szCs w:val="16"/>
                <w:color w:val="242424"/>
              </w:rPr>
              <w:t>28,545,215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154305</wp:posOffset>
            </wp:positionV>
            <wp:extent cx="1993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94" w:lineRule="exact"/>
        <w:rPr>
          <w:sz w:val="20"/>
          <w:szCs w:val="20"/>
          <w:color w:val="auto"/>
        </w:rPr>
      </w:pPr>
    </w:p>
    <w:p>
      <w:pPr>
        <w:ind w:left="420" w:hanging="335"/>
        <w:spacing w:after="0"/>
        <w:tabs>
          <w:tab w:leader="none" w:pos="420" w:val="left"/>
        </w:tabs>
        <w:numPr>
          <w:ilvl w:val="0"/>
          <w:numId w:val="84"/>
        </w:numPr>
        <w:rPr>
          <w:rFonts w:ascii="Arial" w:cs="Arial" w:eastAsia="Arial" w:hAnsi="Arial"/>
          <w:sz w:val="14"/>
          <w:szCs w:val="14"/>
          <w:color w:val="242424"/>
        </w:rPr>
      </w:pPr>
      <w:r>
        <w:rPr>
          <w:rFonts w:ascii="Arial" w:cs="Arial" w:eastAsia="Arial" w:hAnsi="Arial"/>
          <w:sz w:val="14"/>
          <w:szCs w:val="14"/>
          <w:color w:val="242424"/>
        </w:rPr>
        <w:t>Represents the cost of the subsidized continued healthcare benefits based on the current costs to provide such coverage.</w:t>
      </w:r>
    </w:p>
    <w:p>
      <w:pPr>
        <w:spacing w:after="0" w:line="51" w:lineRule="exact"/>
        <w:rPr>
          <w:rFonts w:ascii="Arial" w:cs="Arial" w:eastAsia="Arial" w:hAnsi="Arial"/>
          <w:sz w:val="14"/>
          <w:szCs w:val="14"/>
          <w:color w:val="242424"/>
        </w:rPr>
      </w:pPr>
    </w:p>
    <w:p>
      <w:pPr>
        <w:ind w:left="400" w:right="40" w:hanging="315"/>
        <w:spacing w:after="0" w:line="243" w:lineRule="auto"/>
        <w:tabs>
          <w:tab w:leader="none" w:pos="448" w:val="left"/>
        </w:tabs>
        <w:numPr>
          <w:ilvl w:val="0"/>
          <w:numId w:val="84"/>
        </w:numPr>
        <w:rPr>
          <w:rFonts w:ascii="Arial" w:cs="Arial" w:eastAsia="Arial" w:hAnsi="Arial"/>
          <w:sz w:val="14"/>
          <w:szCs w:val="14"/>
          <w:color w:val="242424"/>
        </w:rPr>
      </w:pPr>
      <w:r>
        <w:rPr>
          <w:rFonts w:ascii="Arial" w:cs="Arial" w:eastAsia="Arial" w:hAnsi="Arial"/>
          <w:sz w:val="14"/>
          <w:szCs w:val="14"/>
          <w:color w:val="242424"/>
        </w:rPr>
        <w:t>This amount includes the number of shares that would have vested under the Kawwas/Krause Promotion RSUs and PSUs had the NEO remained continuously employed by Broadcom for an additional 18 months following his termination on October 31, 2021, with any applicable performance conditions deemed to have been achieved at target performance, multiplied by $531.67, the closing price per share of Broadcom common stock on October 29, 2021.</w:t>
      </w:r>
    </w:p>
    <w:p>
      <w:pPr>
        <w:spacing w:after="0" w:line="200" w:lineRule="exact"/>
        <w:rPr>
          <w:sz w:val="20"/>
          <w:szCs w:val="20"/>
          <w:color w:val="auto"/>
        </w:rPr>
      </w:pPr>
    </w:p>
    <w:p>
      <w:pPr>
        <w:spacing w:after="0" w:line="236"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51</w:t>
      </w:r>
    </w:p>
    <w:p>
      <w:pPr>
        <w:sectPr>
          <w:pgSz w:w="11900" w:h="16838" w:orient="portrait"/>
          <w:cols w:equalWidth="0" w:num="1">
            <w:col w:w="11240"/>
          </w:cols>
          <w:pgMar w:left="320" w:top="340" w:right="339" w:bottom="1440" w:gutter="0" w:footer="0" w:header="0"/>
        </w:sectPr>
      </w:pPr>
    </w:p>
    <w:bookmarkStart w:id="54" w:name="page55"/>
    <w:bookmarkEnd w:id="54"/>
    <w:p>
      <w:pPr>
        <w:ind w:left="20"/>
        <w:spacing w:after="0"/>
        <w:rPr>
          <w:sz w:val="20"/>
          <w:szCs w:val="20"/>
          <w:color w:val="auto"/>
        </w:rPr>
      </w:pPr>
      <w:r>
        <w:rPr>
          <w:rFonts w:ascii="Arial" w:cs="Arial" w:eastAsia="Arial" w:hAnsi="Arial"/>
          <w:sz w:val="16"/>
          <w:szCs w:val="16"/>
          <w:color w:val="CC092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Potential Payments under our Death and Permanent Disability Policies</w:t>
      </w:r>
    </w:p>
    <w:p>
      <w:pPr>
        <w:spacing w:after="0" w:line="188" w:lineRule="exact"/>
        <w:rPr>
          <w:sz w:val="20"/>
          <w:szCs w:val="20"/>
          <w:color w:val="auto"/>
        </w:rPr>
      </w:pPr>
    </w:p>
    <w:p>
      <w:pPr>
        <w:spacing w:after="0" w:line="247" w:lineRule="auto"/>
        <w:rPr>
          <w:sz w:val="20"/>
          <w:szCs w:val="20"/>
          <w:color w:val="auto"/>
        </w:rPr>
      </w:pPr>
      <w:r>
        <w:rPr>
          <w:rFonts w:ascii="Arial" w:cs="Arial" w:eastAsia="Arial" w:hAnsi="Arial"/>
          <w:sz w:val="18"/>
          <w:szCs w:val="18"/>
          <w:color w:val="242424"/>
        </w:rPr>
        <w:t>The following table reflects the additional potential payments and benefits to which our NEOs would be entitled under the Death and Permanent Disability Policies in effect as of October 31, 2021, in the event of death or permanent disability. The amounts presented in the table assume a termination of employment date of October 31, 2021 and that all eligibility requirements contemplated by the Death and Permanent Disability Policies were met.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Borders>
              <w:top w:val="single" w:sz="8" w:color="CC092F"/>
            </w:tcBorders>
            <w:shd w:val="clear" w:color="auto" w:fill="B8B8B8"/>
          </w:tcPr>
          <w:p>
            <w:pPr>
              <w:spacing w:after="0"/>
              <w:rPr>
                <w:sz w:val="14"/>
                <w:szCs w:val="14"/>
                <w:color w:val="auto"/>
              </w:rPr>
            </w:pPr>
          </w:p>
        </w:tc>
        <w:tc>
          <w:tcPr>
            <w:tcW w:w="6000" w:type="dxa"/>
            <w:vAlign w:val="bottom"/>
            <w:tcBorders>
              <w:top w:val="single" w:sz="8" w:color="CC092F"/>
            </w:tcBorders>
            <w:shd w:val="clear" w:color="auto" w:fill="B8B8B8"/>
          </w:tcPr>
          <w:p>
            <w:pPr>
              <w:ind w:left="3220"/>
              <w:spacing w:after="0" w:line="172" w:lineRule="exact"/>
              <w:rPr>
                <w:sz w:val="20"/>
                <w:szCs w:val="20"/>
                <w:color w:val="auto"/>
              </w:rPr>
            </w:pPr>
            <w:r>
              <w:rPr>
                <w:rFonts w:ascii="Arial" w:cs="Arial" w:eastAsia="Arial" w:hAnsi="Arial"/>
                <w:sz w:val="16"/>
                <w:szCs w:val="16"/>
                <w:b w:val="1"/>
                <w:bCs w:val="1"/>
                <w:color w:val="FFFFFF"/>
              </w:rPr>
              <w:t>Value of RSU/PSU Acceleration</w:t>
            </w:r>
          </w:p>
        </w:tc>
      </w:tr>
      <w:tr>
        <w:trPr>
          <w:trHeight w:val="212"/>
        </w:trPr>
        <w:tc>
          <w:tcPr>
            <w:tcW w:w="5040" w:type="dxa"/>
            <w:vAlign w:val="bottom"/>
            <w:tcBorders>
              <w:bottom w:val="single" w:sz="8" w:color="CC092F"/>
            </w:tcBorders>
            <w:shd w:val="clear" w:color="auto" w:fill="B8B8B8"/>
          </w:tcPr>
          <w:p>
            <w:pPr>
              <w:ind w:left="20"/>
              <w:spacing w:after="0"/>
              <w:rPr>
                <w:sz w:val="20"/>
                <w:szCs w:val="20"/>
                <w:color w:val="auto"/>
              </w:rPr>
            </w:pPr>
            <w:r>
              <w:rPr>
                <w:rFonts w:ascii="Arial" w:cs="Arial" w:eastAsia="Arial" w:hAnsi="Arial"/>
                <w:sz w:val="16"/>
                <w:szCs w:val="16"/>
                <w:color w:val="FFFFFF"/>
              </w:rPr>
              <w:t>Name</w:t>
            </w:r>
          </w:p>
        </w:tc>
        <w:tc>
          <w:tcPr>
            <w:tcW w:w="6000" w:type="dxa"/>
            <w:vAlign w:val="bottom"/>
            <w:tcBorders>
              <w:bottom w:val="single" w:sz="8" w:color="CC092F"/>
            </w:tcBorders>
            <w:shd w:val="clear" w:color="auto" w:fill="B8B8B8"/>
          </w:tcPr>
          <w:p>
            <w:pPr>
              <w:jc w:val="center"/>
              <w:ind w:left="2741"/>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8"/>
                <w:szCs w:val="8"/>
                <w:b w:val="1"/>
                <w:bCs w:val="1"/>
                <w:color w:val="FFFFFF"/>
              </w:rPr>
              <w:t>(1)</w:t>
            </w:r>
          </w:p>
        </w:tc>
      </w:tr>
      <w:tr>
        <w:trPr>
          <w:trHeight w:val="243"/>
        </w:trPr>
        <w:tc>
          <w:tcPr>
            <w:tcW w:w="5040" w:type="dxa"/>
            <w:vAlign w:val="bottom"/>
          </w:tcPr>
          <w:p>
            <w:pPr>
              <w:ind w:left="60"/>
              <w:spacing w:after="0"/>
              <w:rPr>
                <w:sz w:val="20"/>
                <w:szCs w:val="20"/>
                <w:color w:val="auto"/>
              </w:rPr>
            </w:pPr>
            <w:r>
              <w:rPr>
                <w:rFonts w:ascii="Arial" w:cs="Arial" w:eastAsia="Arial" w:hAnsi="Arial"/>
                <w:sz w:val="16"/>
                <w:szCs w:val="16"/>
                <w:color w:val="242424"/>
              </w:rPr>
              <w:t>Hock E. Tan</w:t>
            </w:r>
          </w:p>
        </w:tc>
        <w:tc>
          <w:tcPr>
            <w:tcW w:w="6000" w:type="dxa"/>
            <w:vAlign w:val="bottom"/>
          </w:tcPr>
          <w:p>
            <w:pPr>
              <w:jc w:val="center"/>
              <w:ind w:left="2761"/>
              <w:spacing w:after="0"/>
              <w:rPr>
                <w:sz w:val="20"/>
                <w:szCs w:val="20"/>
                <w:color w:val="auto"/>
              </w:rPr>
            </w:pPr>
            <w:r>
              <w:rPr>
                <w:rFonts w:ascii="Arial" w:cs="Arial" w:eastAsia="Arial" w:hAnsi="Arial"/>
                <w:sz w:val="16"/>
                <w:szCs w:val="16"/>
                <w:color w:val="242424"/>
                <w:w w:val="99"/>
              </w:rPr>
              <w:t>31,793,866</w:t>
            </w:r>
          </w:p>
        </w:tc>
      </w:tr>
      <w:tr>
        <w:trPr>
          <w:trHeight w:val="214"/>
        </w:trPr>
        <w:tc>
          <w:tcPr>
            <w:tcW w:w="504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Kirsten M. Spears</w:t>
            </w:r>
          </w:p>
        </w:tc>
        <w:tc>
          <w:tcPr>
            <w:tcW w:w="6000" w:type="dxa"/>
            <w:vAlign w:val="bottom"/>
            <w:shd w:val="clear" w:color="auto" w:fill="EAEAEA"/>
          </w:tcPr>
          <w:p>
            <w:pPr>
              <w:jc w:val="center"/>
              <w:ind w:left="2761"/>
              <w:spacing w:after="0"/>
              <w:rPr>
                <w:sz w:val="20"/>
                <w:szCs w:val="20"/>
                <w:color w:val="auto"/>
              </w:rPr>
            </w:pPr>
            <w:r>
              <w:rPr>
                <w:rFonts w:ascii="Arial" w:cs="Arial" w:eastAsia="Arial" w:hAnsi="Arial"/>
                <w:sz w:val="16"/>
                <w:szCs w:val="16"/>
                <w:color w:val="242424"/>
                <w:w w:val="99"/>
              </w:rPr>
              <w:t>30,503,503</w:t>
            </w: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242424"/>
              </w:rPr>
              <w:t>Mark D. Brazeal</w:t>
            </w:r>
          </w:p>
        </w:tc>
        <w:tc>
          <w:tcPr>
            <w:tcW w:w="6000" w:type="dxa"/>
            <w:vAlign w:val="bottom"/>
          </w:tcPr>
          <w:p>
            <w:pPr>
              <w:jc w:val="center"/>
              <w:ind w:left="2761"/>
              <w:spacing w:after="0"/>
              <w:rPr>
                <w:sz w:val="20"/>
                <w:szCs w:val="20"/>
                <w:color w:val="auto"/>
              </w:rPr>
            </w:pPr>
            <w:r>
              <w:rPr>
                <w:rFonts w:ascii="Arial" w:cs="Arial" w:eastAsia="Arial" w:hAnsi="Arial"/>
                <w:sz w:val="16"/>
                <w:szCs w:val="16"/>
                <w:color w:val="242424"/>
                <w:w w:val="99"/>
              </w:rPr>
              <w:t>20,070,543</w:t>
            </w:r>
          </w:p>
        </w:tc>
      </w:tr>
      <w:tr>
        <w:trPr>
          <w:trHeight w:val="214"/>
        </w:trPr>
        <w:tc>
          <w:tcPr>
            <w:tcW w:w="504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Charlie B. Kawwas, Ph.D.</w:t>
            </w:r>
          </w:p>
        </w:tc>
        <w:tc>
          <w:tcPr>
            <w:tcW w:w="6000" w:type="dxa"/>
            <w:vAlign w:val="bottom"/>
            <w:shd w:val="clear" w:color="auto" w:fill="EAEAEA"/>
          </w:tcPr>
          <w:p>
            <w:pPr>
              <w:jc w:val="center"/>
              <w:ind w:left="2761"/>
              <w:spacing w:after="0"/>
              <w:rPr>
                <w:sz w:val="20"/>
                <w:szCs w:val="20"/>
                <w:color w:val="auto"/>
              </w:rPr>
            </w:pPr>
            <w:r>
              <w:rPr>
                <w:rFonts w:ascii="Arial" w:cs="Arial" w:eastAsia="Arial" w:hAnsi="Arial"/>
                <w:sz w:val="16"/>
                <w:szCs w:val="16"/>
                <w:color w:val="242424"/>
                <w:w w:val="99"/>
              </w:rPr>
              <w:t>45,659,820</w:t>
            </w:r>
          </w:p>
        </w:tc>
      </w:tr>
      <w:tr>
        <w:trPr>
          <w:trHeight w:val="207"/>
        </w:trPr>
        <w:tc>
          <w:tcPr>
            <w:tcW w:w="5040" w:type="dxa"/>
            <w:vAlign w:val="bottom"/>
          </w:tcPr>
          <w:p>
            <w:pPr>
              <w:ind w:left="20"/>
              <w:spacing w:after="0"/>
              <w:rPr>
                <w:sz w:val="20"/>
                <w:szCs w:val="20"/>
                <w:color w:val="auto"/>
              </w:rPr>
            </w:pPr>
            <w:r>
              <w:rPr>
                <w:rFonts w:ascii="Arial" w:cs="Arial" w:eastAsia="Arial" w:hAnsi="Arial"/>
                <w:sz w:val="16"/>
                <w:szCs w:val="16"/>
                <w:color w:val="242424"/>
              </w:rPr>
              <w:t>Thomas H. Krause, Jr.</w:t>
            </w:r>
          </w:p>
        </w:tc>
        <w:tc>
          <w:tcPr>
            <w:tcW w:w="6000" w:type="dxa"/>
            <w:vAlign w:val="bottom"/>
          </w:tcPr>
          <w:p>
            <w:pPr>
              <w:jc w:val="center"/>
              <w:ind w:left="2761"/>
              <w:spacing w:after="0"/>
              <w:rPr>
                <w:sz w:val="20"/>
                <w:szCs w:val="20"/>
                <w:color w:val="auto"/>
              </w:rPr>
            </w:pPr>
            <w:r>
              <w:rPr>
                <w:rFonts w:ascii="Arial" w:cs="Arial" w:eastAsia="Arial" w:hAnsi="Arial"/>
                <w:sz w:val="16"/>
                <w:szCs w:val="16"/>
                <w:color w:val="242424"/>
                <w:w w:val="99"/>
              </w:rPr>
              <w:t>45,792,737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146050</wp:posOffset>
            </wp:positionV>
            <wp:extent cx="1993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81" w:lineRule="exact"/>
        <w:rPr>
          <w:sz w:val="20"/>
          <w:szCs w:val="20"/>
          <w:color w:val="auto"/>
        </w:rPr>
      </w:pPr>
    </w:p>
    <w:p>
      <w:pPr>
        <w:ind w:left="400" w:right="200" w:hanging="315"/>
        <w:spacing w:after="0" w:line="243" w:lineRule="auto"/>
        <w:tabs>
          <w:tab w:leader="none" w:pos="409" w:val="left"/>
        </w:tabs>
        <w:numPr>
          <w:ilvl w:val="0"/>
          <w:numId w:val="85"/>
        </w:numPr>
        <w:rPr>
          <w:rFonts w:ascii="Arial" w:cs="Arial" w:eastAsia="Arial" w:hAnsi="Arial"/>
          <w:sz w:val="14"/>
          <w:szCs w:val="14"/>
          <w:color w:val="242424"/>
        </w:rPr>
      </w:pPr>
      <w:r>
        <w:rPr>
          <w:rFonts w:ascii="Arial" w:cs="Arial" w:eastAsia="Arial" w:hAnsi="Arial"/>
          <w:sz w:val="14"/>
          <w:szCs w:val="14"/>
          <w:color w:val="242424"/>
        </w:rPr>
        <w:t>The amounts represent the number of shares issued upon full acceleration of each service-based RSU award that has begun vesting and each PSU award for which the performance period has begun with the performance goals deemed achieved at target performance levels, multiplied by $531.67, the closing price per share of Broadcom common stock on October 29, 2021.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hanging="354"/>
        <w:spacing w:after="0"/>
        <w:tabs>
          <w:tab w:leader="none" w:pos="360" w:val="left"/>
        </w:tabs>
        <w:numPr>
          <w:ilvl w:val="0"/>
          <w:numId w:val="86"/>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00"/>
          </w:cols>
          <w:pgMar w:left="320" w:top="340"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color w:val="CC092F"/>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CC092F"/>
        </w:rPr>
        <w:t>CEO PAY RATIO</w:t>
      </w:r>
    </w:p>
    <w:p>
      <w:pPr>
        <w:spacing w:after="0" w:line="22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242424"/>
        </w:rPr>
        <w:t>In accordance with SEC rules, Broadcom is providing the ratio of the annual total compensation of our CEO to the median of the annual total compensation of all our employees (the “Ratio”). For Fiscal Year 2021, the annual total compensation of our CEO, as reported in the “</w:t>
      </w:r>
      <w:r>
        <w:rPr>
          <w:rFonts w:ascii="Arial" w:cs="Arial" w:eastAsia="Arial" w:hAnsi="Arial"/>
          <w:sz w:val="18"/>
          <w:szCs w:val="18"/>
          <w:i w:val="1"/>
          <w:iCs w:val="1"/>
          <w:color w:val="242424"/>
        </w:rPr>
        <w:t>Fiscal</w:t>
      </w:r>
      <w:r>
        <w:rPr>
          <w:rFonts w:ascii="Arial" w:cs="Arial" w:eastAsia="Arial" w:hAnsi="Arial"/>
          <w:sz w:val="18"/>
          <w:szCs w:val="18"/>
          <w:color w:val="242424"/>
        </w:rPr>
        <w:t xml:space="preserve"> </w:t>
      </w:r>
      <w:r>
        <w:rPr>
          <w:rFonts w:ascii="Arial" w:cs="Arial" w:eastAsia="Arial" w:hAnsi="Arial"/>
          <w:sz w:val="18"/>
          <w:szCs w:val="18"/>
          <w:i w:val="1"/>
          <w:iCs w:val="1"/>
          <w:color w:val="242424"/>
        </w:rPr>
        <w:t>Year 2021 Summary Compensation Table</w:t>
      </w:r>
      <w:r>
        <w:rPr>
          <w:rFonts w:ascii="Arial" w:cs="Arial" w:eastAsia="Arial" w:hAnsi="Arial"/>
          <w:sz w:val="18"/>
          <w:szCs w:val="18"/>
          <w:color w:val="242424"/>
        </w:rPr>
        <w:t>,” is $60,703,627 and the median of the annual total compensation of all our employees is $247,541.</w:t>
      </w:r>
      <w:r>
        <w:rPr>
          <w:rFonts w:ascii="Arial" w:cs="Arial" w:eastAsia="Arial" w:hAnsi="Arial"/>
          <w:sz w:val="18"/>
          <w:szCs w:val="18"/>
          <w:i w:val="1"/>
          <w:iCs w:val="1"/>
          <w:color w:val="242424"/>
        </w:rPr>
        <w:t xml:space="preserve"> </w:t>
      </w:r>
      <w:r>
        <w:rPr>
          <w:rFonts w:ascii="Arial" w:cs="Arial" w:eastAsia="Arial" w:hAnsi="Arial"/>
          <w:sz w:val="18"/>
          <w:szCs w:val="18"/>
          <w:color w:val="242424"/>
        </w:rPr>
        <w:t>The Ratio is 245 to 1.</w:t>
      </w:r>
    </w:p>
    <w:p>
      <w:pPr>
        <w:spacing w:after="0" w:line="155"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242424"/>
        </w:rPr>
        <w:t>In determining the annual total compensation of the median employee, we calculated such employee’s compensation in accordance with SEC executive compensation disclosure rules. This calculation is the same calculation used to determine the total compensation for purposes of the “</w:t>
      </w:r>
      <w:r>
        <w:rPr>
          <w:rFonts w:ascii="Arial" w:cs="Arial" w:eastAsia="Arial" w:hAnsi="Arial"/>
          <w:sz w:val="18"/>
          <w:szCs w:val="18"/>
          <w:i w:val="1"/>
          <w:iCs w:val="1"/>
          <w:color w:val="242424"/>
        </w:rPr>
        <w:t>Fiscal Year 2021 Summary Compensation Table</w:t>
      </w:r>
      <w:r>
        <w:rPr>
          <w:rFonts w:ascii="Arial" w:cs="Arial" w:eastAsia="Arial" w:hAnsi="Arial"/>
          <w:sz w:val="18"/>
          <w:szCs w:val="18"/>
          <w:color w:val="242424"/>
        </w:rPr>
        <w:t>” with respect to each of our NEOs.</w:t>
      </w:r>
    </w:p>
    <w:p>
      <w:pPr>
        <w:spacing w:after="0" w:line="153" w:lineRule="exact"/>
        <w:rPr>
          <w:sz w:val="20"/>
          <w:szCs w:val="20"/>
          <w:color w:val="auto"/>
        </w:rPr>
      </w:pPr>
    </w:p>
    <w:p>
      <w:pPr>
        <w:jc w:val="both"/>
        <w:ind w:right="340"/>
        <w:spacing w:after="0" w:line="247" w:lineRule="auto"/>
        <w:rPr>
          <w:sz w:val="20"/>
          <w:szCs w:val="20"/>
          <w:color w:val="auto"/>
        </w:rPr>
      </w:pPr>
      <w:r>
        <w:rPr>
          <w:rFonts w:ascii="Arial" w:cs="Arial" w:eastAsia="Arial" w:hAnsi="Arial"/>
          <w:sz w:val="18"/>
          <w:szCs w:val="18"/>
          <w:color w:val="242424"/>
        </w:rPr>
        <w:t>In Fiscal Year 2021, Mr. Tan was granted a PSU award to continue to align Mr. Tan’s interests with the interests of our stockholders and to encourage his retention. As of October 31, 2021, Mr. Tan had no other unvested and outstanding equity awards. Our median compensated employee was granted 2019 Multi-Year Equity Awards, which will vest on the same basis as four annual equity grants made on March 15 of each year, beginning in 2019.</w:t>
      </w:r>
    </w:p>
    <w:p>
      <w:pPr>
        <w:spacing w:after="0" w:line="15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242424"/>
        </w:rPr>
        <w:t>In order to better compare Mr. Tan’s annual total compensation to our median compensated employee, we are providing a supplemental pay ratio that includes (1) in the CEO’s 2021 annual total compensation, the intended $25 million target value of Mr. Tan’s Fiscal Year 2021 PSU award, taking the target number of shares multiplied by the closing stock price on the effective date of December 15, 2020 (in lieu of the grant date fair value reflected in the “</w:t>
      </w:r>
      <w:r>
        <w:rPr>
          <w:rFonts w:ascii="Arial" w:cs="Arial" w:eastAsia="Arial" w:hAnsi="Arial"/>
          <w:sz w:val="18"/>
          <w:szCs w:val="18"/>
          <w:i w:val="1"/>
          <w:iCs w:val="1"/>
          <w:color w:val="242424"/>
        </w:rPr>
        <w:t>Fiscal Year 2021 Summary Compensation Table</w:t>
      </w:r>
      <w:r>
        <w:rPr>
          <w:rFonts w:ascii="Arial" w:cs="Arial" w:eastAsia="Arial" w:hAnsi="Arial"/>
          <w:sz w:val="18"/>
          <w:szCs w:val="18"/>
          <w:color w:val="242424"/>
        </w:rPr>
        <w:t>”), and (2) in the median employee’s 2021 annual total compensation the grant date fair value of the 2019 Multi-Year Equity Award with a vesting start date of March 15, 2021 and excluding the grant date fair value of the 2019 Multi-Year Equity Awards with vesting start dates in 2019, 2020 and 2022. This results in notional, total compensation for Fiscal Year 2021 of $31,646,807 for our CEO and $283,449 for our median employee. The supplemental ratio using this amount is 112 to 1.</w:t>
      </w:r>
    </w:p>
    <w:p>
      <w:pPr>
        <w:spacing w:after="0" w:line="158"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242424"/>
        </w:rPr>
        <w:t>As permitted by SEC rules, for purposes of calculating the pay ratio set forth above, we used the same median employee that we identified for purposes of our pay ratio disclosure last year, based on our determination that there was no change in our employee population or employee compensation arrangements that we believe would significantly impact the pay ratio. Our median employee also remained in the same role in Fiscal Year 2020 and Fiscal Year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42424"/>
        </w:rPr>
        <w:t>To identify the median employee, we used the following methodology in Fiscal Year 2020:</w:t>
      </w:r>
    </w:p>
    <w:p>
      <w:pPr>
        <w:spacing w:after="0" w:line="151" w:lineRule="exact"/>
        <w:rPr>
          <w:sz w:val="20"/>
          <w:szCs w:val="20"/>
          <w:color w:val="auto"/>
        </w:rPr>
      </w:pPr>
    </w:p>
    <w:p>
      <w:pPr>
        <w:ind w:left="560" w:right="20" w:hanging="316"/>
        <w:spacing w:after="0" w:line="232" w:lineRule="auto"/>
        <w:tabs>
          <w:tab w:leader="none" w:pos="512" w:val="left"/>
        </w:tabs>
        <w:numPr>
          <w:ilvl w:val="0"/>
          <w:numId w:val="87"/>
        </w:numPr>
        <w:rPr>
          <w:rFonts w:ascii="Arial" w:cs="Arial" w:eastAsia="Arial" w:hAnsi="Arial"/>
          <w:sz w:val="21"/>
          <w:szCs w:val="21"/>
          <w:color w:val="242424"/>
        </w:rPr>
      </w:pPr>
      <w:r>
        <w:rPr>
          <w:rFonts w:ascii="Arial" w:cs="Arial" w:eastAsia="Arial" w:hAnsi="Arial"/>
          <w:sz w:val="18"/>
          <w:szCs w:val="18"/>
          <w:color w:val="242424"/>
        </w:rPr>
        <w:t>We collected compensation data from our human resources system of record for all employees globally, whether employed on a full-time, part-time, temporary or seasonal basis, as of November 1, 2020, which was the last day of Fiscal Year 2020. Last year, our measuring date was also the last day of our fiscal year.</w:t>
      </w:r>
    </w:p>
    <w:p>
      <w:pPr>
        <w:spacing w:after="0" w:line="148" w:lineRule="exact"/>
        <w:rPr>
          <w:rFonts w:ascii="Arial" w:cs="Arial" w:eastAsia="Arial" w:hAnsi="Arial"/>
          <w:sz w:val="21"/>
          <w:szCs w:val="21"/>
          <w:color w:val="242424"/>
        </w:rPr>
      </w:pPr>
    </w:p>
    <w:p>
      <w:pPr>
        <w:ind w:left="560" w:right="140" w:hanging="316"/>
        <w:spacing w:after="0" w:line="232" w:lineRule="auto"/>
        <w:tabs>
          <w:tab w:leader="none" w:pos="512" w:val="left"/>
        </w:tabs>
        <w:numPr>
          <w:ilvl w:val="0"/>
          <w:numId w:val="87"/>
        </w:numPr>
        <w:rPr>
          <w:rFonts w:ascii="Arial" w:cs="Arial" w:eastAsia="Arial" w:hAnsi="Arial"/>
          <w:sz w:val="21"/>
          <w:szCs w:val="21"/>
          <w:color w:val="242424"/>
        </w:rPr>
      </w:pPr>
      <w:r>
        <w:rPr>
          <w:rFonts w:ascii="Arial" w:cs="Arial" w:eastAsia="Arial" w:hAnsi="Arial"/>
          <w:sz w:val="18"/>
          <w:szCs w:val="18"/>
          <w:color w:val="242424"/>
        </w:rPr>
        <w:t>We annualized the compensation of all permanent full-time and part-time employees who we hired between November 4, 2019 and November 1, 2020. We applied an exchange rate used in our human resources system of record as of November 1, 2020 to convert all international currencies into U.S. dollars.</w:t>
      </w:r>
    </w:p>
    <w:p>
      <w:pPr>
        <w:spacing w:after="0" w:line="148" w:lineRule="exact"/>
        <w:rPr>
          <w:rFonts w:ascii="Arial" w:cs="Arial" w:eastAsia="Arial" w:hAnsi="Arial"/>
          <w:sz w:val="21"/>
          <w:szCs w:val="21"/>
          <w:color w:val="242424"/>
        </w:rPr>
      </w:pPr>
    </w:p>
    <w:p>
      <w:pPr>
        <w:ind w:left="560" w:right="260" w:hanging="316"/>
        <w:spacing w:after="0" w:line="235" w:lineRule="auto"/>
        <w:tabs>
          <w:tab w:leader="none" w:pos="512" w:val="left"/>
        </w:tabs>
        <w:numPr>
          <w:ilvl w:val="0"/>
          <w:numId w:val="87"/>
        </w:numPr>
        <w:rPr>
          <w:rFonts w:ascii="Arial" w:cs="Arial" w:eastAsia="Arial" w:hAnsi="Arial"/>
          <w:sz w:val="21"/>
          <w:szCs w:val="21"/>
          <w:color w:val="242424"/>
        </w:rPr>
      </w:pPr>
      <w:r>
        <w:rPr>
          <w:rFonts w:ascii="Arial" w:cs="Arial" w:eastAsia="Arial" w:hAnsi="Arial"/>
          <w:sz w:val="18"/>
          <w:szCs w:val="18"/>
          <w:color w:val="242424"/>
        </w:rPr>
        <w:t>We used target total direct compensation as of November 1, 2020, as our consistently applied compensation measure. In this context, target total direct compensation meant (1) the applicable annual base salary level in effect as of November 1, 2020, (2) the annual incentive cash target amount or commission target amount payable for service in Fiscal Year 2020, and (3) the approved value of the annual equity awards granted during Fiscal Year 2020.</w:t>
      </w:r>
    </w:p>
    <w:p>
      <w:pPr>
        <w:spacing w:after="0" w:line="163"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242424"/>
        </w:rPr>
        <w:t>The Ratio presented above is a reasonable estimate calculated in a manner consistent with SEC rules based on our human resources system of record. Because the SEC rules for identifying the median employee and calculating the pay ratio allow companies to use different methodologies, exemptions, estimates and assumptions, this pay ratio disclosure may not be comparable to the pay ratio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53</w:t>
      </w:r>
    </w:p>
    <w:p>
      <w:pPr>
        <w:sectPr>
          <w:pgSz w:w="11900" w:h="16838" w:orient="portrait"/>
          <w:cols w:equalWidth="0" w:num="1">
            <w:col w:w="11220"/>
          </w:cols>
          <w:pgMar w:left="320" w:top="340" w:right="359" w:bottom="1440" w:gutter="0" w:footer="0" w:header="0"/>
        </w:sectPr>
      </w:pPr>
    </w:p>
    <w:bookmarkStart w:id="56" w:name="page57"/>
    <w:bookmarkEnd w:id="56"/>
    <w:p>
      <w:pPr>
        <w:ind w:left="20"/>
        <w:spacing w:after="0"/>
        <w:rPr>
          <w:sz w:val="20"/>
          <w:szCs w:val="20"/>
          <w:color w:val="auto"/>
        </w:rPr>
      </w:pPr>
      <w:r>
        <w:rPr>
          <w:rFonts w:ascii="Arial" w:cs="Arial" w:eastAsia="Arial" w:hAnsi="Arial"/>
          <w:sz w:val="16"/>
          <w:szCs w:val="16"/>
          <w:color w:val="CC092F"/>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500"/>
        <w:spacing w:after="0"/>
        <w:rPr>
          <w:sz w:val="20"/>
          <w:szCs w:val="20"/>
          <w:color w:val="auto"/>
        </w:rPr>
      </w:pPr>
      <w:r>
        <w:rPr>
          <w:rFonts w:ascii="Arial" w:cs="Arial" w:eastAsia="Arial" w:hAnsi="Arial"/>
          <w:sz w:val="28"/>
          <w:szCs w:val="28"/>
          <w:color w:val="CC092F"/>
        </w:rPr>
        <w:t>EQUITY COMPENSATION PLAN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Plans Approved by our Stockholders</w:t>
      </w:r>
    </w:p>
    <w:p>
      <w:pPr>
        <w:spacing w:after="0" w:line="18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242424"/>
        </w:rPr>
        <w:t>Broadcom has three equity compensation plans that have been approved by our stockholders: the Avago Plan, the 2012 Plan and the ESPP. The Avago Plan expired in July 2019 and no new grants may be made under the Avago Plan following such date. Neither the 2012 Plan nor the ESPP have an expiration date.</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Plans Not Approved by our Stockholders</w:t>
      </w:r>
    </w:p>
    <w:p>
      <w:pPr>
        <w:spacing w:after="0" w:line="188"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242424"/>
        </w:rPr>
        <w:t>Broadcom assumed outstanding equity awards granted under the LSI Plan, the 2012 Plan, the Brocade 2009 Stock Plan, the Brocade Amended and Restated Inducement Award Plan, the CA, Inc. 2011 Incentive Plan and under other equity compensation plans or agreements that were assumed by Broadcom in connection with our acquisitions of LSI, Broadcom Corporation, Brocade Communications Systems, and CA, and other companies that originally granted those awards.</w:t>
      </w:r>
    </w:p>
    <w:p>
      <w:pPr>
        <w:spacing w:after="0" w:line="155"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242424"/>
        </w:rPr>
        <w:t>The following table sets forth as of October 31, 2021 the number and weighted-average exercise price of shares of common stock to be issued upon the exercise of outstanding stock options, service-based RSU awards and PSU awards, and the number of securities remaining available for future issuance under all of our equity compensation plans.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Borders>
              <w:top w:val="single" w:sz="8" w:color="CC092F"/>
            </w:tcBorders>
            <w:shd w:val="clear" w:color="auto" w:fill="B8B8B8"/>
          </w:tcPr>
          <w:p>
            <w:pPr>
              <w:spacing w:after="0"/>
              <w:rPr>
                <w:sz w:val="14"/>
                <w:szCs w:val="14"/>
                <w:color w:val="auto"/>
              </w:rPr>
            </w:pPr>
          </w:p>
        </w:tc>
        <w:tc>
          <w:tcPr>
            <w:tcW w:w="3060" w:type="dxa"/>
            <w:vAlign w:val="bottom"/>
            <w:tcBorders>
              <w:top w:val="single" w:sz="8" w:color="CC092F"/>
            </w:tcBorders>
            <w:vMerge w:val="restart"/>
            <w:shd w:val="clear" w:color="auto" w:fill="B8B8B8"/>
          </w:tcPr>
          <w:p>
            <w:pPr>
              <w:jc w:val="center"/>
              <w:ind w:left="221"/>
              <w:spacing w:after="0"/>
              <w:rPr>
                <w:sz w:val="20"/>
                <w:szCs w:val="20"/>
                <w:color w:val="auto"/>
              </w:rPr>
            </w:pPr>
            <w:r>
              <w:rPr>
                <w:rFonts w:ascii="Arial" w:cs="Arial" w:eastAsia="Arial" w:hAnsi="Arial"/>
                <w:sz w:val="16"/>
                <w:szCs w:val="16"/>
                <w:b w:val="1"/>
                <w:bCs w:val="1"/>
                <w:color w:val="FFFFFF"/>
                <w:w w:val="98"/>
              </w:rPr>
              <w:t>Number of Shares of Common</w:t>
            </w:r>
          </w:p>
        </w:tc>
        <w:tc>
          <w:tcPr>
            <w:tcW w:w="2320" w:type="dxa"/>
            <w:vAlign w:val="bottom"/>
            <w:tcBorders>
              <w:top w:val="single" w:sz="8" w:color="CC092F"/>
            </w:tcBorders>
            <w:vMerge w:val="restart"/>
            <w:shd w:val="clear" w:color="auto" w:fill="B8B8B8"/>
          </w:tcPr>
          <w:p>
            <w:pPr>
              <w:jc w:val="center"/>
              <w:spacing w:after="0"/>
              <w:rPr>
                <w:sz w:val="20"/>
                <w:szCs w:val="20"/>
                <w:color w:val="auto"/>
              </w:rPr>
            </w:pPr>
            <w:r>
              <w:rPr>
                <w:rFonts w:ascii="Arial" w:cs="Arial" w:eastAsia="Arial" w:hAnsi="Arial"/>
                <w:sz w:val="16"/>
                <w:szCs w:val="16"/>
                <w:b w:val="1"/>
                <w:bCs w:val="1"/>
                <w:color w:val="FFFFFF"/>
                <w:w w:val="98"/>
              </w:rPr>
              <w:t>Weighted-Average Exercise</w:t>
            </w:r>
          </w:p>
        </w:tc>
        <w:tc>
          <w:tcPr>
            <w:tcW w:w="3200" w:type="dxa"/>
            <w:vAlign w:val="bottom"/>
            <w:tcBorders>
              <w:top w:val="single" w:sz="8" w:color="CC092F"/>
            </w:tcBorders>
            <w:shd w:val="clear" w:color="auto" w:fill="B8B8B8"/>
          </w:tcPr>
          <w:p>
            <w:pPr>
              <w:jc w:val="center"/>
              <w:spacing w:after="0" w:line="172" w:lineRule="exact"/>
              <w:rPr>
                <w:sz w:val="20"/>
                <w:szCs w:val="20"/>
                <w:color w:val="auto"/>
              </w:rPr>
            </w:pPr>
            <w:r>
              <w:rPr>
                <w:rFonts w:ascii="Arial" w:cs="Arial" w:eastAsia="Arial" w:hAnsi="Arial"/>
                <w:sz w:val="16"/>
                <w:szCs w:val="16"/>
                <w:b w:val="1"/>
                <w:bCs w:val="1"/>
                <w:color w:val="FFFFFF"/>
                <w:w w:val="99"/>
              </w:rPr>
              <w:t>Number of Shares of Common Stock</w:t>
            </w:r>
          </w:p>
        </w:tc>
        <w:tc>
          <w:tcPr>
            <w:tcW w:w="0" w:type="dxa"/>
            <w:vAlign w:val="bottom"/>
          </w:tcPr>
          <w:p>
            <w:pPr>
              <w:spacing w:after="0"/>
              <w:rPr>
                <w:sz w:val="1"/>
                <w:szCs w:val="1"/>
                <w:color w:val="auto"/>
              </w:rPr>
            </w:pPr>
          </w:p>
        </w:tc>
      </w:tr>
      <w:tr>
        <w:trPr>
          <w:trHeight w:val="159"/>
        </w:trPr>
        <w:tc>
          <w:tcPr>
            <w:tcW w:w="2660" w:type="dxa"/>
            <w:vAlign w:val="bottom"/>
            <w:shd w:val="clear" w:color="auto" w:fill="B8B8B8"/>
          </w:tcPr>
          <w:p>
            <w:pPr>
              <w:spacing w:after="0"/>
              <w:rPr>
                <w:sz w:val="13"/>
                <w:szCs w:val="13"/>
                <w:color w:val="auto"/>
              </w:rPr>
            </w:pPr>
          </w:p>
        </w:tc>
        <w:tc>
          <w:tcPr>
            <w:tcW w:w="3060" w:type="dxa"/>
            <w:vAlign w:val="bottom"/>
            <w:vMerge w:val="continue"/>
            <w:shd w:val="clear" w:color="auto" w:fill="B8B8B8"/>
          </w:tcPr>
          <w:p>
            <w:pPr>
              <w:spacing w:after="0"/>
              <w:rPr>
                <w:sz w:val="13"/>
                <w:szCs w:val="13"/>
                <w:color w:val="auto"/>
              </w:rPr>
            </w:pPr>
          </w:p>
        </w:tc>
        <w:tc>
          <w:tcPr>
            <w:tcW w:w="2320" w:type="dxa"/>
            <w:vAlign w:val="bottom"/>
            <w:vMerge w:val="continue"/>
            <w:shd w:val="clear" w:color="auto" w:fill="B8B8B8"/>
          </w:tcPr>
          <w:p>
            <w:pPr>
              <w:spacing w:after="0"/>
              <w:rPr>
                <w:sz w:val="13"/>
                <w:szCs w:val="13"/>
                <w:color w:val="auto"/>
              </w:rPr>
            </w:pPr>
          </w:p>
        </w:tc>
        <w:tc>
          <w:tcPr>
            <w:tcW w:w="320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w w:val="98"/>
              </w:rPr>
              <w:t>Remaining Available for Future</w:t>
            </w:r>
          </w:p>
        </w:tc>
        <w:tc>
          <w:tcPr>
            <w:tcW w:w="0" w:type="dxa"/>
            <w:vAlign w:val="bottom"/>
          </w:tcPr>
          <w:p>
            <w:pPr>
              <w:spacing w:after="0"/>
              <w:rPr>
                <w:sz w:val="1"/>
                <w:szCs w:val="1"/>
                <w:color w:val="auto"/>
              </w:rPr>
            </w:pPr>
          </w:p>
        </w:tc>
      </w:tr>
      <w:tr>
        <w:trPr>
          <w:trHeight w:val="159"/>
        </w:trPr>
        <w:tc>
          <w:tcPr>
            <w:tcW w:w="2660" w:type="dxa"/>
            <w:vAlign w:val="bottom"/>
            <w:shd w:val="clear" w:color="auto" w:fill="B8B8B8"/>
          </w:tcPr>
          <w:p>
            <w:pPr>
              <w:spacing w:after="0"/>
              <w:rPr>
                <w:sz w:val="13"/>
                <w:szCs w:val="13"/>
                <w:color w:val="auto"/>
              </w:rPr>
            </w:pPr>
          </w:p>
        </w:tc>
        <w:tc>
          <w:tcPr>
            <w:tcW w:w="3060" w:type="dxa"/>
            <w:vAlign w:val="bottom"/>
            <w:shd w:val="clear" w:color="auto" w:fill="B8B8B8"/>
          </w:tcPr>
          <w:p>
            <w:pPr>
              <w:jc w:val="center"/>
              <w:ind w:left="221"/>
              <w:spacing w:after="0" w:line="159" w:lineRule="exact"/>
              <w:rPr>
                <w:sz w:val="20"/>
                <w:szCs w:val="20"/>
                <w:color w:val="auto"/>
              </w:rPr>
            </w:pPr>
            <w:r>
              <w:rPr>
                <w:rFonts w:ascii="Arial" w:cs="Arial" w:eastAsia="Arial" w:hAnsi="Arial"/>
                <w:sz w:val="16"/>
                <w:szCs w:val="16"/>
                <w:b w:val="1"/>
                <w:bCs w:val="1"/>
                <w:color w:val="FFFFFF"/>
                <w:w w:val="99"/>
              </w:rPr>
              <w:t>Stock to be Issued Upon Exercise</w:t>
            </w:r>
          </w:p>
        </w:tc>
        <w:tc>
          <w:tcPr>
            <w:tcW w:w="232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w w:val="99"/>
              </w:rPr>
              <w:t>Price of Outstanding</w:t>
            </w:r>
          </w:p>
        </w:tc>
        <w:tc>
          <w:tcPr>
            <w:tcW w:w="320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w w:val="99"/>
              </w:rPr>
              <w:t>Issuance Under Equity Compensation</w:t>
            </w:r>
          </w:p>
        </w:tc>
        <w:tc>
          <w:tcPr>
            <w:tcW w:w="0" w:type="dxa"/>
            <w:vAlign w:val="bottom"/>
          </w:tcPr>
          <w:p>
            <w:pPr>
              <w:spacing w:after="0"/>
              <w:rPr>
                <w:sz w:val="1"/>
                <w:szCs w:val="1"/>
                <w:color w:val="auto"/>
              </w:rPr>
            </w:pPr>
          </w:p>
        </w:tc>
      </w:tr>
      <w:tr>
        <w:trPr>
          <w:trHeight w:val="159"/>
        </w:trPr>
        <w:tc>
          <w:tcPr>
            <w:tcW w:w="2660" w:type="dxa"/>
            <w:vAlign w:val="bottom"/>
            <w:shd w:val="clear" w:color="auto" w:fill="B8B8B8"/>
          </w:tcPr>
          <w:p>
            <w:pPr>
              <w:spacing w:after="0"/>
              <w:rPr>
                <w:sz w:val="13"/>
                <w:szCs w:val="13"/>
                <w:color w:val="auto"/>
              </w:rPr>
            </w:pPr>
          </w:p>
        </w:tc>
        <w:tc>
          <w:tcPr>
            <w:tcW w:w="3060" w:type="dxa"/>
            <w:vAlign w:val="bottom"/>
            <w:shd w:val="clear" w:color="auto" w:fill="B8B8B8"/>
          </w:tcPr>
          <w:p>
            <w:pPr>
              <w:jc w:val="center"/>
              <w:ind w:left="221"/>
              <w:spacing w:after="0" w:line="159" w:lineRule="exact"/>
              <w:rPr>
                <w:sz w:val="20"/>
                <w:szCs w:val="20"/>
                <w:color w:val="auto"/>
              </w:rPr>
            </w:pPr>
            <w:r>
              <w:rPr>
                <w:rFonts w:ascii="Arial" w:cs="Arial" w:eastAsia="Arial" w:hAnsi="Arial"/>
                <w:sz w:val="16"/>
                <w:szCs w:val="16"/>
                <w:b w:val="1"/>
                <w:bCs w:val="1"/>
                <w:color w:val="FFFFFF"/>
                <w:w w:val="99"/>
              </w:rPr>
              <w:t>of Outstanding Options, Warrants</w:t>
            </w:r>
          </w:p>
        </w:tc>
        <w:tc>
          <w:tcPr>
            <w:tcW w:w="232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w w:val="98"/>
              </w:rPr>
              <w:t>Options, Warrants</w:t>
            </w:r>
          </w:p>
        </w:tc>
        <w:tc>
          <w:tcPr>
            <w:tcW w:w="320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w w:val="99"/>
              </w:rPr>
              <w:t>Plans (Excluding Securities Reflected in</w:t>
            </w:r>
          </w:p>
        </w:tc>
        <w:tc>
          <w:tcPr>
            <w:tcW w:w="0" w:type="dxa"/>
            <w:vAlign w:val="bottom"/>
          </w:tcPr>
          <w:p>
            <w:pPr>
              <w:spacing w:after="0"/>
              <w:rPr>
                <w:sz w:val="1"/>
                <w:szCs w:val="1"/>
                <w:color w:val="auto"/>
              </w:rPr>
            </w:pPr>
          </w:p>
        </w:tc>
      </w:tr>
      <w:tr>
        <w:trPr>
          <w:trHeight w:val="159"/>
        </w:trPr>
        <w:tc>
          <w:tcPr>
            <w:tcW w:w="2660" w:type="dxa"/>
            <w:vAlign w:val="bottom"/>
            <w:vMerge w:val="restart"/>
            <w:shd w:val="clear" w:color="auto" w:fill="B8B8B8"/>
          </w:tcPr>
          <w:p>
            <w:pPr>
              <w:ind w:left="20"/>
              <w:spacing w:after="0"/>
              <w:rPr>
                <w:sz w:val="20"/>
                <w:szCs w:val="20"/>
                <w:color w:val="auto"/>
              </w:rPr>
            </w:pPr>
            <w:r>
              <w:rPr>
                <w:rFonts w:ascii="Arial" w:cs="Arial" w:eastAsia="Arial" w:hAnsi="Arial"/>
                <w:sz w:val="16"/>
                <w:szCs w:val="16"/>
                <w:b w:val="1"/>
                <w:bCs w:val="1"/>
                <w:color w:val="FFFFFF"/>
              </w:rPr>
              <w:t>Plan Category</w:t>
            </w:r>
          </w:p>
        </w:tc>
        <w:tc>
          <w:tcPr>
            <w:tcW w:w="3060" w:type="dxa"/>
            <w:vAlign w:val="bottom"/>
            <w:shd w:val="clear" w:color="auto" w:fill="B8B8B8"/>
          </w:tcPr>
          <w:p>
            <w:pPr>
              <w:jc w:val="center"/>
              <w:ind w:left="201"/>
              <w:spacing w:after="0" w:line="159" w:lineRule="exact"/>
              <w:rPr>
                <w:sz w:val="20"/>
                <w:szCs w:val="20"/>
                <w:color w:val="auto"/>
              </w:rPr>
            </w:pPr>
            <w:r>
              <w:rPr>
                <w:rFonts w:ascii="Arial" w:cs="Arial" w:eastAsia="Arial" w:hAnsi="Arial"/>
                <w:sz w:val="16"/>
                <w:szCs w:val="16"/>
                <w:b w:val="1"/>
                <w:bCs w:val="1"/>
                <w:color w:val="FFFFFF"/>
                <w:w w:val="99"/>
              </w:rPr>
              <w:t>and Rights</w:t>
            </w:r>
          </w:p>
        </w:tc>
        <w:tc>
          <w:tcPr>
            <w:tcW w:w="232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w w:val="99"/>
              </w:rPr>
              <w:t>and Rights ($)</w:t>
            </w:r>
          </w:p>
        </w:tc>
        <w:tc>
          <w:tcPr>
            <w:tcW w:w="3200" w:type="dxa"/>
            <w:vAlign w:val="bottom"/>
            <w:shd w:val="clear" w:color="auto" w:fill="B8B8B8"/>
          </w:tcPr>
          <w:p>
            <w:pPr>
              <w:jc w:val="center"/>
              <w:spacing w:after="0" w:line="159" w:lineRule="exact"/>
              <w:rPr>
                <w:sz w:val="20"/>
                <w:szCs w:val="20"/>
                <w:color w:val="auto"/>
              </w:rPr>
            </w:pPr>
            <w:r>
              <w:rPr>
                <w:rFonts w:ascii="Arial" w:cs="Arial" w:eastAsia="Arial" w:hAnsi="Arial"/>
                <w:sz w:val="16"/>
                <w:szCs w:val="16"/>
                <w:b w:val="1"/>
                <w:bCs w:val="1"/>
                <w:color w:val="FFFFFF"/>
                <w:w w:val="98"/>
              </w:rPr>
              <w:t>Column (a))</w:t>
            </w:r>
          </w:p>
        </w:tc>
        <w:tc>
          <w:tcPr>
            <w:tcW w:w="0" w:type="dxa"/>
            <w:vAlign w:val="bottom"/>
          </w:tcPr>
          <w:p>
            <w:pPr>
              <w:spacing w:after="0"/>
              <w:rPr>
                <w:sz w:val="1"/>
                <w:szCs w:val="1"/>
                <w:color w:val="auto"/>
              </w:rPr>
            </w:pPr>
          </w:p>
        </w:tc>
      </w:tr>
      <w:tr>
        <w:trPr>
          <w:trHeight w:val="212"/>
        </w:trPr>
        <w:tc>
          <w:tcPr>
            <w:tcW w:w="2660" w:type="dxa"/>
            <w:vAlign w:val="bottom"/>
            <w:tcBorders>
              <w:bottom w:val="single" w:sz="8" w:color="CC092F"/>
            </w:tcBorders>
            <w:vMerge w:val="continue"/>
            <w:shd w:val="clear" w:color="auto" w:fill="B8B8B8"/>
          </w:tcPr>
          <w:p>
            <w:pPr>
              <w:spacing w:after="0"/>
              <w:rPr>
                <w:sz w:val="18"/>
                <w:szCs w:val="18"/>
                <w:color w:val="auto"/>
              </w:rPr>
            </w:pPr>
          </w:p>
        </w:tc>
        <w:tc>
          <w:tcPr>
            <w:tcW w:w="3060" w:type="dxa"/>
            <w:vAlign w:val="bottom"/>
            <w:tcBorders>
              <w:bottom w:val="single" w:sz="8" w:color="CC092F"/>
            </w:tcBorders>
            <w:shd w:val="clear" w:color="auto" w:fill="B8B8B8"/>
          </w:tcPr>
          <w:p>
            <w:pPr>
              <w:jc w:val="center"/>
              <w:ind w:left="221"/>
              <w:spacing w:after="0"/>
              <w:rPr>
                <w:sz w:val="20"/>
                <w:szCs w:val="20"/>
                <w:color w:val="auto"/>
              </w:rPr>
            </w:pPr>
            <w:r>
              <w:rPr>
                <w:rFonts w:ascii="Arial" w:cs="Arial" w:eastAsia="Arial" w:hAnsi="Arial"/>
                <w:sz w:val="16"/>
                <w:szCs w:val="16"/>
                <w:b w:val="1"/>
                <w:bCs w:val="1"/>
                <w:color w:val="FFFFFF"/>
              </w:rPr>
              <w:t>(a)</w:t>
            </w:r>
          </w:p>
        </w:tc>
        <w:tc>
          <w:tcPr>
            <w:tcW w:w="2320" w:type="dxa"/>
            <w:vAlign w:val="bottom"/>
            <w:tcBorders>
              <w:bottom w:val="single" w:sz="8" w:color="CC092F"/>
            </w:tcBorders>
            <w:shd w:val="clear" w:color="auto" w:fill="B8B8B8"/>
          </w:tcPr>
          <w:p>
            <w:pPr>
              <w:jc w:val="center"/>
              <w:spacing w:after="0" w:line="212" w:lineRule="exact"/>
              <w:rPr>
                <w:sz w:val="20"/>
                <w:szCs w:val="20"/>
                <w:color w:val="auto"/>
              </w:rPr>
            </w:pPr>
            <w:r>
              <w:rPr>
                <w:rFonts w:ascii="Arial" w:cs="Arial" w:eastAsia="Arial" w:hAnsi="Arial"/>
                <w:sz w:val="16"/>
                <w:szCs w:val="16"/>
                <w:b w:val="1"/>
                <w:bCs w:val="1"/>
                <w:color w:val="FFFFFF"/>
                <w:w w:val="86"/>
              </w:rPr>
              <w:t>(b)</w:t>
            </w:r>
            <w:r>
              <w:rPr>
                <w:rFonts w:ascii="Arial" w:cs="Arial" w:eastAsia="Arial" w:hAnsi="Arial"/>
                <w:sz w:val="20"/>
                <w:szCs w:val="20"/>
                <w:b w:val="1"/>
                <w:bCs w:val="1"/>
                <w:color w:val="FFFFFF"/>
                <w:w w:val="86"/>
                <w:vertAlign w:val="superscript"/>
              </w:rPr>
              <w:t>(1)</w:t>
            </w:r>
          </w:p>
        </w:tc>
        <w:tc>
          <w:tcPr>
            <w:tcW w:w="320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6"/>
                <w:szCs w:val="16"/>
                <w:b w:val="1"/>
                <w:bCs w:val="1"/>
                <w:color w:val="FFFFFF"/>
                <w:w w:val="91"/>
              </w:rPr>
              <w:t>(c)</w:t>
            </w:r>
          </w:p>
        </w:tc>
        <w:tc>
          <w:tcPr>
            <w:tcW w:w="0" w:type="dxa"/>
            <w:vAlign w:val="bottom"/>
          </w:tcPr>
          <w:p>
            <w:pPr>
              <w:spacing w:after="0"/>
              <w:rPr>
                <w:sz w:val="1"/>
                <w:szCs w:val="1"/>
                <w:color w:val="auto"/>
              </w:rPr>
            </w:pPr>
          </w:p>
        </w:tc>
      </w:tr>
      <w:tr>
        <w:trPr>
          <w:trHeight w:val="207"/>
        </w:trPr>
        <w:tc>
          <w:tcPr>
            <w:tcW w:w="2660" w:type="dxa"/>
            <w:vAlign w:val="bottom"/>
          </w:tcPr>
          <w:p>
            <w:pPr>
              <w:ind w:left="20"/>
              <w:spacing w:after="0"/>
              <w:rPr>
                <w:sz w:val="20"/>
                <w:szCs w:val="20"/>
                <w:color w:val="auto"/>
              </w:rPr>
            </w:pPr>
            <w:r>
              <w:rPr>
                <w:rFonts w:ascii="Arial" w:cs="Arial" w:eastAsia="Arial" w:hAnsi="Arial"/>
                <w:sz w:val="16"/>
                <w:szCs w:val="16"/>
                <w:color w:val="242424"/>
              </w:rPr>
              <w:t>Equity Compensation plans</w:t>
            </w:r>
          </w:p>
        </w:tc>
        <w:tc>
          <w:tcPr>
            <w:tcW w:w="3060" w:type="dxa"/>
            <w:vAlign w:val="bottom"/>
            <w:vMerge w:val="restart"/>
          </w:tcPr>
          <w:p>
            <w:pPr>
              <w:jc w:val="right"/>
              <w:ind w:right="621"/>
              <w:spacing w:after="0"/>
              <w:rPr>
                <w:sz w:val="20"/>
                <w:szCs w:val="20"/>
                <w:color w:val="auto"/>
              </w:rPr>
            </w:pPr>
            <w:r>
              <w:rPr>
                <w:rFonts w:ascii="Arial" w:cs="Arial" w:eastAsia="Arial" w:hAnsi="Arial"/>
                <w:sz w:val="16"/>
                <w:szCs w:val="16"/>
                <w:color w:val="242424"/>
              </w:rPr>
              <w:t>23,214,989</w:t>
            </w:r>
            <w:r>
              <w:rPr>
                <w:rFonts w:ascii="Arial" w:cs="Arial" w:eastAsia="Arial" w:hAnsi="Arial"/>
                <w:sz w:val="20"/>
                <w:szCs w:val="20"/>
                <w:color w:val="242424"/>
                <w:vertAlign w:val="superscript"/>
              </w:rPr>
              <w:t>(2)</w:t>
            </w:r>
          </w:p>
        </w:tc>
        <w:tc>
          <w:tcPr>
            <w:tcW w:w="2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242424"/>
              </w:rPr>
              <w:t>approved by stockholders</w:t>
            </w:r>
          </w:p>
        </w:tc>
        <w:tc>
          <w:tcPr>
            <w:tcW w:w="3060" w:type="dxa"/>
            <w:vAlign w:val="bottom"/>
            <w:vMerge w:val="continue"/>
          </w:tcPr>
          <w:p>
            <w:pPr>
              <w:spacing w:after="0"/>
              <w:rPr>
                <w:sz w:val="18"/>
                <w:szCs w:val="18"/>
                <w:color w:val="auto"/>
              </w:rPr>
            </w:pPr>
          </w:p>
        </w:tc>
        <w:tc>
          <w:tcPr>
            <w:tcW w:w="2320" w:type="dxa"/>
            <w:vAlign w:val="bottom"/>
          </w:tcPr>
          <w:p>
            <w:pPr>
              <w:jc w:val="right"/>
              <w:ind w:right="1241"/>
              <w:spacing w:after="0"/>
              <w:rPr>
                <w:sz w:val="20"/>
                <w:szCs w:val="20"/>
                <w:color w:val="auto"/>
              </w:rPr>
            </w:pPr>
            <w:r>
              <w:rPr>
                <w:rFonts w:ascii="Arial" w:cs="Arial" w:eastAsia="Arial" w:hAnsi="Arial"/>
                <w:sz w:val="16"/>
                <w:szCs w:val="16"/>
                <w:color w:val="242424"/>
              </w:rPr>
              <w:t>$ 99.67</w:t>
            </w:r>
          </w:p>
        </w:tc>
        <w:tc>
          <w:tcPr>
            <w:tcW w:w="3200" w:type="dxa"/>
            <w:vAlign w:val="bottom"/>
          </w:tcPr>
          <w:p>
            <w:pPr>
              <w:jc w:val="right"/>
              <w:ind w:right="961"/>
              <w:spacing w:after="0" w:line="210" w:lineRule="exact"/>
              <w:rPr>
                <w:sz w:val="20"/>
                <w:szCs w:val="20"/>
                <w:color w:val="auto"/>
              </w:rPr>
            </w:pPr>
            <w:r>
              <w:rPr>
                <w:rFonts w:ascii="Arial" w:cs="Arial" w:eastAsia="Arial" w:hAnsi="Arial"/>
                <w:sz w:val="16"/>
                <w:szCs w:val="16"/>
                <w:color w:val="242424"/>
              </w:rPr>
              <w:t>21,055,110</w:t>
            </w:r>
            <w:r>
              <w:rPr>
                <w:rFonts w:ascii="Arial" w:cs="Arial" w:eastAsia="Arial" w:hAnsi="Arial"/>
                <w:sz w:val="20"/>
                <w:szCs w:val="20"/>
                <w:color w:val="242424"/>
                <w:vertAlign w:val="superscript"/>
              </w:rPr>
              <w:t>(3)</w:t>
            </w:r>
          </w:p>
        </w:tc>
        <w:tc>
          <w:tcPr>
            <w:tcW w:w="0" w:type="dxa"/>
            <w:vAlign w:val="bottom"/>
          </w:tcPr>
          <w:p>
            <w:pPr>
              <w:spacing w:after="0"/>
              <w:rPr>
                <w:sz w:val="1"/>
                <w:szCs w:val="1"/>
                <w:color w:val="auto"/>
              </w:rPr>
            </w:pPr>
          </w:p>
        </w:tc>
      </w:tr>
      <w:tr>
        <w:trPr>
          <w:trHeight w:val="214"/>
        </w:trPr>
        <w:tc>
          <w:tcPr>
            <w:tcW w:w="266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Employee stock purchase plans</w:t>
            </w:r>
          </w:p>
        </w:tc>
        <w:tc>
          <w:tcPr>
            <w:tcW w:w="3060" w:type="dxa"/>
            <w:vAlign w:val="bottom"/>
            <w:shd w:val="clear" w:color="auto" w:fill="EAEAEA"/>
          </w:tcPr>
          <w:p>
            <w:pPr>
              <w:spacing w:after="0"/>
              <w:rPr>
                <w:sz w:val="18"/>
                <w:szCs w:val="18"/>
                <w:color w:val="auto"/>
              </w:rPr>
            </w:pPr>
          </w:p>
        </w:tc>
        <w:tc>
          <w:tcPr>
            <w:tcW w:w="2320" w:type="dxa"/>
            <w:vAlign w:val="bottom"/>
            <w:shd w:val="clear" w:color="auto" w:fill="EAEAEA"/>
          </w:tcPr>
          <w:p>
            <w:pPr>
              <w:spacing w:after="0"/>
              <w:rPr>
                <w:sz w:val="18"/>
                <w:szCs w:val="18"/>
                <w:color w:val="auto"/>
              </w:rPr>
            </w:pPr>
          </w:p>
        </w:tc>
        <w:tc>
          <w:tcPr>
            <w:tcW w:w="32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approved by stockholders</w:t>
            </w:r>
          </w:p>
        </w:tc>
        <w:tc>
          <w:tcPr>
            <w:tcW w:w="3060" w:type="dxa"/>
            <w:vAlign w:val="bottom"/>
            <w:shd w:val="clear" w:color="auto" w:fill="EAEAEA"/>
          </w:tcPr>
          <w:p>
            <w:pPr>
              <w:spacing w:after="0"/>
              <w:rPr>
                <w:sz w:val="18"/>
                <w:szCs w:val="18"/>
                <w:color w:val="auto"/>
              </w:rPr>
            </w:pPr>
          </w:p>
        </w:tc>
        <w:tc>
          <w:tcPr>
            <w:tcW w:w="2320" w:type="dxa"/>
            <w:vAlign w:val="bottom"/>
            <w:shd w:val="clear" w:color="auto" w:fill="EAEAEA"/>
          </w:tcPr>
          <w:p>
            <w:pPr>
              <w:spacing w:after="0"/>
              <w:rPr>
                <w:sz w:val="18"/>
                <w:szCs w:val="18"/>
                <w:color w:val="auto"/>
              </w:rPr>
            </w:pPr>
          </w:p>
        </w:tc>
        <w:tc>
          <w:tcPr>
            <w:tcW w:w="3200" w:type="dxa"/>
            <w:vAlign w:val="bottom"/>
            <w:shd w:val="clear" w:color="auto" w:fill="EAEAEA"/>
          </w:tcPr>
          <w:p>
            <w:pPr>
              <w:jc w:val="right"/>
              <w:ind w:right="1121"/>
              <w:spacing w:after="0"/>
              <w:rPr>
                <w:sz w:val="20"/>
                <w:szCs w:val="20"/>
                <w:color w:val="auto"/>
              </w:rPr>
            </w:pPr>
            <w:r>
              <w:rPr>
                <w:rFonts w:ascii="Arial" w:cs="Arial" w:eastAsia="Arial" w:hAnsi="Arial"/>
                <w:sz w:val="16"/>
                <w:szCs w:val="16"/>
                <w:color w:val="242424"/>
              </w:rPr>
              <w:t>6,201,900</w:t>
            </w:r>
          </w:p>
        </w:tc>
        <w:tc>
          <w:tcPr>
            <w:tcW w:w="0" w:type="dxa"/>
            <w:vAlign w:val="bottom"/>
          </w:tcPr>
          <w:p>
            <w:pPr>
              <w:spacing w:after="0"/>
              <w:rPr>
                <w:sz w:val="1"/>
                <w:szCs w:val="1"/>
                <w:color w:val="auto"/>
              </w:rPr>
            </w:pPr>
          </w:p>
        </w:tc>
      </w:tr>
      <w:tr>
        <w:trPr>
          <w:trHeight w:val="214"/>
        </w:trPr>
        <w:tc>
          <w:tcPr>
            <w:tcW w:w="2660" w:type="dxa"/>
            <w:vAlign w:val="bottom"/>
          </w:tcPr>
          <w:p>
            <w:pPr>
              <w:ind w:left="20"/>
              <w:spacing w:after="0"/>
              <w:rPr>
                <w:sz w:val="20"/>
                <w:szCs w:val="20"/>
                <w:color w:val="auto"/>
              </w:rPr>
            </w:pPr>
            <w:r>
              <w:rPr>
                <w:rFonts w:ascii="Arial" w:cs="Arial" w:eastAsia="Arial" w:hAnsi="Arial"/>
                <w:sz w:val="16"/>
                <w:szCs w:val="16"/>
                <w:color w:val="242424"/>
              </w:rPr>
              <w:t>Equity compensation plans not</w:t>
            </w:r>
          </w:p>
        </w:tc>
        <w:tc>
          <w:tcPr>
            <w:tcW w:w="3060" w:type="dxa"/>
            <w:vAlign w:val="bottom"/>
            <w:vMerge w:val="restart"/>
          </w:tcPr>
          <w:p>
            <w:pPr>
              <w:jc w:val="right"/>
              <w:ind w:right="661"/>
              <w:spacing w:after="0"/>
              <w:rPr>
                <w:sz w:val="20"/>
                <w:szCs w:val="20"/>
                <w:color w:val="auto"/>
              </w:rPr>
            </w:pPr>
            <w:r>
              <w:rPr>
                <w:rFonts w:ascii="Arial" w:cs="Arial" w:eastAsia="Arial" w:hAnsi="Arial"/>
                <w:sz w:val="16"/>
                <w:szCs w:val="16"/>
                <w:color w:val="242424"/>
              </w:rPr>
              <w:t>152,415</w:t>
            </w:r>
            <w:r>
              <w:rPr>
                <w:rFonts w:ascii="Arial" w:cs="Arial" w:eastAsia="Arial" w:hAnsi="Arial"/>
                <w:sz w:val="20"/>
                <w:szCs w:val="20"/>
                <w:color w:val="242424"/>
                <w:vertAlign w:val="superscript"/>
              </w:rPr>
              <w:t>(4)</w:t>
            </w:r>
          </w:p>
        </w:tc>
        <w:tc>
          <w:tcPr>
            <w:tcW w:w="2320" w:type="dxa"/>
            <w:vAlign w:val="bottom"/>
          </w:tcPr>
          <w:p>
            <w:pPr>
              <w:spacing w:after="0"/>
              <w:rPr>
                <w:sz w:val="18"/>
                <w:szCs w:val="18"/>
                <w:color w:val="auto"/>
              </w:rPr>
            </w:pPr>
          </w:p>
        </w:tc>
        <w:tc>
          <w:tcPr>
            <w:tcW w:w="3200" w:type="dxa"/>
            <w:vAlign w:val="bottom"/>
            <w:vMerge w:val="restart"/>
          </w:tcPr>
          <w:p>
            <w:pPr>
              <w:jc w:val="right"/>
              <w:ind w:right="1321"/>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242424"/>
              </w:rPr>
              <w:t>approved by stockholders</w:t>
            </w:r>
          </w:p>
        </w:tc>
        <w:tc>
          <w:tcPr>
            <w:tcW w:w="3060" w:type="dxa"/>
            <w:vAlign w:val="bottom"/>
            <w:vMerge w:val="continue"/>
          </w:tcPr>
          <w:p>
            <w:pPr>
              <w:spacing w:after="0"/>
              <w:rPr>
                <w:sz w:val="18"/>
                <w:szCs w:val="18"/>
                <w:color w:val="auto"/>
              </w:rPr>
            </w:pPr>
          </w:p>
        </w:tc>
        <w:tc>
          <w:tcPr>
            <w:tcW w:w="2320" w:type="dxa"/>
            <w:vAlign w:val="bottom"/>
          </w:tcPr>
          <w:p>
            <w:pPr>
              <w:jc w:val="right"/>
              <w:ind w:right="1241"/>
              <w:spacing w:after="0"/>
              <w:rPr>
                <w:sz w:val="20"/>
                <w:szCs w:val="20"/>
                <w:color w:val="auto"/>
              </w:rPr>
            </w:pPr>
            <w:r>
              <w:rPr>
                <w:rFonts w:ascii="Arial" w:cs="Arial" w:eastAsia="Arial" w:hAnsi="Arial"/>
                <w:sz w:val="16"/>
                <w:szCs w:val="16"/>
                <w:color w:val="242424"/>
              </w:rPr>
              <w:t>$ 81.40</w:t>
            </w:r>
          </w:p>
        </w:tc>
        <w:tc>
          <w:tcPr>
            <w:tcW w:w="3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60" w:type="dxa"/>
            <w:vAlign w:val="bottom"/>
            <w:shd w:val="clear" w:color="auto" w:fill="EAEAEA"/>
          </w:tcPr>
          <w:p>
            <w:pPr>
              <w:ind w:left="140"/>
              <w:spacing w:after="0"/>
              <w:rPr>
                <w:sz w:val="20"/>
                <w:szCs w:val="20"/>
                <w:color w:val="auto"/>
              </w:rPr>
            </w:pPr>
            <w:r>
              <w:rPr>
                <w:rFonts w:ascii="Arial" w:cs="Arial" w:eastAsia="Arial" w:hAnsi="Arial"/>
                <w:sz w:val="16"/>
                <w:szCs w:val="16"/>
                <w:color w:val="242424"/>
              </w:rPr>
              <w:t>Total</w:t>
            </w:r>
          </w:p>
        </w:tc>
        <w:tc>
          <w:tcPr>
            <w:tcW w:w="3060" w:type="dxa"/>
            <w:vAlign w:val="bottom"/>
            <w:shd w:val="clear" w:color="auto" w:fill="EAEAEA"/>
          </w:tcPr>
          <w:p>
            <w:pPr>
              <w:jc w:val="right"/>
              <w:ind w:right="801"/>
              <w:spacing w:after="0"/>
              <w:rPr>
                <w:sz w:val="20"/>
                <w:szCs w:val="20"/>
                <w:color w:val="auto"/>
              </w:rPr>
            </w:pPr>
            <w:r>
              <w:rPr>
                <w:rFonts w:ascii="Arial" w:cs="Arial" w:eastAsia="Arial" w:hAnsi="Arial"/>
                <w:sz w:val="16"/>
                <w:szCs w:val="16"/>
                <w:color w:val="242424"/>
              </w:rPr>
              <w:t>23,367,404</w:t>
            </w:r>
          </w:p>
        </w:tc>
        <w:tc>
          <w:tcPr>
            <w:tcW w:w="2320" w:type="dxa"/>
            <w:vAlign w:val="bottom"/>
            <w:shd w:val="clear" w:color="auto" w:fill="EAEAEA"/>
          </w:tcPr>
          <w:p>
            <w:pPr>
              <w:jc w:val="right"/>
              <w:ind w:right="1241"/>
              <w:spacing w:after="0"/>
              <w:rPr>
                <w:sz w:val="20"/>
                <w:szCs w:val="20"/>
                <w:color w:val="auto"/>
              </w:rPr>
            </w:pPr>
            <w:r>
              <w:rPr>
                <w:rFonts w:ascii="Arial" w:cs="Arial" w:eastAsia="Arial" w:hAnsi="Arial"/>
                <w:sz w:val="16"/>
                <w:szCs w:val="16"/>
                <w:color w:val="242424"/>
              </w:rPr>
              <w:t>$ 82.49</w:t>
            </w:r>
          </w:p>
        </w:tc>
        <w:tc>
          <w:tcPr>
            <w:tcW w:w="3200" w:type="dxa"/>
            <w:vAlign w:val="bottom"/>
            <w:shd w:val="clear" w:color="auto" w:fill="EAEAEA"/>
          </w:tcPr>
          <w:p>
            <w:pPr>
              <w:jc w:val="right"/>
              <w:ind w:right="1121"/>
              <w:spacing w:after="0"/>
              <w:rPr>
                <w:sz w:val="20"/>
                <w:szCs w:val="20"/>
                <w:color w:val="auto"/>
              </w:rPr>
            </w:pPr>
            <w:r>
              <w:rPr>
                <w:rFonts w:ascii="Arial" w:cs="Arial" w:eastAsia="Arial" w:hAnsi="Arial"/>
                <w:sz w:val="16"/>
                <w:szCs w:val="16"/>
                <w:color w:val="242424"/>
              </w:rPr>
              <w:t>27,257,010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151130</wp:posOffset>
            </wp:positionV>
            <wp:extent cx="1993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89" w:lineRule="exact"/>
        <w:rPr>
          <w:sz w:val="20"/>
          <w:szCs w:val="20"/>
          <w:color w:val="auto"/>
        </w:rPr>
      </w:pPr>
    </w:p>
    <w:p>
      <w:pPr>
        <w:ind w:left="400" w:right="200" w:hanging="315"/>
        <w:spacing w:after="0" w:line="250" w:lineRule="auto"/>
        <w:tabs>
          <w:tab w:leader="none" w:pos="412" w:val="left"/>
        </w:tabs>
        <w:numPr>
          <w:ilvl w:val="0"/>
          <w:numId w:val="88"/>
        </w:numPr>
        <w:rPr>
          <w:rFonts w:ascii="Arial" w:cs="Arial" w:eastAsia="Arial" w:hAnsi="Arial"/>
          <w:sz w:val="14"/>
          <w:szCs w:val="14"/>
          <w:color w:val="242424"/>
        </w:rPr>
      </w:pPr>
      <w:r>
        <w:rPr>
          <w:rFonts w:ascii="Arial" w:cs="Arial" w:eastAsia="Arial" w:hAnsi="Arial"/>
          <w:sz w:val="14"/>
          <w:szCs w:val="14"/>
          <w:color w:val="242424"/>
        </w:rPr>
        <w:t>Shares of common stock issuable upon vesting of service-based RSU awards and PSU awards have been excluded from the calculation of the weighted average exercise price because they have no exercise price associated with them.</w:t>
      </w:r>
    </w:p>
    <w:p>
      <w:pPr>
        <w:spacing w:after="0" w:line="35" w:lineRule="exact"/>
        <w:rPr>
          <w:rFonts w:ascii="Arial" w:cs="Arial" w:eastAsia="Arial" w:hAnsi="Arial"/>
          <w:sz w:val="14"/>
          <w:szCs w:val="14"/>
          <w:color w:val="242424"/>
        </w:rPr>
      </w:pPr>
    </w:p>
    <w:p>
      <w:pPr>
        <w:ind w:left="400" w:right="100" w:hanging="315"/>
        <w:spacing w:after="0" w:line="241" w:lineRule="auto"/>
        <w:tabs>
          <w:tab w:leader="none" w:pos="412" w:val="left"/>
        </w:tabs>
        <w:numPr>
          <w:ilvl w:val="0"/>
          <w:numId w:val="88"/>
        </w:numPr>
        <w:rPr>
          <w:rFonts w:ascii="Arial" w:cs="Arial" w:eastAsia="Arial" w:hAnsi="Arial"/>
          <w:sz w:val="14"/>
          <w:szCs w:val="14"/>
          <w:color w:val="242424"/>
        </w:rPr>
      </w:pPr>
      <w:r>
        <w:rPr>
          <w:rFonts w:ascii="Arial" w:cs="Arial" w:eastAsia="Arial" w:hAnsi="Arial"/>
          <w:sz w:val="14"/>
          <w:szCs w:val="14"/>
          <w:color w:val="242424"/>
        </w:rPr>
        <w:t>Represents (i) 508 shares of common stock subject to outstanding stock options and 5,791,160 shares of common stock that may be issued upon vesting of outstanding service-based RSU awards and PSU awards (assuming the maximum performance level for PSUs), in each case pursuant to equity awards issued under the Avago Plan and (ii) 17,423,321 shares of common stock that may be issued upon the vesting of outstanding RSU awards and PSU awards (assuming the maximum performance level), all of which were awarded under the 2012 Plan.</w:t>
      </w:r>
    </w:p>
    <w:p>
      <w:pPr>
        <w:spacing w:after="0" w:line="42" w:lineRule="exact"/>
        <w:rPr>
          <w:rFonts w:ascii="Arial" w:cs="Arial" w:eastAsia="Arial" w:hAnsi="Arial"/>
          <w:sz w:val="14"/>
          <w:szCs w:val="14"/>
          <w:color w:val="242424"/>
        </w:rPr>
      </w:pPr>
    </w:p>
    <w:p>
      <w:pPr>
        <w:ind w:left="420" w:hanging="335"/>
        <w:spacing w:after="0"/>
        <w:tabs>
          <w:tab w:leader="none" w:pos="420" w:val="left"/>
        </w:tabs>
        <w:numPr>
          <w:ilvl w:val="0"/>
          <w:numId w:val="88"/>
        </w:numPr>
        <w:rPr>
          <w:rFonts w:ascii="Arial" w:cs="Arial" w:eastAsia="Arial" w:hAnsi="Arial"/>
          <w:sz w:val="14"/>
          <w:szCs w:val="14"/>
          <w:color w:val="242424"/>
        </w:rPr>
      </w:pPr>
      <w:r>
        <w:rPr>
          <w:rFonts w:ascii="Arial" w:cs="Arial" w:eastAsia="Arial" w:hAnsi="Arial"/>
          <w:sz w:val="14"/>
          <w:szCs w:val="14"/>
          <w:color w:val="242424"/>
        </w:rPr>
        <w:t>Shares of common stock available for issuance under the 2012 Plan.</w:t>
      </w:r>
    </w:p>
    <w:p>
      <w:pPr>
        <w:spacing w:after="0" w:line="51" w:lineRule="exact"/>
        <w:rPr>
          <w:rFonts w:ascii="Arial" w:cs="Arial" w:eastAsia="Arial" w:hAnsi="Arial"/>
          <w:sz w:val="14"/>
          <w:szCs w:val="14"/>
          <w:color w:val="242424"/>
        </w:rPr>
      </w:pPr>
    </w:p>
    <w:p>
      <w:pPr>
        <w:jc w:val="both"/>
        <w:ind w:left="400" w:right="80" w:hanging="315"/>
        <w:spacing w:after="0" w:line="241" w:lineRule="auto"/>
        <w:tabs>
          <w:tab w:leader="none" w:pos="412" w:val="left"/>
        </w:tabs>
        <w:numPr>
          <w:ilvl w:val="0"/>
          <w:numId w:val="88"/>
        </w:numPr>
        <w:rPr>
          <w:rFonts w:ascii="Arial" w:cs="Arial" w:eastAsia="Arial" w:hAnsi="Arial"/>
          <w:sz w:val="14"/>
          <w:szCs w:val="14"/>
          <w:color w:val="242424"/>
        </w:rPr>
      </w:pPr>
      <w:r>
        <w:rPr>
          <w:rFonts w:ascii="Arial" w:cs="Arial" w:eastAsia="Arial" w:hAnsi="Arial"/>
          <w:sz w:val="14"/>
          <w:szCs w:val="14"/>
          <w:color w:val="242424"/>
        </w:rPr>
        <w:t>Represents (i) 7,851 shares of common stock subject to outstanding stock options and 144,354 shares of common stock that may be issued upon the vesting of outstanding service-based RSU awards and PSU awards (assuming the maximum performance level), all of which were awarded under the LSI Plan and (ii) and 210 shares of common stock subject to outstanding stock options granted pursuant to other equity compensation plans and agreements assumed by Broadcom in connection with our acquisition of other companies that originally established those plans or agreements.</w:t>
      </w:r>
    </w:p>
    <w:p>
      <w:pPr>
        <w:spacing w:after="0" w:line="275"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242424"/>
        </w:rPr>
        <w:t>For additional information regarding our equity compensation plans, please refer to Note 11 of Notes to Consolidated Financial Statements included in Part II, Item 8 of our 2021 Annual Report.</w:t>
      </w:r>
    </w:p>
    <w:p>
      <w:pPr>
        <w:spacing w:after="0" w:line="200" w:lineRule="exact"/>
        <w:rPr>
          <w:sz w:val="20"/>
          <w:szCs w:val="20"/>
          <w:color w:val="auto"/>
        </w:rPr>
      </w:pPr>
    </w:p>
    <w:p>
      <w:pPr>
        <w:spacing w:after="0" w:line="240" w:lineRule="exact"/>
        <w:rPr>
          <w:sz w:val="20"/>
          <w:szCs w:val="20"/>
          <w:color w:val="auto"/>
        </w:rPr>
      </w:pPr>
    </w:p>
    <w:p>
      <w:pPr>
        <w:ind w:left="360" w:hanging="354"/>
        <w:spacing w:after="0"/>
        <w:tabs>
          <w:tab w:leader="none" w:pos="360" w:val="left"/>
        </w:tabs>
        <w:numPr>
          <w:ilvl w:val="0"/>
          <w:numId w:val="89"/>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40"/>
          </w:cols>
          <w:pgMar w:left="320" w:top="340" w:right="339" w:bottom="1440" w:gutter="0" w:footer="0" w:header="0"/>
        </w:sectPr>
      </w:pPr>
    </w:p>
    <w:bookmarkStart w:id="57" w:name="page58"/>
    <w:bookmarkEnd w:id="57"/>
    <w:p>
      <w:pPr>
        <w:ind w:left="8880"/>
        <w:spacing w:after="0"/>
        <w:rPr>
          <w:sz w:val="20"/>
          <w:szCs w:val="20"/>
          <w:color w:val="auto"/>
        </w:rPr>
      </w:pPr>
      <w:r>
        <w:rPr>
          <w:rFonts w:ascii="Arial" w:cs="Arial" w:eastAsia="Arial" w:hAnsi="Arial"/>
          <w:sz w:val="15"/>
          <w:szCs w:val="15"/>
          <w:color w:val="CC092F"/>
        </w:rPr>
        <w:t>STOCKHOLDER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8"/>
          <w:szCs w:val="28"/>
          <w:color w:val="CC092F"/>
        </w:rPr>
        <w:t>STOCKHOLDER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Security Ownership of Certain Beneficial Owners, Directors and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242424"/>
        </w:rPr>
        <w:t>The following table sets forth information about the beneficial ownership of Broadcom common stock as of February 7, 2022 for:</w:t>
      </w:r>
    </w:p>
    <w:p>
      <w:pPr>
        <w:spacing w:after="0" w:line="68" w:lineRule="exact"/>
        <w:rPr>
          <w:sz w:val="20"/>
          <w:szCs w:val="20"/>
          <w:color w:val="auto"/>
        </w:rPr>
      </w:pPr>
    </w:p>
    <w:p>
      <w:pPr>
        <w:ind w:left="520" w:hanging="276"/>
        <w:spacing w:after="0"/>
        <w:tabs>
          <w:tab w:leader="none" w:pos="520" w:val="left"/>
        </w:tabs>
        <w:numPr>
          <w:ilvl w:val="0"/>
          <w:numId w:val="90"/>
        </w:numPr>
        <w:rPr>
          <w:rFonts w:ascii="Arial" w:cs="Arial" w:eastAsia="Arial" w:hAnsi="Arial"/>
          <w:sz w:val="21"/>
          <w:szCs w:val="21"/>
          <w:color w:val="242424"/>
        </w:rPr>
      </w:pPr>
      <w:r>
        <w:rPr>
          <w:rFonts w:ascii="Arial" w:cs="Arial" w:eastAsia="Arial" w:hAnsi="Arial"/>
          <w:sz w:val="18"/>
          <w:szCs w:val="18"/>
          <w:color w:val="242424"/>
        </w:rPr>
        <w:t>each named executive officer;</w:t>
      </w:r>
    </w:p>
    <w:p>
      <w:pPr>
        <w:spacing w:after="0" w:line="50" w:lineRule="exact"/>
        <w:rPr>
          <w:rFonts w:ascii="Arial" w:cs="Arial" w:eastAsia="Arial" w:hAnsi="Arial"/>
          <w:sz w:val="21"/>
          <w:szCs w:val="21"/>
          <w:color w:val="242424"/>
        </w:rPr>
      </w:pPr>
    </w:p>
    <w:p>
      <w:pPr>
        <w:ind w:left="520" w:hanging="276"/>
        <w:spacing w:after="0"/>
        <w:tabs>
          <w:tab w:leader="none" w:pos="520" w:val="left"/>
        </w:tabs>
        <w:numPr>
          <w:ilvl w:val="0"/>
          <w:numId w:val="90"/>
        </w:numPr>
        <w:rPr>
          <w:rFonts w:ascii="Arial" w:cs="Arial" w:eastAsia="Arial" w:hAnsi="Arial"/>
          <w:sz w:val="21"/>
          <w:szCs w:val="21"/>
          <w:color w:val="242424"/>
        </w:rPr>
      </w:pPr>
      <w:r>
        <w:rPr>
          <w:rFonts w:ascii="Arial" w:cs="Arial" w:eastAsia="Arial" w:hAnsi="Arial"/>
          <w:sz w:val="18"/>
          <w:szCs w:val="18"/>
          <w:color w:val="242424"/>
        </w:rPr>
        <w:t>each of our directors and nominees for director; and</w:t>
      </w:r>
    </w:p>
    <w:p>
      <w:pPr>
        <w:spacing w:after="0" w:line="50" w:lineRule="exact"/>
        <w:rPr>
          <w:rFonts w:ascii="Arial" w:cs="Arial" w:eastAsia="Arial" w:hAnsi="Arial"/>
          <w:sz w:val="21"/>
          <w:szCs w:val="21"/>
          <w:color w:val="242424"/>
        </w:rPr>
      </w:pPr>
    </w:p>
    <w:p>
      <w:pPr>
        <w:ind w:left="520" w:hanging="276"/>
        <w:spacing w:after="0"/>
        <w:tabs>
          <w:tab w:leader="none" w:pos="520" w:val="left"/>
        </w:tabs>
        <w:numPr>
          <w:ilvl w:val="0"/>
          <w:numId w:val="90"/>
        </w:numPr>
        <w:rPr>
          <w:rFonts w:ascii="Arial" w:cs="Arial" w:eastAsia="Arial" w:hAnsi="Arial"/>
          <w:sz w:val="21"/>
          <w:szCs w:val="21"/>
          <w:color w:val="242424"/>
        </w:rPr>
      </w:pPr>
      <w:r>
        <w:rPr>
          <w:rFonts w:ascii="Arial" w:cs="Arial" w:eastAsia="Arial" w:hAnsi="Arial"/>
          <w:sz w:val="18"/>
          <w:szCs w:val="18"/>
          <w:color w:val="242424"/>
        </w:rPr>
        <w:t>all of our executive officers and directors as a group.</w:t>
      </w:r>
    </w:p>
    <w:p>
      <w:pPr>
        <w:spacing w:after="0" w:line="53"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color w:val="242424"/>
        </w:rPr>
        <w:t>We have determined beneficial ownership in accordance with the rules of the SEC. Except as indicated by the footnotes below, we believe, based on the information furnished to us, that the persons and entities named in the table below have sole voting and dispositive power with respect to all common stock that they beneficially own.</w:t>
      </w:r>
    </w:p>
    <w:p>
      <w:pPr>
        <w:spacing w:after="0" w:line="12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242424"/>
        </w:rPr>
        <w:t>Common stock subject to service-based RSUs that vest within 60 days of February 7, 2022 are deemed to be outstanding and to be beneficially owned by the person holding the equity award for the purpose of computing the percentage ownership of that person but are not treated as outstanding for the purpose of computing the percentage ownership of any other person.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242424"/>
        </w:rPr>
        <w:t>In the table below, percentage ownership is based on 409,612,742 shares of common stock outstanding as of February 7,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Borders>
              <w:top w:val="single" w:sz="8" w:color="CC092F"/>
            </w:tcBorders>
            <w:shd w:val="clear" w:color="auto" w:fill="B8B8B8"/>
          </w:tcPr>
          <w:p>
            <w:pPr>
              <w:spacing w:after="0"/>
              <w:rPr>
                <w:sz w:val="19"/>
                <w:szCs w:val="19"/>
                <w:color w:val="auto"/>
              </w:rPr>
            </w:pPr>
          </w:p>
        </w:tc>
        <w:tc>
          <w:tcPr>
            <w:tcW w:w="4040" w:type="dxa"/>
            <w:vAlign w:val="bottom"/>
            <w:tcBorders>
              <w:top w:val="single" w:sz="8" w:color="CC092F"/>
            </w:tcBorders>
            <w:gridSpan w:val="2"/>
            <w:shd w:val="clear" w:color="auto" w:fill="B8B8B8"/>
          </w:tcPr>
          <w:p>
            <w:pPr>
              <w:jc w:val="center"/>
              <w:spacing w:after="0" w:line="226" w:lineRule="exact"/>
              <w:rPr>
                <w:sz w:val="20"/>
                <w:szCs w:val="20"/>
                <w:color w:val="auto"/>
              </w:rPr>
            </w:pPr>
            <w:r>
              <w:rPr>
                <w:rFonts w:ascii="Arial" w:cs="Arial" w:eastAsia="Arial" w:hAnsi="Arial"/>
                <w:sz w:val="16"/>
                <w:szCs w:val="16"/>
                <w:b w:val="1"/>
                <w:bCs w:val="1"/>
                <w:color w:val="FFFFFF"/>
                <w:w w:val="97"/>
              </w:rPr>
              <w:t>Shares Beneficially Owned</w:t>
            </w:r>
            <w:r>
              <w:rPr>
                <w:rFonts w:ascii="Arial" w:cs="Arial" w:eastAsia="Arial" w:hAnsi="Arial"/>
                <w:sz w:val="20"/>
                <w:szCs w:val="20"/>
                <w:b w:val="1"/>
                <w:bCs w:val="1"/>
                <w:color w:val="FFFFFF"/>
                <w:w w:val="97"/>
                <w:vertAlign w:val="superscript"/>
              </w:rPr>
              <w:t>(1)</w:t>
            </w:r>
          </w:p>
        </w:tc>
        <w:tc>
          <w:tcPr>
            <w:tcW w:w="0" w:type="dxa"/>
            <w:vAlign w:val="bottom"/>
          </w:tcPr>
          <w:p>
            <w:pPr>
              <w:spacing w:after="0"/>
              <w:rPr>
                <w:sz w:val="1"/>
                <w:szCs w:val="1"/>
                <w:color w:val="auto"/>
              </w:rPr>
            </w:pPr>
          </w:p>
        </w:tc>
      </w:tr>
      <w:tr>
        <w:trPr>
          <w:trHeight w:val="172"/>
        </w:trPr>
        <w:tc>
          <w:tcPr>
            <w:tcW w:w="7200" w:type="dxa"/>
            <w:vAlign w:val="bottom"/>
            <w:vMerge w:val="restart"/>
            <w:shd w:val="clear" w:color="auto" w:fill="B8B8B8"/>
          </w:tcPr>
          <w:p>
            <w:pPr>
              <w:ind w:left="20"/>
              <w:spacing w:after="0"/>
              <w:rPr>
                <w:sz w:val="20"/>
                <w:szCs w:val="20"/>
                <w:color w:val="auto"/>
              </w:rPr>
            </w:pPr>
            <w:r>
              <w:rPr>
                <w:rFonts w:ascii="Arial" w:cs="Arial" w:eastAsia="Arial" w:hAnsi="Arial"/>
                <w:sz w:val="16"/>
                <w:szCs w:val="16"/>
                <w:b w:val="1"/>
                <w:bCs w:val="1"/>
                <w:color w:val="FFFFFF"/>
              </w:rPr>
              <w:t>Name and Address of Beneficial Owners</w:t>
            </w:r>
          </w:p>
        </w:tc>
        <w:tc>
          <w:tcPr>
            <w:tcW w:w="4040" w:type="dxa"/>
            <w:vAlign w:val="bottom"/>
            <w:gridSpan w:val="2"/>
            <w:shd w:val="clear" w:color="auto" w:fill="B8B8B8"/>
          </w:tcPr>
          <w:p>
            <w:pPr>
              <w:jc w:val="center"/>
              <w:spacing w:after="0" w:line="172" w:lineRule="exact"/>
              <w:rPr>
                <w:sz w:val="20"/>
                <w:szCs w:val="20"/>
                <w:color w:val="auto"/>
              </w:rPr>
            </w:pPr>
            <w:r>
              <w:rPr>
                <w:rFonts w:ascii="Arial" w:cs="Arial" w:eastAsia="Arial" w:hAnsi="Arial"/>
                <w:sz w:val="16"/>
                <w:szCs w:val="16"/>
                <w:b w:val="1"/>
                <w:bCs w:val="1"/>
                <w:color w:val="FFFFFF"/>
              </w:rPr>
              <w:t>Number of Shares Common Percentage of Common</w:t>
            </w:r>
          </w:p>
        </w:tc>
        <w:tc>
          <w:tcPr>
            <w:tcW w:w="0" w:type="dxa"/>
            <w:vAlign w:val="bottom"/>
          </w:tcPr>
          <w:p>
            <w:pPr>
              <w:spacing w:after="0"/>
              <w:rPr>
                <w:sz w:val="1"/>
                <w:szCs w:val="1"/>
                <w:color w:val="auto"/>
              </w:rPr>
            </w:pPr>
          </w:p>
        </w:tc>
      </w:tr>
      <w:tr>
        <w:trPr>
          <w:trHeight w:val="212"/>
        </w:trPr>
        <w:tc>
          <w:tcPr>
            <w:tcW w:w="7200" w:type="dxa"/>
            <w:vAlign w:val="bottom"/>
            <w:tcBorders>
              <w:bottom w:val="single" w:sz="8" w:color="CC092F"/>
            </w:tcBorders>
            <w:vMerge w:val="continue"/>
            <w:shd w:val="clear" w:color="auto" w:fill="B8B8B8"/>
          </w:tcPr>
          <w:p>
            <w:pPr>
              <w:spacing w:after="0"/>
              <w:rPr>
                <w:sz w:val="18"/>
                <w:szCs w:val="18"/>
                <w:color w:val="auto"/>
              </w:rPr>
            </w:pPr>
          </w:p>
        </w:tc>
        <w:tc>
          <w:tcPr>
            <w:tcW w:w="2180" w:type="dxa"/>
            <w:vAlign w:val="bottom"/>
            <w:tcBorders>
              <w:bottom w:val="single" w:sz="8" w:color="CC092F"/>
            </w:tcBorders>
            <w:shd w:val="clear" w:color="auto" w:fill="B8B8B8"/>
          </w:tcPr>
          <w:p>
            <w:pPr>
              <w:jc w:val="right"/>
              <w:ind w:right="781"/>
              <w:spacing w:after="0"/>
              <w:rPr>
                <w:sz w:val="20"/>
                <w:szCs w:val="20"/>
                <w:color w:val="auto"/>
              </w:rPr>
            </w:pPr>
            <w:r>
              <w:rPr>
                <w:rFonts w:ascii="Arial" w:cs="Arial" w:eastAsia="Arial" w:hAnsi="Arial"/>
                <w:sz w:val="16"/>
                <w:szCs w:val="16"/>
                <w:b w:val="1"/>
                <w:bCs w:val="1"/>
                <w:color w:val="FFFFFF"/>
              </w:rPr>
              <w:t>Stock</w:t>
            </w:r>
          </w:p>
        </w:tc>
        <w:tc>
          <w:tcPr>
            <w:tcW w:w="1860" w:type="dxa"/>
            <w:vAlign w:val="bottom"/>
            <w:tcBorders>
              <w:bottom w:val="single" w:sz="8" w:color="CC092F"/>
            </w:tcBorders>
            <w:shd w:val="clear" w:color="auto" w:fill="B8B8B8"/>
          </w:tcPr>
          <w:p>
            <w:pPr>
              <w:ind w:left="720"/>
              <w:spacing w:after="0"/>
              <w:rPr>
                <w:sz w:val="20"/>
                <w:szCs w:val="20"/>
                <w:color w:val="auto"/>
              </w:rPr>
            </w:pPr>
            <w:r>
              <w:rPr>
                <w:rFonts w:ascii="Arial" w:cs="Arial" w:eastAsia="Arial" w:hAnsi="Arial"/>
                <w:sz w:val="16"/>
                <w:szCs w:val="16"/>
                <w:b w:val="1"/>
                <w:bCs w:val="1"/>
                <w:color w:val="FFFFFF"/>
              </w:rPr>
              <w:t>Stock</w:t>
            </w:r>
          </w:p>
        </w:tc>
        <w:tc>
          <w:tcPr>
            <w:tcW w:w="0" w:type="dxa"/>
            <w:vAlign w:val="bottom"/>
          </w:tcPr>
          <w:p>
            <w:pPr>
              <w:spacing w:after="0"/>
              <w:rPr>
                <w:sz w:val="1"/>
                <w:szCs w:val="1"/>
                <w:color w:val="auto"/>
              </w:rPr>
            </w:pPr>
          </w:p>
        </w:tc>
      </w:tr>
      <w:tr>
        <w:trPr>
          <w:trHeight w:val="212"/>
        </w:trPr>
        <w:tc>
          <w:tcPr>
            <w:tcW w:w="7200" w:type="dxa"/>
            <w:vAlign w:val="bottom"/>
          </w:tcPr>
          <w:p>
            <w:pPr>
              <w:ind w:left="60"/>
              <w:spacing w:after="0"/>
              <w:rPr>
                <w:sz w:val="20"/>
                <w:szCs w:val="20"/>
                <w:color w:val="auto"/>
              </w:rPr>
            </w:pPr>
            <w:r>
              <w:rPr>
                <w:rFonts w:ascii="Arial" w:cs="Arial" w:eastAsia="Arial" w:hAnsi="Arial"/>
                <w:sz w:val="16"/>
                <w:szCs w:val="16"/>
                <w:b w:val="1"/>
                <w:bCs w:val="1"/>
                <w:color w:val="242424"/>
              </w:rPr>
              <w:t>5% Stockholders</w:t>
            </w:r>
            <w:r>
              <w:rPr>
                <w:rFonts w:ascii="Arial" w:cs="Arial" w:eastAsia="Arial" w:hAnsi="Arial"/>
                <w:sz w:val="16"/>
                <w:szCs w:val="16"/>
                <w:color w:val="242424"/>
              </w:rPr>
              <w:t>:</w:t>
            </w:r>
          </w:p>
        </w:tc>
        <w:tc>
          <w:tcPr>
            <w:tcW w:w="2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7200" w:type="dxa"/>
            <w:vAlign w:val="bottom"/>
            <w:shd w:val="clear" w:color="auto" w:fill="EAEAEA"/>
          </w:tcPr>
          <w:p>
            <w:pPr>
              <w:ind w:left="60"/>
              <w:spacing w:after="0"/>
              <w:rPr>
                <w:sz w:val="20"/>
                <w:szCs w:val="20"/>
                <w:color w:val="auto"/>
              </w:rPr>
            </w:pPr>
            <w:r>
              <w:rPr>
                <w:rFonts w:ascii="Arial" w:cs="Arial" w:eastAsia="Arial" w:hAnsi="Arial"/>
                <w:sz w:val="16"/>
                <w:szCs w:val="16"/>
                <w:color w:val="242424"/>
              </w:rPr>
              <w:t>Capital World Investors</w:t>
            </w:r>
            <w:r>
              <w:rPr>
                <w:rFonts w:ascii="Arial" w:cs="Arial" w:eastAsia="Arial" w:hAnsi="Arial"/>
                <w:sz w:val="20"/>
                <w:szCs w:val="20"/>
                <w:color w:val="242424"/>
                <w:vertAlign w:val="superscript"/>
              </w:rPr>
              <w:t>(2)</w:t>
            </w:r>
          </w:p>
        </w:tc>
        <w:tc>
          <w:tcPr>
            <w:tcW w:w="2180" w:type="dxa"/>
            <w:vAlign w:val="bottom"/>
            <w:shd w:val="clear" w:color="auto" w:fill="EAEAEA"/>
          </w:tcPr>
          <w:p>
            <w:pPr>
              <w:jc w:val="right"/>
              <w:ind w:right="41"/>
              <w:spacing w:after="0"/>
              <w:rPr>
                <w:sz w:val="20"/>
                <w:szCs w:val="20"/>
                <w:color w:val="auto"/>
              </w:rPr>
            </w:pPr>
            <w:r>
              <w:rPr>
                <w:rFonts w:ascii="Arial" w:cs="Arial" w:eastAsia="Arial" w:hAnsi="Arial"/>
                <w:sz w:val="16"/>
                <w:szCs w:val="16"/>
                <w:color w:val="242424"/>
              </w:rPr>
              <w:t>40,657,396</w:t>
            </w:r>
          </w:p>
        </w:tc>
        <w:tc>
          <w:tcPr>
            <w:tcW w:w="18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8"/>
              </w:rPr>
              <w:t>9.9%</w:t>
            </w:r>
          </w:p>
        </w:tc>
        <w:tc>
          <w:tcPr>
            <w:tcW w:w="0" w:type="dxa"/>
            <w:vAlign w:val="bottom"/>
          </w:tcPr>
          <w:p>
            <w:pPr>
              <w:spacing w:after="0"/>
              <w:rPr>
                <w:sz w:val="1"/>
                <w:szCs w:val="1"/>
                <w:color w:val="auto"/>
              </w:rPr>
            </w:pPr>
          </w:p>
        </w:tc>
      </w:tr>
      <w:tr>
        <w:trPr>
          <w:trHeight w:val="207"/>
        </w:trPr>
        <w:tc>
          <w:tcPr>
            <w:tcW w:w="7200" w:type="dxa"/>
            <w:vAlign w:val="bottom"/>
            <w:shd w:val="clear" w:color="auto" w:fill="EAEAEA"/>
          </w:tcPr>
          <w:p>
            <w:pPr>
              <w:ind w:left="300"/>
              <w:spacing w:after="0"/>
              <w:rPr>
                <w:sz w:val="20"/>
                <w:szCs w:val="20"/>
                <w:color w:val="auto"/>
              </w:rPr>
            </w:pPr>
            <w:r>
              <w:rPr>
                <w:rFonts w:ascii="Arial" w:cs="Arial" w:eastAsia="Arial" w:hAnsi="Arial"/>
                <w:sz w:val="16"/>
                <w:szCs w:val="16"/>
                <w:color w:val="242424"/>
              </w:rPr>
              <w:t>333 South Hope Street, 55th Floor</w:t>
            </w:r>
          </w:p>
        </w:tc>
        <w:tc>
          <w:tcPr>
            <w:tcW w:w="2180" w:type="dxa"/>
            <w:vAlign w:val="bottom"/>
            <w:shd w:val="clear" w:color="auto" w:fill="EAEAEA"/>
          </w:tcPr>
          <w:p>
            <w:pPr>
              <w:spacing w:after="0"/>
              <w:rPr>
                <w:sz w:val="18"/>
                <w:szCs w:val="18"/>
                <w:color w:val="auto"/>
              </w:rPr>
            </w:pPr>
          </w:p>
        </w:tc>
        <w:tc>
          <w:tcPr>
            <w:tcW w:w="18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00" w:type="dxa"/>
            <w:vAlign w:val="bottom"/>
            <w:shd w:val="clear" w:color="auto" w:fill="EAEAEA"/>
          </w:tcPr>
          <w:p>
            <w:pPr>
              <w:ind w:left="300"/>
              <w:spacing w:after="0"/>
              <w:rPr>
                <w:sz w:val="20"/>
                <w:szCs w:val="20"/>
                <w:color w:val="auto"/>
              </w:rPr>
            </w:pPr>
            <w:r>
              <w:rPr>
                <w:rFonts w:ascii="Arial" w:cs="Arial" w:eastAsia="Arial" w:hAnsi="Arial"/>
                <w:sz w:val="16"/>
                <w:szCs w:val="16"/>
                <w:color w:val="242424"/>
              </w:rPr>
              <w:t>Los Angeles, CA 90071</w:t>
            </w:r>
          </w:p>
        </w:tc>
        <w:tc>
          <w:tcPr>
            <w:tcW w:w="2180" w:type="dxa"/>
            <w:vAlign w:val="bottom"/>
            <w:shd w:val="clear" w:color="auto" w:fill="EAEAEA"/>
          </w:tcPr>
          <w:p>
            <w:pPr>
              <w:spacing w:after="0"/>
              <w:rPr>
                <w:sz w:val="21"/>
                <w:szCs w:val="21"/>
                <w:color w:val="auto"/>
              </w:rPr>
            </w:pPr>
          </w:p>
        </w:tc>
        <w:tc>
          <w:tcPr>
            <w:tcW w:w="18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7200" w:type="dxa"/>
            <w:vAlign w:val="bottom"/>
          </w:tcPr>
          <w:p>
            <w:pPr>
              <w:ind w:left="60"/>
              <w:spacing w:after="0"/>
              <w:rPr>
                <w:sz w:val="20"/>
                <w:szCs w:val="20"/>
                <w:color w:val="auto"/>
              </w:rPr>
            </w:pPr>
            <w:r>
              <w:rPr>
                <w:rFonts w:ascii="Arial" w:cs="Arial" w:eastAsia="Arial" w:hAnsi="Arial"/>
                <w:sz w:val="16"/>
                <w:szCs w:val="16"/>
                <w:color w:val="242424"/>
              </w:rPr>
              <w:t>The Vanguard Group</w:t>
            </w:r>
            <w:r>
              <w:rPr>
                <w:rFonts w:ascii="Arial" w:cs="Arial" w:eastAsia="Arial" w:hAnsi="Arial"/>
                <w:sz w:val="20"/>
                <w:szCs w:val="20"/>
                <w:color w:val="242424"/>
                <w:vertAlign w:val="superscript"/>
              </w:rPr>
              <w:t>(3)</w:t>
            </w:r>
          </w:p>
        </w:tc>
        <w:tc>
          <w:tcPr>
            <w:tcW w:w="2180" w:type="dxa"/>
            <w:vAlign w:val="bottom"/>
          </w:tcPr>
          <w:p>
            <w:pPr>
              <w:jc w:val="right"/>
              <w:ind w:right="41"/>
              <w:spacing w:after="0"/>
              <w:rPr>
                <w:sz w:val="20"/>
                <w:szCs w:val="20"/>
                <w:color w:val="auto"/>
              </w:rPr>
            </w:pPr>
            <w:r>
              <w:rPr>
                <w:rFonts w:ascii="Arial" w:cs="Arial" w:eastAsia="Arial" w:hAnsi="Arial"/>
                <w:sz w:val="16"/>
                <w:szCs w:val="16"/>
                <w:color w:val="242424"/>
              </w:rPr>
              <w:t>36,465,158</w:t>
            </w:r>
          </w:p>
        </w:tc>
        <w:tc>
          <w:tcPr>
            <w:tcW w:w="1860" w:type="dxa"/>
            <w:vAlign w:val="bottom"/>
          </w:tcPr>
          <w:p>
            <w:pPr>
              <w:jc w:val="center"/>
              <w:spacing w:after="0"/>
              <w:rPr>
                <w:sz w:val="20"/>
                <w:szCs w:val="20"/>
                <w:color w:val="auto"/>
              </w:rPr>
            </w:pPr>
            <w:r>
              <w:rPr>
                <w:rFonts w:ascii="Arial" w:cs="Arial" w:eastAsia="Arial" w:hAnsi="Arial"/>
                <w:sz w:val="16"/>
                <w:szCs w:val="16"/>
                <w:color w:val="242424"/>
                <w:w w:val="98"/>
              </w:rPr>
              <w:t>8.9%</w:t>
            </w:r>
          </w:p>
        </w:tc>
        <w:tc>
          <w:tcPr>
            <w:tcW w:w="0" w:type="dxa"/>
            <w:vAlign w:val="bottom"/>
          </w:tcPr>
          <w:p>
            <w:pPr>
              <w:spacing w:after="0"/>
              <w:rPr>
                <w:sz w:val="1"/>
                <w:szCs w:val="1"/>
                <w:color w:val="auto"/>
              </w:rPr>
            </w:pPr>
          </w:p>
        </w:tc>
      </w:tr>
      <w:tr>
        <w:trPr>
          <w:trHeight w:val="192"/>
        </w:trPr>
        <w:tc>
          <w:tcPr>
            <w:tcW w:w="7200" w:type="dxa"/>
            <w:vAlign w:val="bottom"/>
          </w:tcPr>
          <w:p>
            <w:pPr>
              <w:ind w:left="300"/>
              <w:spacing w:after="0"/>
              <w:rPr>
                <w:sz w:val="20"/>
                <w:szCs w:val="20"/>
                <w:color w:val="auto"/>
              </w:rPr>
            </w:pPr>
            <w:r>
              <w:rPr>
                <w:rFonts w:ascii="Arial" w:cs="Arial" w:eastAsia="Arial" w:hAnsi="Arial"/>
                <w:sz w:val="16"/>
                <w:szCs w:val="16"/>
                <w:color w:val="242424"/>
              </w:rPr>
              <w:t>100 Vanguard Blvd.</w:t>
            </w:r>
          </w:p>
        </w:tc>
        <w:tc>
          <w:tcPr>
            <w:tcW w:w="2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0" w:type="dxa"/>
            <w:vAlign w:val="bottom"/>
          </w:tcPr>
          <w:p>
            <w:pPr>
              <w:ind w:left="300"/>
              <w:spacing w:after="0"/>
              <w:rPr>
                <w:sz w:val="20"/>
                <w:szCs w:val="20"/>
                <w:color w:val="auto"/>
              </w:rPr>
            </w:pPr>
            <w:r>
              <w:rPr>
                <w:rFonts w:ascii="Arial" w:cs="Arial" w:eastAsia="Arial" w:hAnsi="Arial"/>
                <w:sz w:val="16"/>
                <w:szCs w:val="16"/>
                <w:color w:val="242424"/>
              </w:rPr>
              <w:t>Malvern, PA 19355</w:t>
            </w:r>
          </w:p>
        </w:tc>
        <w:tc>
          <w:tcPr>
            <w:tcW w:w="2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200" w:type="dxa"/>
            <w:vAlign w:val="bottom"/>
            <w:shd w:val="clear" w:color="auto" w:fill="EAEAEA"/>
          </w:tcPr>
          <w:p>
            <w:pPr>
              <w:ind w:left="60"/>
              <w:spacing w:after="0"/>
              <w:rPr>
                <w:sz w:val="20"/>
                <w:szCs w:val="20"/>
                <w:color w:val="auto"/>
              </w:rPr>
            </w:pPr>
            <w:r>
              <w:rPr>
                <w:rFonts w:ascii="Arial" w:cs="Arial" w:eastAsia="Arial" w:hAnsi="Arial"/>
                <w:sz w:val="16"/>
                <w:szCs w:val="16"/>
                <w:color w:val="242424"/>
              </w:rPr>
              <w:t>Capital International Investors</w:t>
            </w:r>
            <w:r>
              <w:rPr>
                <w:rFonts w:ascii="Arial" w:cs="Arial" w:eastAsia="Arial" w:hAnsi="Arial"/>
                <w:sz w:val="20"/>
                <w:szCs w:val="20"/>
                <w:color w:val="242424"/>
                <w:vertAlign w:val="superscript"/>
              </w:rPr>
              <w:t>(4)</w:t>
            </w:r>
          </w:p>
        </w:tc>
        <w:tc>
          <w:tcPr>
            <w:tcW w:w="2180" w:type="dxa"/>
            <w:vAlign w:val="bottom"/>
            <w:shd w:val="clear" w:color="auto" w:fill="EAEAEA"/>
          </w:tcPr>
          <w:p>
            <w:pPr>
              <w:jc w:val="right"/>
              <w:ind w:right="41"/>
              <w:spacing w:after="0"/>
              <w:rPr>
                <w:sz w:val="20"/>
                <w:szCs w:val="20"/>
                <w:color w:val="auto"/>
              </w:rPr>
            </w:pPr>
            <w:r>
              <w:rPr>
                <w:rFonts w:ascii="Arial" w:cs="Arial" w:eastAsia="Arial" w:hAnsi="Arial"/>
                <w:sz w:val="16"/>
                <w:szCs w:val="16"/>
                <w:color w:val="242424"/>
              </w:rPr>
              <w:t>34,191,158</w:t>
            </w:r>
          </w:p>
        </w:tc>
        <w:tc>
          <w:tcPr>
            <w:tcW w:w="18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8"/>
              </w:rPr>
              <w:t>8.3%</w:t>
            </w:r>
          </w:p>
        </w:tc>
        <w:tc>
          <w:tcPr>
            <w:tcW w:w="0" w:type="dxa"/>
            <w:vAlign w:val="bottom"/>
          </w:tcPr>
          <w:p>
            <w:pPr>
              <w:spacing w:after="0"/>
              <w:rPr>
                <w:sz w:val="1"/>
                <w:szCs w:val="1"/>
                <w:color w:val="auto"/>
              </w:rPr>
            </w:pPr>
          </w:p>
        </w:tc>
      </w:tr>
      <w:tr>
        <w:trPr>
          <w:trHeight w:val="207"/>
        </w:trPr>
        <w:tc>
          <w:tcPr>
            <w:tcW w:w="7200" w:type="dxa"/>
            <w:vAlign w:val="bottom"/>
            <w:shd w:val="clear" w:color="auto" w:fill="EAEAEA"/>
          </w:tcPr>
          <w:p>
            <w:pPr>
              <w:ind w:left="300"/>
              <w:spacing w:after="0"/>
              <w:rPr>
                <w:sz w:val="20"/>
                <w:szCs w:val="20"/>
                <w:color w:val="auto"/>
              </w:rPr>
            </w:pPr>
            <w:r>
              <w:rPr>
                <w:rFonts w:ascii="Arial" w:cs="Arial" w:eastAsia="Arial" w:hAnsi="Arial"/>
                <w:sz w:val="16"/>
                <w:szCs w:val="16"/>
                <w:color w:val="242424"/>
              </w:rPr>
              <w:t>333 South Hope Street, 55th Floor</w:t>
            </w:r>
          </w:p>
        </w:tc>
        <w:tc>
          <w:tcPr>
            <w:tcW w:w="2180" w:type="dxa"/>
            <w:vAlign w:val="bottom"/>
            <w:shd w:val="clear" w:color="auto" w:fill="EAEAEA"/>
          </w:tcPr>
          <w:p>
            <w:pPr>
              <w:spacing w:after="0"/>
              <w:rPr>
                <w:sz w:val="18"/>
                <w:szCs w:val="18"/>
                <w:color w:val="auto"/>
              </w:rPr>
            </w:pPr>
          </w:p>
        </w:tc>
        <w:tc>
          <w:tcPr>
            <w:tcW w:w="18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200" w:type="dxa"/>
            <w:vAlign w:val="bottom"/>
            <w:shd w:val="clear" w:color="auto" w:fill="EAEAEA"/>
          </w:tcPr>
          <w:p>
            <w:pPr>
              <w:ind w:left="300"/>
              <w:spacing w:after="0"/>
              <w:rPr>
                <w:sz w:val="20"/>
                <w:szCs w:val="20"/>
                <w:color w:val="auto"/>
              </w:rPr>
            </w:pPr>
            <w:r>
              <w:rPr>
                <w:rFonts w:ascii="Arial" w:cs="Arial" w:eastAsia="Arial" w:hAnsi="Arial"/>
                <w:sz w:val="16"/>
                <w:szCs w:val="16"/>
                <w:color w:val="242424"/>
              </w:rPr>
              <w:t>Los Angeles, CA 90071</w:t>
            </w:r>
          </w:p>
        </w:tc>
        <w:tc>
          <w:tcPr>
            <w:tcW w:w="2180" w:type="dxa"/>
            <w:vAlign w:val="bottom"/>
            <w:shd w:val="clear" w:color="auto" w:fill="EAEAEA"/>
          </w:tcPr>
          <w:p>
            <w:pPr>
              <w:spacing w:after="0"/>
              <w:rPr>
                <w:sz w:val="21"/>
                <w:szCs w:val="21"/>
                <w:color w:val="auto"/>
              </w:rPr>
            </w:pPr>
          </w:p>
        </w:tc>
        <w:tc>
          <w:tcPr>
            <w:tcW w:w="18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200" w:type="dxa"/>
            <w:vAlign w:val="bottom"/>
          </w:tcPr>
          <w:p>
            <w:pPr>
              <w:ind w:left="60"/>
              <w:spacing w:after="0"/>
              <w:rPr>
                <w:sz w:val="20"/>
                <w:szCs w:val="20"/>
                <w:color w:val="auto"/>
              </w:rPr>
            </w:pPr>
            <w:r>
              <w:rPr>
                <w:rFonts w:ascii="Arial" w:cs="Arial" w:eastAsia="Arial" w:hAnsi="Arial"/>
                <w:sz w:val="16"/>
                <w:szCs w:val="16"/>
                <w:color w:val="242424"/>
              </w:rPr>
              <w:t>BlackRock, Inc.</w:t>
            </w:r>
            <w:r>
              <w:rPr>
                <w:rFonts w:ascii="Arial" w:cs="Arial" w:eastAsia="Arial" w:hAnsi="Arial"/>
                <w:sz w:val="20"/>
                <w:szCs w:val="20"/>
                <w:color w:val="242424"/>
                <w:vertAlign w:val="superscript"/>
              </w:rPr>
              <w:t>(5)</w:t>
            </w:r>
          </w:p>
        </w:tc>
        <w:tc>
          <w:tcPr>
            <w:tcW w:w="2180" w:type="dxa"/>
            <w:vAlign w:val="bottom"/>
          </w:tcPr>
          <w:p>
            <w:pPr>
              <w:jc w:val="right"/>
              <w:ind w:right="41"/>
              <w:spacing w:after="0"/>
              <w:rPr>
                <w:sz w:val="20"/>
                <w:szCs w:val="20"/>
                <w:color w:val="auto"/>
              </w:rPr>
            </w:pPr>
            <w:r>
              <w:rPr>
                <w:rFonts w:ascii="Arial" w:cs="Arial" w:eastAsia="Arial" w:hAnsi="Arial"/>
                <w:sz w:val="16"/>
                <w:szCs w:val="16"/>
                <w:color w:val="242424"/>
              </w:rPr>
              <w:t>28,430,931</w:t>
            </w:r>
          </w:p>
        </w:tc>
        <w:tc>
          <w:tcPr>
            <w:tcW w:w="1860" w:type="dxa"/>
            <w:vAlign w:val="bottom"/>
          </w:tcPr>
          <w:p>
            <w:pPr>
              <w:jc w:val="center"/>
              <w:spacing w:after="0"/>
              <w:rPr>
                <w:sz w:val="20"/>
                <w:szCs w:val="20"/>
                <w:color w:val="auto"/>
              </w:rPr>
            </w:pPr>
            <w:r>
              <w:rPr>
                <w:rFonts w:ascii="Arial" w:cs="Arial" w:eastAsia="Arial" w:hAnsi="Arial"/>
                <w:sz w:val="16"/>
                <w:szCs w:val="16"/>
                <w:color w:val="242424"/>
                <w:w w:val="98"/>
              </w:rPr>
              <w:t>6.9%</w:t>
            </w:r>
          </w:p>
        </w:tc>
        <w:tc>
          <w:tcPr>
            <w:tcW w:w="0" w:type="dxa"/>
            <w:vAlign w:val="bottom"/>
          </w:tcPr>
          <w:p>
            <w:pPr>
              <w:spacing w:after="0"/>
              <w:rPr>
                <w:sz w:val="1"/>
                <w:szCs w:val="1"/>
                <w:color w:val="auto"/>
              </w:rPr>
            </w:pPr>
          </w:p>
        </w:tc>
      </w:tr>
      <w:tr>
        <w:trPr>
          <w:trHeight w:val="241"/>
        </w:trPr>
        <w:tc>
          <w:tcPr>
            <w:tcW w:w="7200" w:type="dxa"/>
            <w:vAlign w:val="bottom"/>
          </w:tcPr>
          <w:p>
            <w:pPr>
              <w:ind w:left="300"/>
              <w:spacing w:after="0"/>
              <w:rPr>
                <w:sz w:val="20"/>
                <w:szCs w:val="20"/>
                <w:color w:val="auto"/>
              </w:rPr>
            </w:pPr>
            <w:r>
              <w:rPr>
                <w:rFonts w:ascii="Arial" w:cs="Arial" w:eastAsia="Arial" w:hAnsi="Arial"/>
                <w:sz w:val="16"/>
                <w:szCs w:val="16"/>
                <w:color w:val="242424"/>
              </w:rPr>
              <w:t>55 East 52</w:t>
            </w:r>
            <w:r>
              <w:rPr>
                <w:rFonts w:ascii="Arial" w:cs="Arial" w:eastAsia="Arial" w:hAnsi="Arial"/>
                <w:sz w:val="20"/>
                <w:szCs w:val="20"/>
                <w:color w:val="242424"/>
                <w:vertAlign w:val="superscript"/>
              </w:rPr>
              <w:t>nd</w:t>
            </w:r>
            <w:r>
              <w:rPr>
                <w:rFonts w:ascii="Arial" w:cs="Arial" w:eastAsia="Arial" w:hAnsi="Arial"/>
                <w:sz w:val="16"/>
                <w:szCs w:val="16"/>
                <w:color w:val="242424"/>
              </w:rPr>
              <w:t xml:space="preserve"> Street</w:t>
            </w:r>
          </w:p>
        </w:tc>
        <w:tc>
          <w:tcPr>
            <w:tcW w:w="2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7200" w:type="dxa"/>
            <w:vAlign w:val="bottom"/>
          </w:tcPr>
          <w:p>
            <w:pPr>
              <w:ind w:left="300"/>
              <w:spacing w:after="0"/>
              <w:rPr>
                <w:sz w:val="20"/>
                <w:szCs w:val="20"/>
                <w:color w:val="auto"/>
              </w:rPr>
            </w:pPr>
            <w:r>
              <w:rPr>
                <w:rFonts w:ascii="Arial" w:cs="Arial" w:eastAsia="Arial" w:hAnsi="Arial"/>
                <w:sz w:val="16"/>
                <w:szCs w:val="16"/>
                <w:color w:val="242424"/>
              </w:rPr>
              <w:t>New York, NY 10055</w:t>
            </w:r>
          </w:p>
        </w:tc>
        <w:tc>
          <w:tcPr>
            <w:tcW w:w="2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7200" w:type="dxa"/>
            <w:vAlign w:val="bottom"/>
            <w:shd w:val="clear" w:color="auto" w:fill="EAEAEA"/>
          </w:tcPr>
          <w:p>
            <w:pPr>
              <w:ind w:left="60"/>
              <w:spacing w:after="0"/>
              <w:rPr>
                <w:sz w:val="20"/>
                <w:szCs w:val="20"/>
                <w:color w:val="auto"/>
              </w:rPr>
            </w:pPr>
            <w:r>
              <w:rPr>
                <w:rFonts w:ascii="Arial" w:cs="Arial" w:eastAsia="Arial" w:hAnsi="Arial"/>
                <w:sz w:val="16"/>
                <w:szCs w:val="16"/>
                <w:color w:val="242424"/>
              </w:rPr>
              <w:t>Capital Research Global Investors</w:t>
            </w:r>
            <w:r>
              <w:rPr>
                <w:rFonts w:ascii="Arial" w:cs="Arial" w:eastAsia="Arial" w:hAnsi="Arial"/>
                <w:sz w:val="20"/>
                <w:szCs w:val="20"/>
                <w:color w:val="242424"/>
                <w:vertAlign w:val="superscript"/>
              </w:rPr>
              <w:t>(6)</w:t>
            </w:r>
          </w:p>
        </w:tc>
        <w:tc>
          <w:tcPr>
            <w:tcW w:w="2180" w:type="dxa"/>
            <w:vAlign w:val="bottom"/>
            <w:shd w:val="clear" w:color="auto" w:fill="EAEAEA"/>
          </w:tcPr>
          <w:p>
            <w:pPr>
              <w:jc w:val="right"/>
              <w:ind w:right="41"/>
              <w:spacing w:after="0"/>
              <w:rPr>
                <w:sz w:val="20"/>
                <w:szCs w:val="20"/>
                <w:color w:val="auto"/>
              </w:rPr>
            </w:pPr>
            <w:r>
              <w:rPr>
                <w:rFonts w:ascii="Arial" w:cs="Arial" w:eastAsia="Arial" w:hAnsi="Arial"/>
                <w:sz w:val="16"/>
                <w:szCs w:val="16"/>
                <w:color w:val="242424"/>
              </w:rPr>
              <w:t>23,299,331</w:t>
            </w:r>
          </w:p>
        </w:tc>
        <w:tc>
          <w:tcPr>
            <w:tcW w:w="18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8"/>
              </w:rPr>
              <w:t>5.7%</w:t>
            </w:r>
          </w:p>
        </w:tc>
        <w:tc>
          <w:tcPr>
            <w:tcW w:w="0" w:type="dxa"/>
            <w:vAlign w:val="bottom"/>
          </w:tcPr>
          <w:p>
            <w:pPr>
              <w:spacing w:after="0"/>
              <w:rPr>
                <w:sz w:val="1"/>
                <w:szCs w:val="1"/>
                <w:color w:val="auto"/>
              </w:rPr>
            </w:pPr>
          </w:p>
        </w:tc>
      </w:tr>
      <w:tr>
        <w:trPr>
          <w:trHeight w:val="207"/>
        </w:trPr>
        <w:tc>
          <w:tcPr>
            <w:tcW w:w="7200" w:type="dxa"/>
            <w:vAlign w:val="bottom"/>
            <w:shd w:val="clear" w:color="auto" w:fill="EAEAEA"/>
          </w:tcPr>
          <w:p>
            <w:pPr>
              <w:ind w:left="340"/>
              <w:spacing w:after="0"/>
              <w:rPr>
                <w:sz w:val="20"/>
                <w:szCs w:val="20"/>
                <w:color w:val="auto"/>
              </w:rPr>
            </w:pPr>
            <w:r>
              <w:rPr>
                <w:rFonts w:ascii="Arial" w:cs="Arial" w:eastAsia="Arial" w:hAnsi="Arial"/>
                <w:sz w:val="16"/>
                <w:szCs w:val="16"/>
                <w:color w:val="242424"/>
              </w:rPr>
              <w:t>333 South Hope Street, 55th Floor</w:t>
            </w:r>
          </w:p>
        </w:tc>
        <w:tc>
          <w:tcPr>
            <w:tcW w:w="2180" w:type="dxa"/>
            <w:vAlign w:val="bottom"/>
            <w:shd w:val="clear" w:color="auto" w:fill="EAEAEA"/>
          </w:tcPr>
          <w:p>
            <w:pPr>
              <w:spacing w:after="0"/>
              <w:rPr>
                <w:sz w:val="18"/>
                <w:szCs w:val="18"/>
                <w:color w:val="auto"/>
              </w:rPr>
            </w:pPr>
          </w:p>
        </w:tc>
        <w:tc>
          <w:tcPr>
            <w:tcW w:w="18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00" w:type="dxa"/>
            <w:vAlign w:val="bottom"/>
            <w:shd w:val="clear" w:color="auto" w:fill="EAEAEA"/>
          </w:tcPr>
          <w:p>
            <w:pPr>
              <w:ind w:left="300"/>
              <w:spacing w:after="0"/>
              <w:rPr>
                <w:sz w:val="20"/>
                <w:szCs w:val="20"/>
                <w:color w:val="auto"/>
              </w:rPr>
            </w:pPr>
            <w:r>
              <w:rPr>
                <w:rFonts w:ascii="Arial" w:cs="Arial" w:eastAsia="Arial" w:hAnsi="Arial"/>
                <w:sz w:val="16"/>
                <w:szCs w:val="16"/>
                <w:color w:val="242424"/>
              </w:rPr>
              <w:t>Los Angeles, CA 90071</w:t>
            </w:r>
          </w:p>
        </w:tc>
        <w:tc>
          <w:tcPr>
            <w:tcW w:w="2180" w:type="dxa"/>
            <w:vAlign w:val="bottom"/>
            <w:shd w:val="clear" w:color="auto" w:fill="EAEAEA"/>
          </w:tcPr>
          <w:p>
            <w:pPr>
              <w:spacing w:after="0"/>
              <w:rPr>
                <w:sz w:val="21"/>
                <w:szCs w:val="21"/>
                <w:color w:val="auto"/>
              </w:rPr>
            </w:pPr>
          </w:p>
        </w:tc>
        <w:tc>
          <w:tcPr>
            <w:tcW w:w="18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200" w:type="dxa"/>
            <w:vAlign w:val="bottom"/>
          </w:tcPr>
          <w:p>
            <w:pPr>
              <w:ind w:left="60"/>
              <w:spacing w:after="0"/>
              <w:rPr>
                <w:sz w:val="20"/>
                <w:szCs w:val="20"/>
                <w:color w:val="auto"/>
              </w:rPr>
            </w:pPr>
            <w:r>
              <w:rPr>
                <w:rFonts w:ascii="Arial" w:cs="Arial" w:eastAsia="Arial" w:hAnsi="Arial"/>
                <w:sz w:val="16"/>
                <w:szCs w:val="16"/>
                <w:b w:val="1"/>
                <w:bCs w:val="1"/>
                <w:color w:val="242424"/>
              </w:rPr>
              <w:t>Named Executive Officers, Directors and Nominees</w:t>
            </w:r>
            <w:r>
              <w:rPr>
                <w:rFonts w:ascii="Arial" w:cs="Arial" w:eastAsia="Arial" w:hAnsi="Arial"/>
                <w:sz w:val="16"/>
                <w:szCs w:val="16"/>
                <w:color w:val="242424"/>
              </w:rPr>
              <w:t>:</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shd w:val="clear" w:color="auto" w:fill="EAEAEA"/>
          </w:tcPr>
          <w:p>
            <w:pPr>
              <w:ind w:left="60"/>
              <w:spacing w:after="0"/>
              <w:rPr>
                <w:sz w:val="20"/>
                <w:szCs w:val="20"/>
                <w:color w:val="auto"/>
              </w:rPr>
            </w:pPr>
            <w:r>
              <w:rPr>
                <w:rFonts w:ascii="Arial" w:cs="Arial" w:eastAsia="Arial" w:hAnsi="Arial"/>
                <w:sz w:val="16"/>
                <w:szCs w:val="16"/>
                <w:color w:val="242424"/>
              </w:rPr>
              <w:t>Hock E. Tan</w:t>
            </w:r>
          </w:p>
        </w:tc>
        <w:tc>
          <w:tcPr>
            <w:tcW w:w="2180" w:type="dxa"/>
            <w:vAlign w:val="bottom"/>
            <w:shd w:val="clear" w:color="auto" w:fill="EAEAEA"/>
          </w:tcPr>
          <w:p>
            <w:pPr>
              <w:jc w:val="right"/>
              <w:ind w:right="41"/>
              <w:spacing w:after="0"/>
              <w:rPr>
                <w:sz w:val="20"/>
                <w:szCs w:val="20"/>
                <w:color w:val="auto"/>
              </w:rPr>
            </w:pPr>
            <w:r>
              <w:rPr>
                <w:rFonts w:ascii="Arial" w:cs="Arial" w:eastAsia="Arial" w:hAnsi="Arial"/>
                <w:sz w:val="16"/>
                <w:szCs w:val="16"/>
                <w:color w:val="242424"/>
              </w:rPr>
              <w:t>286,677</w:t>
            </w:r>
          </w:p>
        </w:tc>
        <w:tc>
          <w:tcPr>
            <w:tcW w:w="18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5"/>
              </w:rPr>
              <w:t>*</w:t>
            </w:r>
          </w:p>
        </w:tc>
        <w:tc>
          <w:tcPr>
            <w:tcW w:w="0" w:type="dxa"/>
            <w:vAlign w:val="bottom"/>
          </w:tcPr>
          <w:p>
            <w:pPr>
              <w:spacing w:after="0"/>
              <w:rPr>
                <w:sz w:val="1"/>
                <w:szCs w:val="1"/>
                <w:color w:val="auto"/>
              </w:rPr>
            </w:pPr>
          </w:p>
        </w:tc>
      </w:tr>
      <w:tr>
        <w:trPr>
          <w:trHeight w:val="265"/>
        </w:trPr>
        <w:tc>
          <w:tcPr>
            <w:tcW w:w="7200" w:type="dxa"/>
            <w:vAlign w:val="bottom"/>
          </w:tcPr>
          <w:p>
            <w:pPr>
              <w:ind w:left="60"/>
              <w:spacing w:after="0"/>
              <w:rPr>
                <w:sz w:val="20"/>
                <w:szCs w:val="20"/>
                <w:color w:val="auto"/>
              </w:rPr>
            </w:pPr>
            <w:r>
              <w:rPr>
                <w:rFonts w:ascii="Arial" w:cs="Arial" w:eastAsia="Arial" w:hAnsi="Arial"/>
                <w:sz w:val="16"/>
                <w:szCs w:val="16"/>
                <w:color w:val="242424"/>
              </w:rPr>
              <w:t>Kirsten M. Spears</w:t>
            </w:r>
            <w:r>
              <w:rPr>
                <w:rFonts w:ascii="Arial" w:cs="Arial" w:eastAsia="Arial" w:hAnsi="Arial"/>
                <w:sz w:val="20"/>
                <w:szCs w:val="20"/>
                <w:color w:val="242424"/>
                <w:vertAlign w:val="superscript"/>
              </w:rPr>
              <w:t>(7)</w:t>
            </w:r>
          </w:p>
        </w:tc>
        <w:tc>
          <w:tcPr>
            <w:tcW w:w="2180" w:type="dxa"/>
            <w:vAlign w:val="bottom"/>
          </w:tcPr>
          <w:p>
            <w:pPr>
              <w:jc w:val="right"/>
              <w:ind w:right="41"/>
              <w:spacing w:after="0"/>
              <w:rPr>
                <w:sz w:val="20"/>
                <w:szCs w:val="20"/>
                <w:color w:val="auto"/>
              </w:rPr>
            </w:pPr>
            <w:r>
              <w:rPr>
                <w:rFonts w:ascii="Arial" w:cs="Arial" w:eastAsia="Arial" w:hAnsi="Arial"/>
                <w:sz w:val="16"/>
                <w:szCs w:val="16"/>
                <w:color w:val="242424"/>
              </w:rPr>
              <w:t>8,087</w:t>
            </w:r>
          </w:p>
        </w:tc>
        <w:tc>
          <w:tcPr>
            <w:tcW w:w="1860" w:type="dxa"/>
            <w:vAlign w:val="bottom"/>
          </w:tcPr>
          <w:p>
            <w:pPr>
              <w:jc w:val="center"/>
              <w:spacing w:after="0"/>
              <w:rPr>
                <w:sz w:val="20"/>
                <w:szCs w:val="20"/>
                <w:color w:val="auto"/>
              </w:rPr>
            </w:pPr>
            <w:r>
              <w:rPr>
                <w:rFonts w:ascii="Arial" w:cs="Arial" w:eastAsia="Arial" w:hAnsi="Arial"/>
                <w:sz w:val="16"/>
                <w:szCs w:val="16"/>
                <w:color w:val="242424"/>
                <w:w w:val="95"/>
              </w:rPr>
              <w:t>*</w:t>
            </w:r>
          </w:p>
        </w:tc>
        <w:tc>
          <w:tcPr>
            <w:tcW w:w="0" w:type="dxa"/>
            <w:vAlign w:val="bottom"/>
          </w:tcPr>
          <w:p>
            <w:pPr>
              <w:spacing w:after="0"/>
              <w:rPr>
                <w:sz w:val="1"/>
                <w:szCs w:val="1"/>
                <w:color w:val="auto"/>
              </w:rPr>
            </w:pPr>
          </w:p>
        </w:tc>
      </w:tr>
      <w:tr>
        <w:trPr>
          <w:trHeight w:val="265"/>
        </w:trPr>
        <w:tc>
          <w:tcPr>
            <w:tcW w:w="7200" w:type="dxa"/>
            <w:vAlign w:val="bottom"/>
            <w:shd w:val="clear" w:color="auto" w:fill="EAEAEA"/>
          </w:tcPr>
          <w:p>
            <w:pPr>
              <w:ind w:left="60"/>
              <w:spacing w:after="0"/>
              <w:rPr>
                <w:sz w:val="20"/>
                <w:szCs w:val="20"/>
                <w:color w:val="auto"/>
              </w:rPr>
            </w:pPr>
            <w:r>
              <w:rPr>
                <w:rFonts w:ascii="Arial" w:cs="Arial" w:eastAsia="Arial" w:hAnsi="Arial"/>
                <w:sz w:val="16"/>
                <w:szCs w:val="16"/>
                <w:color w:val="242424"/>
              </w:rPr>
              <w:t>Mark D. Brazeal</w:t>
            </w:r>
            <w:r>
              <w:rPr>
                <w:rFonts w:ascii="Arial" w:cs="Arial" w:eastAsia="Arial" w:hAnsi="Arial"/>
                <w:sz w:val="20"/>
                <w:szCs w:val="20"/>
                <w:color w:val="242424"/>
                <w:vertAlign w:val="superscript"/>
              </w:rPr>
              <w:t>(8</w:t>
            </w:r>
            <w:r>
              <w:rPr>
                <w:rFonts w:ascii="Arial" w:cs="Arial" w:eastAsia="Arial" w:hAnsi="Arial"/>
                <w:sz w:val="20"/>
                <w:szCs w:val="20"/>
                <w:b w:val="1"/>
                <w:bCs w:val="1"/>
                <w:color w:val="242424"/>
                <w:vertAlign w:val="superscript"/>
              </w:rPr>
              <w:t>)</w:t>
            </w:r>
          </w:p>
        </w:tc>
        <w:tc>
          <w:tcPr>
            <w:tcW w:w="2180" w:type="dxa"/>
            <w:vAlign w:val="bottom"/>
            <w:shd w:val="clear" w:color="auto" w:fill="EAEAEA"/>
          </w:tcPr>
          <w:p>
            <w:pPr>
              <w:jc w:val="right"/>
              <w:ind w:right="41"/>
              <w:spacing w:after="0"/>
              <w:rPr>
                <w:sz w:val="20"/>
                <w:szCs w:val="20"/>
                <w:color w:val="auto"/>
              </w:rPr>
            </w:pPr>
            <w:r>
              <w:rPr>
                <w:rFonts w:ascii="Arial" w:cs="Arial" w:eastAsia="Arial" w:hAnsi="Arial"/>
                <w:sz w:val="16"/>
                <w:szCs w:val="16"/>
                <w:color w:val="242424"/>
              </w:rPr>
              <w:t>7,628</w:t>
            </w:r>
          </w:p>
        </w:tc>
        <w:tc>
          <w:tcPr>
            <w:tcW w:w="18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5"/>
              </w:rPr>
              <w:t>*</w:t>
            </w:r>
          </w:p>
        </w:tc>
        <w:tc>
          <w:tcPr>
            <w:tcW w:w="0" w:type="dxa"/>
            <w:vAlign w:val="bottom"/>
          </w:tcPr>
          <w:p>
            <w:pPr>
              <w:spacing w:after="0"/>
              <w:rPr>
                <w:sz w:val="1"/>
                <w:szCs w:val="1"/>
                <w:color w:val="auto"/>
              </w:rPr>
            </w:pPr>
          </w:p>
        </w:tc>
      </w:tr>
      <w:tr>
        <w:trPr>
          <w:trHeight w:val="265"/>
        </w:trPr>
        <w:tc>
          <w:tcPr>
            <w:tcW w:w="7200" w:type="dxa"/>
            <w:vAlign w:val="bottom"/>
          </w:tcPr>
          <w:p>
            <w:pPr>
              <w:ind w:left="60"/>
              <w:spacing w:after="0"/>
              <w:rPr>
                <w:sz w:val="20"/>
                <w:szCs w:val="20"/>
                <w:color w:val="auto"/>
              </w:rPr>
            </w:pPr>
            <w:r>
              <w:rPr>
                <w:rFonts w:ascii="Arial" w:cs="Arial" w:eastAsia="Arial" w:hAnsi="Arial"/>
                <w:sz w:val="16"/>
                <w:szCs w:val="16"/>
                <w:color w:val="242424"/>
              </w:rPr>
              <w:t>Charlie B. Kawwas, Ph.D.</w:t>
            </w:r>
            <w:r>
              <w:rPr>
                <w:rFonts w:ascii="Arial" w:cs="Arial" w:eastAsia="Arial" w:hAnsi="Arial"/>
                <w:sz w:val="20"/>
                <w:szCs w:val="20"/>
                <w:color w:val="242424"/>
                <w:vertAlign w:val="superscript"/>
              </w:rPr>
              <w:t>(9)</w:t>
            </w:r>
          </w:p>
        </w:tc>
        <w:tc>
          <w:tcPr>
            <w:tcW w:w="2180" w:type="dxa"/>
            <w:vAlign w:val="bottom"/>
          </w:tcPr>
          <w:p>
            <w:pPr>
              <w:jc w:val="right"/>
              <w:ind w:right="41"/>
              <w:spacing w:after="0"/>
              <w:rPr>
                <w:sz w:val="20"/>
                <w:szCs w:val="20"/>
                <w:color w:val="auto"/>
              </w:rPr>
            </w:pPr>
            <w:r>
              <w:rPr>
                <w:rFonts w:ascii="Arial" w:cs="Arial" w:eastAsia="Arial" w:hAnsi="Arial"/>
                <w:sz w:val="16"/>
                <w:szCs w:val="16"/>
                <w:color w:val="242424"/>
              </w:rPr>
              <w:t>36,057</w:t>
            </w:r>
          </w:p>
        </w:tc>
        <w:tc>
          <w:tcPr>
            <w:tcW w:w="1860" w:type="dxa"/>
            <w:vAlign w:val="bottom"/>
          </w:tcPr>
          <w:p>
            <w:pPr>
              <w:jc w:val="center"/>
              <w:spacing w:after="0"/>
              <w:rPr>
                <w:sz w:val="20"/>
                <w:szCs w:val="20"/>
                <w:color w:val="auto"/>
              </w:rPr>
            </w:pPr>
            <w:r>
              <w:rPr>
                <w:rFonts w:ascii="Arial" w:cs="Arial" w:eastAsia="Arial" w:hAnsi="Arial"/>
                <w:sz w:val="16"/>
                <w:szCs w:val="16"/>
                <w:color w:val="242424"/>
                <w:w w:val="95"/>
              </w:rPr>
              <w:t>*</w:t>
            </w:r>
          </w:p>
        </w:tc>
        <w:tc>
          <w:tcPr>
            <w:tcW w:w="0" w:type="dxa"/>
            <w:vAlign w:val="bottom"/>
          </w:tcPr>
          <w:p>
            <w:pPr>
              <w:spacing w:after="0"/>
              <w:rPr>
                <w:sz w:val="1"/>
                <w:szCs w:val="1"/>
                <w:color w:val="auto"/>
              </w:rPr>
            </w:pPr>
          </w:p>
        </w:tc>
      </w:tr>
      <w:tr>
        <w:trPr>
          <w:trHeight w:val="212"/>
        </w:trPr>
        <w:tc>
          <w:tcPr>
            <w:tcW w:w="7200" w:type="dxa"/>
            <w:vAlign w:val="bottom"/>
            <w:shd w:val="clear" w:color="auto" w:fill="EAEAEA"/>
          </w:tcPr>
          <w:p>
            <w:pPr>
              <w:ind w:left="60"/>
              <w:spacing w:after="0" w:line="212" w:lineRule="exact"/>
              <w:rPr>
                <w:sz w:val="20"/>
                <w:szCs w:val="20"/>
                <w:color w:val="auto"/>
              </w:rPr>
            </w:pPr>
            <w:r>
              <w:rPr>
                <w:rFonts w:ascii="Arial" w:cs="Arial" w:eastAsia="Arial" w:hAnsi="Arial"/>
                <w:sz w:val="16"/>
                <w:szCs w:val="16"/>
                <w:color w:val="242424"/>
              </w:rPr>
              <w:t>Thomas H. Krause, Jr.</w:t>
            </w:r>
            <w:r>
              <w:rPr>
                <w:rFonts w:ascii="Arial" w:cs="Arial" w:eastAsia="Arial" w:hAnsi="Arial"/>
                <w:sz w:val="20"/>
                <w:szCs w:val="20"/>
                <w:color w:val="242424"/>
                <w:vertAlign w:val="superscript"/>
              </w:rPr>
              <w:t>(10)</w:t>
            </w:r>
          </w:p>
        </w:tc>
        <w:tc>
          <w:tcPr>
            <w:tcW w:w="2180" w:type="dxa"/>
            <w:vAlign w:val="bottom"/>
            <w:shd w:val="clear" w:color="auto" w:fill="EAEAEA"/>
          </w:tcPr>
          <w:p>
            <w:pPr>
              <w:jc w:val="right"/>
              <w:ind w:right="41"/>
              <w:spacing w:after="0"/>
              <w:rPr>
                <w:sz w:val="20"/>
                <w:szCs w:val="20"/>
                <w:color w:val="auto"/>
              </w:rPr>
            </w:pPr>
            <w:r>
              <w:rPr>
                <w:rFonts w:ascii="Arial" w:cs="Arial" w:eastAsia="Arial" w:hAnsi="Arial"/>
                <w:sz w:val="16"/>
                <w:szCs w:val="16"/>
                <w:color w:val="242424"/>
              </w:rPr>
              <w:t>9,500</w:t>
            </w:r>
          </w:p>
        </w:tc>
        <w:tc>
          <w:tcPr>
            <w:tcW w:w="18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5"/>
              </w:rPr>
              <w:t>*</w:t>
            </w:r>
          </w:p>
        </w:tc>
        <w:tc>
          <w:tcPr>
            <w:tcW w:w="0" w:type="dxa"/>
            <w:vAlign w:val="bottom"/>
          </w:tcPr>
          <w:p>
            <w:pPr>
              <w:spacing w:after="0"/>
              <w:rPr>
                <w:sz w:val="1"/>
                <w:szCs w:val="1"/>
                <w:color w:val="auto"/>
              </w:rPr>
            </w:pPr>
          </w:p>
        </w:tc>
      </w:tr>
      <w:tr>
        <w:trPr>
          <w:trHeight w:val="265"/>
        </w:trPr>
        <w:tc>
          <w:tcPr>
            <w:tcW w:w="7200" w:type="dxa"/>
            <w:vAlign w:val="bottom"/>
          </w:tcPr>
          <w:p>
            <w:pPr>
              <w:ind w:left="60"/>
              <w:spacing w:after="0"/>
              <w:rPr>
                <w:sz w:val="20"/>
                <w:szCs w:val="20"/>
                <w:color w:val="auto"/>
              </w:rPr>
            </w:pPr>
            <w:r>
              <w:rPr>
                <w:rFonts w:ascii="Arial" w:cs="Arial" w:eastAsia="Arial" w:hAnsi="Arial"/>
                <w:sz w:val="16"/>
                <w:szCs w:val="16"/>
                <w:color w:val="242424"/>
              </w:rPr>
              <w:t>Diane M. Bryant</w:t>
            </w:r>
            <w:r>
              <w:rPr>
                <w:rFonts w:ascii="Arial" w:cs="Arial" w:eastAsia="Arial" w:hAnsi="Arial"/>
                <w:sz w:val="20"/>
                <w:szCs w:val="20"/>
                <w:color w:val="242424"/>
                <w:vertAlign w:val="superscript"/>
              </w:rPr>
              <w:t>(11)</w:t>
            </w:r>
          </w:p>
        </w:tc>
        <w:tc>
          <w:tcPr>
            <w:tcW w:w="2180" w:type="dxa"/>
            <w:vAlign w:val="bottom"/>
          </w:tcPr>
          <w:p>
            <w:pPr>
              <w:jc w:val="right"/>
              <w:ind w:right="41"/>
              <w:spacing w:after="0"/>
              <w:rPr>
                <w:sz w:val="20"/>
                <w:szCs w:val="20"/>
                <w:color w:val="auto"/>
              </w:rPr>
            </w:pPr>
            <w:r>
              <w:rPr>
                <w:rFonts w:ascii="Arial" w:cs="Arial" w:eastAsia="Arial" w:hAnsi="Arial"/>
                <w:sz w:val="16"/>
                <w:szCs w:val="16"/>
                <w:color w:val="242424"/>
              </w:rPr>
              <w:t>2,455</w:t>
            </w:r>
          </w:p>
        </w:tc>
        <w:tc>
          <w:tcPr>
            <w:tcW w:w="1860" w:type="dxa"/>
            <w:vAlign w:val="bottom"/>
          </w:tcPr>
          <w:p>
            <w:pPr>
              <w:jc w:val="center"/>
              <w:spacing w:after="0"/>
              <w:rPr>
                <w:sz w:val="20"/>
                <w:szCs w:val="20"/>
                <w:color w:val="auto"/>
              </w:rPr>
            </w:pPr>
            <w:r>
              <w:rPr>
                <w:rFonts w:ascii="Arial" w:cs="Arial" w:eastAsia="Arial" w:hAnsi="Arial"/>
                <w:sz w:val="16"/>
                <w:szCs w:val="16"/>
                <w:color w:val="242424"/>
                <w:w w:val="95"/>
              </w:rPr>
              <w:t>*</w:t>
            </w:r>
          </w:p>
        </w:tc>
        <w:tc>
          <w:tcPr>
            <w:tcW w:w="0" w:type="dxa"/>
            <w:vAlign w:val="bottom"/>
          </w:tcPr>
          <w:p>
            <w:pPr>
              <w:spacing w:after="0"/>
              <w:rPr>
                <w:sz w:val="1"/>
                <w:szCs w:val="1"/>
                <w:color w:val="auto"/>
              </w:rPr>
            </w:pPr>
          </w:p>
        </w:tc>
      </w:tr>
      <w:tr>
        <w:trPr>
          <w:trHeight w:val="265"/>
        </w:trPr>
        <w:tc>
          <w:tcPr>
            <w:tcW w:w="7200" w:type="dxa"/>
            <w:vAlign w:val="bottom"/>
            <w:shd w:val="clear" w:color="auto" w:fill="EAEAEA"/>
          </w:tcPr>
          <w:p>
            <w:pPr>
              <w:ind w:left="60"/>
              <w:spacing w:after="0"/>
              <w:rPr>
                <w:sz w:val="20"/>
                <w:szCs w:val="20"/>
                <w:color w:val="auto"/>
              </w:rPr>
            </w:pPr>
            <w:r>
              <w:rPr>
                <w:rFonts w:ascii="Arial" w:cs="Arial" w:eastAsia="Arial" w:hAnsi="Arial"/>
                <w:sz w:val="16"/>
                <w:szCs w:val="16"/>
                <w:color w:val="242424"/>
              </w:rPr>
              <w:t>Gayla J. Delly</w:t>
            </w:r>
            <w:r>
              <w:rPr>
                <w:rFonts w:ascii="Arial" w:cs="Arial" w:eastAsia="Arial" w:hAnsi="Arial"/>
                <w:sz w:val="20"/>
                <w:szCs w:val="20"/>
                <w:color w:val="242424"/>
                <w:vertAlign w:val="superscript"/>
              </w:rPr>
              <w:t>(12)</w:t>
            </w:r>
          </w:p>
        </w:tc>
        <w:tc>
          <w:tcPr>
            <w:tcW w:w="2180" w:type="dxa"/>
            <w:vAlign w:val="bottom"/>
            <w:shd w:val="clear" w:color="auto" w:fill="EAEAEA"/>
          </w:tcPr>
          <w:p>
            <w:pPr>
              <w:jc w:val="right"/>
              <w:ind w:right="41"/>
              <w:spacing w:after="0"/>
              <w:rPr>
                <w:sz w:val="20"/>
                <w:szCs w:val="20"/>
                <w:color w:val="auto"/>
              </w:rPr>
            </w:pPr>
            <w:r>
              <w:rPr>
                <w:rFonts w:ascii="Arial" w:cs="Arial" w:eastAsia="Arial" w:hAnsi="Arial"/>
                <w:sz w:val="16"/>
                <w:szCs w:val="16"/>
                <w:color w:val="242424"/>
              </w:rPr>
              <w:t>3,251</w:t>
            </w:r>
          </w:p>
        </w:tc>
        <w:tc>
          <w:tcPr>
            <w:tcW w:w="18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5"/>
              </w:rPr>
              <w:t>*</w:t>
            </w:r>
          </w:p>
        </w:tc>
        <w:tc>
          <w:tcPr>
            <w:tcW w:w="0" w:type="dxa"/>
            <w:vAlign w:val="bottom"/>
          </w:tcPr>
          <w:p>
            <w:pPr>
              <w:spacing w:after="0"/>
              <w:rPr>
                <w:sz w:val="1"/>
                <w:szCs w:val="1"/>
                <w:color w:val="auto"/>
              </w:rPr>
            </w:pPr>
          </w:p>
        </w:tc>
      </w:tr>
      <w:tr>
        <w:trPr>
          <w:trHeight w:val="265"/>
        </w:trPr>
        <w:tc>
          <w:tcPr>
            <w:tcW w:w="7200" w:type="dxa"/>
            <w:vAlign w:val="bottom"/>
          </w:tcPr>
          <w:p>
            <w:pPr>
              <w:ind w:left="60"/>
              <w:spacing w:after="0"/>
              <w:rPr>
                <w:sz w:val="20"/>
                <w:szCs w:val="20"/>
                <w:color w:val="auto"/>
              </w:rPr>
            </w:pPr>
            <w:r>
              <w:rPr>
                <w:rFonts w:ascii="Arial" w:cs="Arial" w:eastAsia="Arial" w:hAnsi="Arial"/>
                <w:sz w:val="16"/>
                <w:szCs w:val="16"/>
                <w:color w:val="242424"/>
              </w:rPr>
              <w:t>Raul J. Fernandez</w:t>
            </w:r>
            <w:r>
              <w:rPr>
                <w:rFonts w:ascii="Arial" w:cs="Arial" w:eastAsia="Arial" w:hAnsi="Arial"/>
                <w:sz w:val="20"/>
                <w:szCs w:val="20"/>
                <w:color w:val="242424"/>
                <w:vertAlign w:val="superscript"/>
              </w:rPr>
              <w:t>(13)</w:t>
            </w:r>
          </w:p>
        </w:tc>
        <w:tc>
          <w:tcPr>
            <w:tcW w:w="2180" w:type="dxa"/>
            <w:vAlign w:val="bottom"/>
          </w:tcPr>
          <w:p>
            <w:pPr>
              <w:jc w:val="right"/>
              <w:ind w:right="41"/>
              <w:spacing w:after="0"/>
              <w:rPr>
                <w:sz w:val="20"/>
                <w:szCs w:val="20"/>
                <w:color w:val="auto"/>
              </w:rPr>
            </w:pPr>
            <w:r>
              <w:rPr>
                <w:rFonts w:ascii="Arial" w:cs="Arial" w:eastAsia="Arial" w:hAnsi="Arial"/>
                <w:sz w:val="16"/>
                <w:szCs w:val="16"/>
                <w:color w:val="242424"/>
              </w:rPr>
              <w:t>2,542</w:t>
            </w:r>
          </w:p>
        </w:tc>
        <w:tc>
          <w:tcPr>
            <w:tcW w:w="1860" w:type="dxa"/>
            <w:vAlign w:val="bottom"/>
          </w:tcPr>
          <w:p>
            <w:pPr>
              <w:jc w:val="center"/>
              <w:spacing w:after="0"/>
              <w:rPr>
                <w:sz w:val="20"/>
                <w:szCs w:val="20"/>
                <w:color w:val="auto"/>
              </w:rPr>
            </w:pPr>
            <w:r>
              <w:rPr>
                <w:rFonts w:ascii="Arial" w:cs="Arial" w:eastAsia="Arial" w:hAnsi="Arial"/>
                <w:sz w:val="16"/>
                <w:szCs w:val="16"/>
                <w:color w:val="242424"/>
                <w:w w:val="95"/>
              </w:rPr>
              <w:t>*</w:t>
            </w:r>
          </w:p>
        </w:tc>
        <w:tc>
          <w:tcPr>
            <w:tcW w:w="0" w:type="dxa"/>
            <w:vAlign w:val="bottom"/>
          </w:tcPr>
          <w:p>
            <w:pPr>
              <w:spacing w:after="0"/>
              <w:rPr>
                <w:sz w:val="1"/>
                <w:szCs w:val="1"/>
                <w:color w:val="auto"/>
              </w:rPr>
            </w:pPr>
          </w:p>
        </w:tc>
      </w:tr>
      <w:tr>
        <w:trPr>
          <w:trHeight w:val="265"/>
        </w:trPr>
        <w:tc>
          <w:tcPr>
            <w:tcW w:w="7200" w:type="dxa"/>
            <w:vAlign w:val="bottom"/>
            <w:shd w:val="clear" w:color="auto" w:fill="EAEAEA"/>
          </w:tcPr>
          <w:p>
            <w:pPr>
              <w:ind w:left="60"/>
              <w:spacing w:after="0"/>
              <w:rPr>
                <w:sz w:val="20"/>
                <w:szCs w:val="20"/>
                <w:color w:val="auto"/>
              </w:rPr>
            </w:pPr>
            <w:r>
              <w:rPr>
                <w:rFonts w:ascii="Arial" w:cs="Arial" w:eastAsia="Arial" w:hAnsi="Arial"/>
                <w:sz w:val="16"/>
                <w:szCs w:val="16"/>
                <w:color w:val="242424"/>
              </w:rPr>
              <w:t>Eddy W. Hartenstein</w:t>
            </w:r>
            <w:r>
              <w:rPr>
                <w:rFonts w:ascii="Arial" w:cs="Arial" w:eastAsia="Arial" w:hAnsi="Arial"/>
                <w:sz w:val="20"/>
                <w:szCs w:val="20"/>
                <w:color w:val="242424"/>
                <w:vertAlign w:val="superscript"/>
              </w:rPr>
              <w:t>(14)</w:t>
            </w:r>
          </w:p>
        </w:tc>
        <w:tc>
          <w:tcPr>
            <w:tcW w:w="2180" w:type="dxa"/>
            <w:vAlign w:val="bottom"/>
            <w:shd w:val="clear" w:color="auto" w:fill="EAEAEA"/>
          </w:tcPr>
          <w:p>
            <w:pPr>
              <w:jc w:val="right"/>
              <w:ind w:right="41"/>
              <w:spacing w:after="0"/>
              <w:rPr>
                <w:sz w:val="20"/>
                <w:szCs w:val="20"/>
                <w:color w:val="auto"/>
              </w:rPr>
            </w:pPr>
            <w:r>
              <w:rPr>
                <w:rFonts w:ascii="Arial" w:cs="Arial" w:eastAsia="Arial" w:hAnsi="Arial"/>
                <w:sz w:val="16"/>
                <w:szCs w:val="16"/>
                <w:color w:val="242424"/>
              </w:rPr>
              <w:t>13,385</w:t>
            </w:r>
          </w:p>
        </w:tc>
        <w:tc>
          <w:tcPr>
            <w:tcW w:w="18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5"/>
              </w:rPr>
              <w:t>*</w:t>
            </w:r>
          </w:p>
        </w:tc>
        <w:tc>
          <w:tcPr>
            <w:tcW w:w="0" w:type="dxa"/>
            <w:vAlign w:val="bottom"/>
          </w:tcPr>
          <w:p>
            <w:pPr>
              <w:spacing w:after="0"/>
              <w:rPr>
                <w:sz w:val="1"/>
                <w:szCs w:val="1"/>
                <w:color w:val="auto"/>
              </w:rPr>
            </w:pPr>
          </w:p>
        </w:tc>
      </w:tr>
      <w:tr>
        <w:trPr>
          <w:trHeight w:val="265"/>
        </w:trPr>
        <w:tc>
          <w:tcPr>
            <w:tcW w:w="7200" w:type="dxa"/>
            <w:vAlign w:val="bottom"/>
          </w:tcPr>
          <w:p>
            <w:pPr>
              <w:ind w:left="60"/>
              <w:spacing w:after="0"/>
              <w:rPr>
                <w:sz w:val="20"/>
                <w:szCs w:val="20"/>
                <w:color w:val="auto"/>
              </w:rPr>
            </w:pPr>
            <w:r>
              <w:rPr>
                <w:rFonts w:ascii="Arial" w:cs="Arial" w:eastAsia="Arial" w:hAnsi="Arial"/>
                <w:sz w:val="16"/>
                <w:szCs w:val="16"/>
                <w:color w:val="242424"/>
              </w:rPr>
              <w:t>Check Kian Low</w:t>
            </w:r>
            <w:r>
              <w:rPr>
                <w:rFonts w:ascii="Arial" w:cs="Arial" w:eastAsia="Arial" w:hAnsi="Arial"/>
                <w:sz w:val="20"/>
                <w:szCs w:val="20"/>
                <w:color w:val="242424"/>
                <w:vertAlign w:val="superscript"/>
              </w:rPr>
              <w:t>(15)</w:t>
            </w:r>
          </w:p>
        </w:tc>
        <w:tc>
          <w:tcPr>
            <w:tcW w:w="2180" w:type="dxa"/>
            <w:vAlign w:val="bottom"/>
          </w:tcPr>
          <w:p>
            <w:pPr>
              <w:jc w:val="right"/>
              <w:ind w:right="41"/>
              <w:spacing w:after="0"/>
              <w:rPr>
                <w:sz w:val="20"/>
                <w:szCs w:val="20"/>
                <w:color w:val="auto"/>
              </w:rPr>
            </w:pPr>
            <w:r>
              <w:rPr>
                <w:rFonts w:ascii="Arial" w:cs="Arial" w:eastAsia="Arial" w:hAnsi="Arial"/>
                <w:sz w:val="16"/>
                <w:szCs w:val="16"/>
                <w:color w:val="242424"/>
              </w:rPr>
              <w:t>4,188</w:t>
            </w:r>
          </w:p>
        </w:tc>
        <w:tc>
          <w:tcPr>
            <w:tcW w:w="1860" w:type="dxa"/>
            <w:vAlign w:val="bottom"/>
          </w:tcPr>
          <w:p>
            <w:pPr>
              <w:jc w:val="center"/>
              <w:spacing w:after="0"/>
              <w:rPr>
                <w:sz w:val="20"/>
                <w:szCs w:val="20"/>
                <w:color w:val="auto"/>
              </w:rPr>
            </w:pPr>
            <w:r>
              <w:rPr>
                <w:rFonts w:ascii="Arial" w:cs="Arial" w:eastAsia="Arial" w:hAnsi="Arial"/>
                <w:sz w:val="16"/>
                <w:szCs w:val="16"/>
                <w:color w:val="242424"/>
                <w:w w:val="95"/>
              </w:rPr>
              <w:t>*</w:t>
            </w:r>
          </w:p>
        </w:tc>
        <w:tc>
          <w:tcPr>
            <w:tcW w:w="0" w:type="dxa"/>
            <w:vAlign w:val="bottom"/>
          </w:tcPr>
          <w:p>
            <w:pPr>
              <w:spacing w:after="0"/>
              <w:rPr>
                <w:sz w:val="1"/>
                <w:szCs w:val="1"/>
                <w:color w:val="auto"/>
              </w:rPr>
            </w:pPr>
          </w:p>
        </w:tc>
      </w:tr>
      <w:tr>
        <w:trPr>
          <w:trHeight w:val="265"/>
        </w:trPr>
        <w:tc>
          <w:tcPr>
            <w:tcW w:w="7200" w:type="dxa"/>
            <w:vAlign w:val="bottom"/>
            <w:shd w:val="clear" w:color="auto" w:fill="EAEAEA"/>
          </w:tcPr>
          <w:p>
            <w:pPr>
              <w:ind w:left="60"/>
              <w:spacing w:after="0"/>
              <w:rPr>
                <w:sz w:val="20"/>
                <w:szCs w:val="20"/>
                <w:color w:val="auto"/>
              </w:rPr>
            </w:pPr>
            <w:r>
              <w:rPr>
                <w:rFonts w:ascii="Arial" w:cs="Arial" w:eastAsia="Arial" w:hAnsi="Arial"/>
                <w:sz w:val="16"/>
                <w:szCs w:val="16"/>
                <w:color w:val="242424"/>
              </w:rPr>
              <w:t>Justine F. Page</w:t>
            </w:r>
            <w:r>
              <w:rPr>
                <w:rFonts w:ascii="Arial" w:cs="Arial" w:eastAsia="Arial" w:hAnsi="Arial"/>
                <w:sz w:val="20"/>
                <w:szCs w:val="20"/>
                <w:color w:val="242424"/>
                <w:vertAlign w:val="superscript"/>
              </w:rPr>
              <w:t>(16)</w:t>
            </w:r>
          </w:p>
        </w:tc>
        <w:tc>
          <w:tcPr>
            <w:tcW w:w="2180" w:type="dxa"/>
            <w:vAlign w:val="bottom"/>
            <w:shd w:val="clear" w:color="auto" w:fill="EAEAEA"/>
          </w:tcPr>
          <w:p>
            <w:pPr>
              <w:jc w:val="right"/>
              <w:ind w:right="41"/>
              <w:spacing w:after="0"/>
              <w:rPr>
                <w:sz w:val="20"/>
                <w:szCs w:val="20"/>
                <w:color w:val="auto"/>
              </w:rPr>
            </w:pPr>
            <w:r>
              <w:rPr>
                <w:rFonts w:ascii="Arial" w:cs="Arial" w:eastAsia="Arial" w:hAnsi="Arial"/>
                <w:sz w:val="16"/>
                <w:szCs w:val="16"/>
                <w:color w:val="242424"/>
              </w:rPr>
              <w:t>2,738</w:t>
            </w:r>
          </w:p>
        </w:tc>
        <w:tc>
          <w:tcPr>
            <w:tcW w:w="18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5"/>
              </w:rPr>
              <w:t>*</w:t>
            </w:r>
          </w:p>
        </w:tc>
        <w:tc>
          <w:tcPr>
            <w:tcW w:w="0" w:type="dxa"/>
            <w:vAlign w:val="bottom"/>
          </w:tcPr>
          <w:p>
            <w:pPr>
              <w:spacing w:after="0"/>
              <w:rPr>
                <w:sz w:val="1"/>
                <w:szCs w:val="1"/>
                <w:color w:val="auto"/>
              </w:rPr>
            </w:pPr>
          </w:p>
        </w:tc>
      </w:tr>
      <w:tr>
        <w:trPr>
          <w:trHeight w:val="265"/>
        </w:trPr>
        <w:tc>
          <w:tcPr>
            <w:tcW w:w="7200" w:type="dxa"/>
            <w:vAlign w:val="bottom"/>
          </w:tcPr>
          <w:p>
            <w:pPr>
              <w:ind w:left="60"/>
              <w:spacing w:after="0"/>
              <w:rPr>
                <w:sz w:val="20"/>
                <w:szCs w:val="20"/>
                <w:color w:val="auto"/>
              </w:rPr>
            </w:pPr>
            <w:r>
              <w:rPr>
                <w:rFonts w:ascii="Arial" w:cs="Arial" w:eastAsia="Arial" w:hAnsi="Arial"/>
                <w:sz w:val="16"/>
                <w:szCs w:val="16"/>
                <w:color w:val="242424"/>
              </w:rPr>
              <w:t>Henry Samueli, Ph.D.</w:t>
            </w:r>
            <w:r>
              <w:rPr>
                <w:rFonts w:ascii="Arial" w:cs="Arial" w:eastAsia="Arial" w:hAnsi="Arial"/>
                <w:sz w:val="20"/>
                <w:szCs w:val="20"/>
                <w:color w:val="242424"/>
                <w:vertAlign w:val="superscript"/>
              </w:rPr>
              <w:t>(17)</w:t>
            </w:r>
          </w:p>
        </w:tc>
        <w:tc>
          <w:tcPr>
            <w:tcW w:w="2180" w:type="dxa"/>
            <w:vAlign w:val="bottom"/>
          </w:tcPr>
          <w:p>
            <w:pPr>
              <w:jc w:val="right"/>
              <w:ind w:right="41"/>
              <w:spacing w:after="0"/>
              <w:rPr>
                <w:sz w:val="20"/>
                <w:szCs w:val="20"/>
                <w:color w:val="auto"/>
              </w:rPr>
            </w:pPr>
            <w:r>
              <w:rPr>
                <w:rFonts w:ascii="Arial" w:cs="Arial" w:eastAsia="Arial" w:hAnsi="Arial"/>
                <w:sz w:val="16"/>
                <w:szCs w:val="16"/>
                <w:color w:val="242424"/>
              </w:rPr>
              <w:t>9,036,720</w:t>
            </w:r>
          </w:p>
        </w:tc>
        <w:tc>
          <w:tcPr>
            <w:tcW w:w="1860" w:type="dxa"/>
            <w:vAlign w:val="bottom"/>
          </w:tcPr>
          <w:p>
            <w:pPr>
              <w:jc w:val="center"/>
              <w:spacing w:after="0"/>
              <w:rPr>
                <w:sz w:val="20"/>
                <w:szCs w:val="20"/>
                <w:color w:val="auto"/>
              </w:rPr>
            </w:pPr>
            <w:r>
              <w:rPr>
                <w:rFonts w:ascii="Arial" w:cs="Arial" w:eastAsia="Arial" w:hAnsi="Arial"/>
                <w:sz w:val="16"/>
                <w:szCs w:val="16"/>
                <w:color w:val="242424"/>
                <w:w w:val="98"/>
              </w:rPr>
              <w:t>2.2%</w:t>
            </w:r>
          </w:p>
        </w:tc>
        <w:tc>
          <w:tcPr>
            <w:tcW w:w="0" w:type="dxa"/>
            <w:vAlign w:val="bottom"/>
          </w:tcPr>
          <w:p>
            <w:pPr>
              <w:spacing w:after="0"/>
              <w:rPr>
                <w:sz w:val="1"/>
                <w:szCs w:val="1"/>
                <w:color w:val="auto"/>
              </w:rPr>
            </w:pPr>
          </w:p>
        </w:tc>
      </w:tr>
      <w:tr>
        <w:trPr>
          <w:trHeight w:val="265"/>
        </w:trPr>
        <w:tc>
          <w:tcPr>
            <w:tcW w:w="7200" w:type="dxa"/>
            <w:vAlign w:val="bottom"/>
            <w:shd w:val="clear" w:color="auto" w:fill="EAEAEA"/>
          </w:tcPr>
          <w:p>
            <w:pPr>
              <w:ind w:left="60"/>
              <w:spacing w:after="0"/>
              <w:rPr>
                <w:sz w:val="20"/>
                <w:szCs w:val="20"/>
                <w:color w:val="auto"/>
              </w:rPr>
            </w:pPr>
            <w:r>
              <w:rPr>
                <w:rFonts w:ascii="Arial" w:cs="Arial" w:eastAsia="Arial" w:hAnsi="Arial"/>
                <w:sz w:val="16"/>
                <w:szCs w:val="16"/>
                <w:color w:val="242424"/>
              </w:rPr>
              <w:t>Harry L. You</w:t>
            </w:r>
            <w:r>
              <w:rPr>
                <w:rFonts w:ascii="Arial" w:cs="Arial" w:eastAsia="Arial" w:hAnsi="Arial"/>
                <w:sz w:val="20"/>
                <w:szCs w:val="20"/>
                <w:color w:val="242424"/>
                <w:vertAlign w:val="superscript"/>
              </w:rPr>
              <w:t>(18)</w:t>
            </w:r>
          </w:p>
        </w:tc>
        <w:tc>
          <w:tcPr>
            <w:tcW w:w="2180" w:type="dxa"/>
            <w:vAlign w:val="bottom"/>
            <w:shd w:val="clear" w:color="auto" w:fill="EAEAEA"/>
          </w:tcPr>
          <w:p>
            <w:pPr>
              <w:jc w:val="right"/>
              <w:ind w:right="41"/>
              <w:spacing w:after="0"/>
              <w:rPr>
                <w:sz w:val="20"/>
                <w:szCs w:val="20"/>
                <w:color w:val="auto"/>
              </w:rPr>
            </w:pPr>
            <w:r>
              <w:rPr>
                <w:rFonts w:ascii="Arial" w:cs="Arial" w:eastAsia="Arial" w:hAnsi="Arial"/>
                <w:sz w:val="16"/>
                <w:szCs w:val="16"/>
                <w:color w:val="242424"/>
              </w:rPr>
              <w:t>1,700</w:t>
            </w:r>
          </w:p>
        </w:tc>
        <w:tc>
          <w:tcPr>
            <w:tcW w:w="1860" w:type="dxa"/>
            <w:vAlign w:val="bottom"/>
            <w:shd w:val="clear" w:color="auto" w:fill="EAEAEA"/>
          </w:tcPr>
          <w:p>
            <w:pPr>
              <w:jc w:val="center"/>
              <w:spacing w:after="0"/>
              <w:rPr>
                <w:sz w:val="20"/>
                <w:szCs w:val="20"/>
                <w:color w:val="auto"/>
              </w:rPr>
            </w:pPr>
            <w:r>
              <w:rPr>
                <w:rFonts w:ascii="Arial" w:cs="Arial" w:eastAsia="Arial" w:hAnsi="Arial"/>
                <w:sz w:val="16"/>
                <w:szCs w:val="16"/>
                <w:color w:val="242424"/>
                <w:w w:val="95"/>
              </w:rPr>
              <w:t>*</w:t>
            </w:r>
          </w:p>
        </w:tc>
        <w:tc>
          <w:tcPr>
            <w:tcW w:w="0" w:type="dxa"/>
            <w:vAlign w:val="bottom"/>
          </w:tcPr>
          <w:p>
            <w:pPr>
              <w:spacing w:after="0"/>
              <w:rPr>
                <w:sz w:val="1"/>
                <w:szCs w:val="1"/>
                <w:color w:val="auto"/>
              </w:rPr>
            </w:pPr>
          </w:p>
        </w:tc>
      </w:tr>
      <w:tr>
        <w:trPr>
          <w:trHeight w:val="303"/>
        </w:trPr>
        <w:tc>
          <w:tcPr>
            <w:tcW w:w="7200" w:type="dxa"/>
            <w:vAlign w:val="bottom"/>
          </w:tcPr>
          <w:p>
            <w:pPr>
              <w:ind w:left="60"/>
              <w:spacing w:after="0"/>
              <w:rPr>
                <w:sz w:val="20"/>
                <w:szCs w:val="20"/>
                <w:color w:val="auto"/>
              </w:rPr>
            </w:pPr>
            <w:r>
              <w:rPr>
                <w:rFonts w:ascii="Arial" w:cs="Arial" w:eastAsia="Arial" w:hAnsi="Arial"/>
                <w:sz w:val="16"/>
                <w:szCs w:val="16"/>
                <w:color w:val="242424"/>
              </w:rPr>
              <w:t>All 13 current executive officers and directors as a group</w:t>
            </w:r>
            <w:r>
              <w:rPr>
                <w:rFonts w:ascii="Arial" w:cs="Arial" w:eastAsia="Arial" w:hAnsi="Arial"/>
                <w:sz w:val="20"/>
                <w:szCs w:val="20"/>
                <w:color w:val="242424"/>
                <w:vertAlign w:val="superscript"/>
              </w:rPr>
              <w:t>(19)</w:t>
            </w:r>
          </w:p>
        </w:tc>
        <w:tc>
          <w:tcPr>
            <w:tcW w:w="2180" w:type="dxa"/>
            <w:vAlign w:val="bottom"/>
          </w:tcPr>
          <w:p>
            <w:pPr>
              <w:jc w:val="right"/>
              <w:ind w:right="41"/>
              <w:spacing w:after="0"/>
              <w:rPr>
                <w:sz w:val="20"/>
                <w:szCs w:val="20"/>
                <w:color w:val="auto"/>
              </w:rPr>
            </w:pPr>
            <w:r>
              <w:rPr>
                <w:rFonts w:ascii="Arial" w:cs="Arial" w:eastAsia="Arial" w:hAnsi="Arial"/>
                <w:sz w:val="16"/>
                <w:szCs w:val="16"/>
                <w:color w:val="242424"/>
              </w:rPr>
              <w:t>9,414,928</w:t>
            </w:r>
          </w:p>
        </w:tc>
        <w:tc>
          <w:tcPr>
            <w:tcW w:w="1860" w:type="dxa"/>
            <w:vAlign w:val="bottom"/>
          </w:tcPr>
          <w:p>
            <w:pPr>
              <w:jc w:val="center"/>
              <w:spacing w:after="0"/>
              <w:rPr>
                <w:sz w:val="20"/>
                <w:szCs w:val="20"/>
                <w:color w:val="auto"/>
              </w:rPr>
            </w:pPr>
            <w:r>
              <w:rPr>
                <w:rFonts w:ascii="Arial" w:cs="Arial" w:eastAsia="Arial" w:hAnsi="Arial"/>
                <w:sz w:val="16"/>
                <w:szCs w:val="16"/>
                <w:color w:val="242424"/>
                <w:w w:val="98"/>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-5121910</wp:posOffset>
            </wp:positionV>
            <wp:extent cx="25660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603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102235</wp:posOffset>
            </wp:positionV>
            <wp:extent cx="1993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185" w:lineRule="exact"/>
        <w:rPr>
          <w:sz w:val="20"/>
          <w:szCs w:val="20"/>
          <w:color w:val="auto"/>
        </w:rPr>
      </w:pPr>
    </w:p>
    <w:p>
      <w:pPr>
        <w:ind w:left="300" w:hanging="215"/>
        <w:spacing w:after="0"/>
        <w:tabs>
          <w:tab w:leader="none" w:pos="300" w:val="left"/>
        </w:tabs>
        <w:numPr>
          <w:ilvl w:val="0"/>
          <w:numId w:val="91"/>
        </w:numPr>
        <w:rPr>
          <w:rFonts w:ascii="Arial" w:cs="Arial" w:eastAsia="Arial" w:hAnsi="Arial"/>
          <w:sz w:val="14"/>
          <w:szCs w:val="14"/>
          <w:color w:val="242424"/>
        </w:rPr>
      </w:pPr>
      <w:r>
        <w:rPr>
          <w:rFonts w:ascii="Arial" w:cs="Arial" w:eastAsia="Arial" w:hAnsi="Arial"/>
          <w:sz w:val="14"/>
          <w:szCs w:val="14"/>
          <w:color w:val="242424"/>
        </w:rPr>
        <w:t>Represents beneficial ownership of less than 1%.</w:t>
      </w:r>
    </w:p>
    <w:p>
      <w:pPr>
        <w:sectPr>
          <w:pgSz w:w="11900" w:h="16838" w:orient="portrait"/>
          <w:cols w:equalWidth="0" w:num="1">
            <w:col w:w="11240"/>
          </w:cols>
          <w:pgMar w:left="320" w:top="340"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55</w:t>
      </w:r>
    </w:p>
    <w:p>
      <w:pPr>
        <w:sectPr>
          <w:pgSz w:w="11900" w:h="16838" w:orient="portrait"/>
          <w:cols w:equalWidth="0" w:num="1">
            <w:col w:w="11240"/>
          </w:cols>
          <w:pgMar w:left="320" w:top="340" w:right="339" w:bottom="1440" w:gutter="0" w:footer="0" w:header="0"/>
          <w:type w:val="continuous"/>
        </w:sectPr>
      </w:pPr>
    </w:p>
    <w:bookmarkStart w:id="58" w:name="page59"/>
    <w:bookmarkEnd w:id="58"/>
    <w:p>
      <w:pPr>
        <w:ind w:left="14"/>
        <w:spacing w:after="0"/>
        <w:rPr>
          <w:sz w:val="20"/>
          <w:szCs w:val="20"/>
          <w:color w:val="auto"/>
        </w:rPr>
      </w:pPr>
      <w:r>
        <w:rPr>
          <w:rFonts w:ascii="Arial" w:cs="Arial" w:eastAsia="Arial" w:hAnsi="Arial"/>
          <w:sz w:val="16"/>
          <w:szCs w:val="16"/>
          <w:color w:val="CC092F"/>
        </w:rPr>
        <w:t>STOCKHOLDER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34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74" w:right="80" w:hanging="395"/>
        <w:spacing w:after="0" w:line="250" w:lineRule="auto"/>
        <w:tabs>
          <w:tab w:leader="none" w:pos="398"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Amounts shown in the table above include securities held in the beneficial owner’s name or jointly with others, or in the name of a bank, nominee or trustee for the beneficial owner’s account.</w:t>
      </w:r>
    </w:p>
    <w:p>
      <w:pPr>
        <w:spacing w:after="0" w:line="35" w:lineRule="exact"/>
        <w:rPr>
          <w:rFonts w:ascii="Arial" w:cs="Arial" w:eastAsia="Arial" w:hAnsi="Arial"/>
          <w:sz w:val="14"/>
          <w:szCs w:val="14"/>
          <w:color w:val="242424"/>
        </w:rPr>
      </w:pPr>
    </w:p>
    <w:p>
      <w:pPr>
        <w:ind w:left="474" w:right="40" w:hanging="395"/>
        <w:spacing w:after="0" w:line="241" w:lineRule="auto"/>
        <w:tabs>
          <w:tab w:leader="none" w:pos="406"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Number of shares of common stock is based solely on information reported by Capital World Investors on the Schedule 13G/A filed with the SEC on February 11, 2022, reporting ownership as of December 31, 2021. According to such Schedule 13G/A, Capital World Investors has sole dispositive power over these shares and sole voting power over 40,595,744 of these shares. Ownership percentage assumes the stockholder continued to own the number of shares reflected in the table above on February 7, 2022.</w:t>
      </w:r>
    </w:p>
    <w:p>
      <w:pPr>
        <w:spacing w:after="0" w:line="42" w:lineRule="exact"/>
        <w:rPr>
          <w:rFonts w:ascii="Arial" w:cs="Arial" w:eastAsia="Arial" w:hAnsi="Arial"/>
          <w:sz w:val="14"/>
          <w:szCs w:val="14"/>
          <w:color w:val="242424"/>
        </w:rPr>
      </w:pPr>
    </w:p>
    <w:p>
      <w:pPr>
        <w:ind w:left="474" w:right="20" w:hanging="395"/>
        <w:spacing w:after="0" w:line="241" w:lineRule="auto"/>
        <w:tabs>
          <w:tab w:leader="none" w:pos="406"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Number of shares of common stock is based solely on information reported by The Vanguard Group on the Schedule 13G/A filed with the SEC on February 9, 2022, reporting ownership as of December 31, 2021. According to such Schedule 13G/A. The Vanguard Group has sole dispositive power over 34,739,519 of these shares, shared dispositive power over 1,725,639 of these shares and shared voting power over 693,085 of these shares. Ownership percentage assumes the stockholder continued to own the number of shares reflected in the table above on February 7, 2022.</w:t>
      </w:r>
    </w:p>
    <w:p>
      <w:pPr>
        <w:spacing w:after="0" w:line="42" w:lineRule="exact"/>
        <w:rPr>
          <w:rFonts w:ascii="Arial" w:cs="Arial" w:eastAsia="Arial" w:hAnsi="Arial"/>
          <w:sz w:val="14"/>
          <w:szCs w:val="14"/>
          <w:color w:val="242424"/>
        </w:rPr>
      </w:pPr>
    </w:p>
    <w:p>
      <w:pPr>
        <w:ind w:left="474" w:right="80" w:hanging="395"/>
        <w:spacing w:after="0" w:line="241" w:lineRule="auto"/>
        <w:tabs>
          <w:tab w:leader="none" w:pos="406"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Number of shares of common stock is based solely on information reported by Capital International Investors on the Schedule 13G/A filed with the SEC on February 11, 2022, reporting ownership as of December 31, 2021. According to such Schedule 13G/A, Capital International Investors has sole dispositive power over these shares and sole voting power over 34,044,659 of these shares. Ownership percentage assumes the stockholder continued to own the number of shares reflected in the table above on February 7, 2022.</w:t>
      </w:r>
    </w:p>
    <w:p>
      <w:pPr>
        <w:spacing w:after="0" w:line="42" w:lineRule="exact"/>
        <w:rPr>
          <w:rFonts w:ascii="Arial" w:cs="Arial" w:eastAsia="Arial" w:hAnsi="Arial"/>
          <w:sz w:val="14"/>
          <w:szCs w:val="14"/>
          <w:color w:val="242424"/>
        </w:rPr>
      </w:pPr>
    </w:p>
    <w:p>
      <w:pPr>
        <w:ind w:left="474" w:right="340" w:hanging="395"/>
        <w:spacing w:after="0" w:line="243" w:lineRule="auto"/>
        <w:tabs>
          <w:tab w:leader="none" w:pos="406"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Number of shares of common stock is based solely on information reported by BlackRock, Inc. on the Schedule 13G/A filed with the SEC on February 8, 2022, reporting ownership as of December 31, 2021. According to such Schedule 13G/A, BlackRock, Inc. has sole dispositive power over these shares and sole voting power over 25,213,931 of these shares. Ownership percentage assumes the stockholder continued to own the number of shares reflected in the table above on February 7, 2022.</w:t>
      </w:r>
    </w:p>
    <w:p>
      <w:pPr>
        <w:spacing w:after="0" w:line="40" w:lineRule="exact"/>
        <w:rPr>
          <w:rFonts w:ascii="Arial" w:cs="Arial" w:eastAsia="Arial" w:hAnsi="Arial"/>
          <w:sz w:val="14"/>
          <w:szCs w:val="14"/>
          <w:color w:val="242424"/>
        </w:rPr>
      </w:pPr>
    </w:p>
    <w:p>
      <w:pPr>
        <w:ind w:left="474" w:hanging="395"/>
        <w:spacing w:after="0" w:line="241" w:lineRule="auto"/>
        <w:tabs>
          <w:tab w:leader="none" w:pos="406"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Number of shares of common stock is based solely on information reported by Capital Research Global Investors on the Schedule 13G/A filed with the SEC on February 11, 2022, reporting ownership as of December 31, 2021. According to such Schedule 13G/A, Capital Research Global Investors has sole dispositive power over these shares and sole voting power over 23,292,722 of these shares. Ownership percentage assumes the stockholder continued to own the number of shares reflected in the table above on February 7, 2022.</w:t>
      </w:r>
    </w:p>
    <w:p>
      <w:pPr>
        <w:spacing w:after="0" w:line="42" w:lineRule="exact"/>
        <w:rPr>
          <w:rFonts w:ascii="Arial" w:cs="Arial" w:eastAsia="Arial" w:hAnsi="Arial"/>
          <w:sz w:val="14"/>
          <w:szCs w:val="14"/>
          <w:color w:val="242424"/>
        </w:rPr>
      </w:pPr>
    </w:p>
    <w:p>
      <w:pPr>
        <w:ind w:left="474" w:right="400" w:hanging="395"/>
        <w:spacing w:after="0" w:line="250" w:lineRule="auto"/>
        <w:tabs>
          <w:tab w:leader="none" w:pos="406"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Shares shown in the table above include 5,938 shares that Ms. Spears has the right to acquire within 60 days after February 7, 2022 upon the vesting of service-based RSUs. These shares do not include any shares that may be earned pursuant to PSUs for the performance periods ending March 1, 2022.</w:t>
      </w:r>
    </w:p>
    <w:p>
      <w:pPr>
        <w:spacing w:after="0" w:line="35" w:lineRule="exact"/>
        <w:rPr>
          <w:rFonts w:ascii="Arial" w:cs="Arial" w:eastAsia="Arial" w:hAnsi="Arial"/>
          <w:sz w:val="14"/>
          <w:szCs w:val="14"/>
          <w:color w:val="242424"/>
        </w:rPr>
      </w:pPr>
    </w:p>
    <w:p>
      <w:pPr>
        <w:ind w:left="474" w:right="400" w:hanging="395"/>
        <w:spacing w:after="0" w:line="250" w:lineRule="auto"/>
        <w:tabs>
          <w:tab w:leader="none" w:pos="406"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Shares shown in the table above include 7,250 shares that Mr. Brazeal has the right to acquire within 60 days after February 7, 2022 upon the vesting of service-based RSUs. These shares do not include any shares that may be earned pursuant to PSUs for the performance periods ending March 1, 2022.</w:t>
      </w:r>
    </w:p>
    <w:p>
      <w:pPr>
        <w:spacing w:after="0" w:line="35" w:lineRule="exact"/>
        <w:rPr>
          <w:rFonts w:ascii="Arial" w:cs="Arial" w:eastAsia="Arial" w:hAnsi="Arial"/>
          <w:sz w:val="14"/>
          <w:szCs w:val="14"/>
          <w:color w:val="242424"/>
        </w:rPr>
      </w:pPr>
    </w:p>
    <w:p>
      <w:pPr>
        <w:ind w:left="474" w:hanging="395"/>
        <w:spacing w:after="0" w:line="243" w:lineRule="auto"/>
        <w:tabs>
          <w:tab w:leader="none" w:pos="406"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Shares shown in the table above include 280 shares held by Dr. Kawwas’ spouse, 220 aggregate shares held by his children, and 9,375 shares that Dr. Kawwas has the right to acquire within 60 days after February 7, 2022 upon the vesting of service-based RSUs. These shares do not include any shares that may be earned pursuant to PSUs for the performance periods ending March 1, 2022.</w:t>
      </w:r>
    </w:p>
    <w:p>
      <w:pPr>
        <w:spacing w:after="0" w:line="40" w:lineRule="exact"/>
        <w:rPr>
          <w:rFonts w:ascii="Arial" w:cs="Arial" w:eastAsia="Arial" w:hAnsi="Arial"/>
          <w:sz w:val="14"/>
          <w:szCs w:val="14"/>
          <w:color w:val="242424"/>
        </w:rPr>
      </w:pPr>
    </w:p>
    <w:p>
      <w:pPr>
        <w:ind w:left="474" w:right="160" w:hanging="395"/>
        <w:spacing w:after="0" w:line="250" w:lineRule="auto"/>
        <w:tabs>
          <w:tab w:leader="none" w:pos="485"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Shares shown in the table above consist of shares that Mr. Krause has the right to acquire within 60 days after February 7, 2022 upon the vesting of service-based RSUs. These shares do not include any shares that may be earned pursuant to PSUs for the performance periods ending March 1, 2022.</w:t>
      </w:r>
    </w:p>
    <w:p>
      <w:pPr>
        <w:spacing w:after="0" w:line="35" w:lineRule="exact"/>
        <w:rPr>
          <w:rFonts w:ascii="Arial" w:cs="Arial" w:eastAsia="Arial" w:hAnsi="Arial"/>
          <w:sz w:val="14"/>
          <w:szCs w:val="14"/>
          <w:color w:val="242424"/>
        </w:rPr>
      </w:pPr>
    </w:p>
    <w:p>
      <w:pPr>
        <w:ind w:left="474" w:right="20" w:hanging="395"/>
        <w:spacing w:after="0" w:line="250" w:lineRule="auto"/>
        <w:tabs>
          <w:tab w:leader="none" w:pos="485"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Shares shown in the table above include 32 shares held by The Diane M. Bryant Trust u/a/d 11/08/17 and 476 shares that Ms. Bryant has the right to acquire within 60 days after February 7, 2022 upon the vesting of service-based RSUs.</w:t>
      </w:r>
    </w:p>
    <w:p>
      <w:pPr>
        <w:spacing w:after="0" w:line="35" w:lineRule="exact"/>
        <w:rPr>
          <w:rFonts w:ascii="Arial" w:cs="Arial" w:eastAsia="Arial" w:hAnsi="Arial"/>
          <w:sz w:val="14"/>
          <w:szCs w:val="14"/>
          <w:color w:val="242424"/>
        </w:rPr>
      </w:pPr>
    </w:p>
    <w:p>
      <w:pPr>
        <w:ind w:left="494" w:hanging="415"/>
        <w:spacing w:after="0"/>
        <w:tabs>
          <w:tab w:leader="none" w:pos="494"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Shares shown in the table above include 476 shares that Ms. Delly has the right to acquire within 60 days after February 7, 2022 upon the vesting of service-based RSUs.</w:t>
      </w:r>
    </w:p>
    <w:p>
      <w:pPr>
        <w:spacing w:after="0" w:line="51" w:lineRule="exact"/>
        <w:rPr>
          <w:rFonts w:ascii="Arial" w:cs="Arial" w:eastAsia="Arial" w:hAnsi="Arial"/>
          <w:sz w:val="14"/>
          <w:szCs w:val="14"/>
          <w:color w:val="242424"/>
        </w:rPr>
      </w:pPr>
    </w:p>
    <w:p>
      <w:pPr>
        <w:ind w:left="474" w:right="260" w:hanging="395"/>
        <w:spacing w:after="0" w:line="250" w:lineRule="auto"/>
        <w:tabs>
          <w:tab w:leader="none" w:pos="485"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Shares shown in the table above include 476 shares that Mr. Fernandez has the right to acquire within 60 days after February 7, 2022 upon the vesting of service-based RSUs.</w:t>
      </w:r>
    </w:p>
    <w:p>
      <w:pPr>
        <w:spacing w:after="0" w:line="35" w:lineRule="exact"/>
        <w:rPr>
          <w:rFonts w:ascii="Arial" w:cs="Arial" w:eastAsia="Arial" w:hAnsi="Arial"/>
          <w:sz w:val="14"/>
          <w:szCs w:val="14"/>
          <w:color w:val="242424"/>
        </w:rPr>
      </w:pPr>
    </w:p>
    <w:p>
      <w:pPr>
        <w:ind w:left="474" w:right="240" w:hanging="395"/>
        <w:spacing w:after="0" w:line="250" w:lineRule="auto"/>
        <w:tabs>
          <w:tab w:leader="none" w:pos="485"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Shares shown in the table above include 12,909 shares held by The Hartenstein Family Trust and 476 shares that Mr. Hartenstein has the right to acquire within 60 days after February 7, 2022 upon the vesting of service-based RSUs.</w:t>
      </w:r>
    </w:p>
    <w:p>
      <w:pPr>
        <w:spacing w:after="0" w:line="35" w:lineRule="exact"/>
        <w:rPr>
          <w:rFonts w:ascii="Arial" w:cs="Arial" w:eastAsia="Arial" w:hAnsi="Arial"/>
          <w:sz w:val="14"/>
          <w:szCs w:val="14"/>
          <w:color w:val="242424"/>
        </w:rPr>
      </w:pPr>
    </w:p>
    <w:p>
      <w:pPr>
        <w:ind w:left="494" w:hanging="415"/>
        <w:spacing w:after="0"/>
        <w:tabs>
          <w:tab w:leader="none" w:pos="494"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Shares shown in the table above include 476 shares that Mr. Low has the right to acquire within 60 days after February 7, 2022 upon the vesting of service-based RSUs.</w:t>
      </w:r>
    </w:p>
    <w:p>
      <w:pPr>
        <w:spacing w:after="0" w:line="51" w:lineRule="exact"/>
        <w:rPr>
          <w:rFonts w:ascii="Arial" w:cs="Arial" w:eastAsia="Arial" w:hAnsi="Arial"/>
          <w:sz w:val="14"/>
          <w:szCs w:val="14"/>
          <w:color w:val="242424"/>
        </w:rPr>
      </w:pPr>
    </w:p>
    <w:p>
      <w:pPr>
        <w:ind w:left="494" w:hanging="415"/>
        <w:spacing w:after="0"/>
        <w:tabs>
          <w:tab w:leader="none" w:pos="494"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Shares shown in the table above include 476 shares that Ms. Page has the right to acquire within 60 days after February 7, 2022 upon the vesting of service-based RSUs.</w:t>
      </w:r>
    </w:p>
    <w:p>
      <w:pPr>
        <w:spacing w:after="0" w:line="51" w:lineRule="exact"/>
        <w:rPr>
          <w:rFonts w:ascii="Arial" w:cs="Arial" w:eastAsia="Arial" w:hAnsi="Arial"/>
          <w:sz w:val="14"/>
          <w:szCs w:val="14"/>
          <w:color w:val="242424"/>
        </w:rPr>
      </w:pPr>
    </w:p>
    <w:p>
      <w:pPr>
        <w:ind w:left="474" w:right="20" w:hanging="395"/>
        <w:spacing w:after="0" w:line="237" w:lineRule="auto"/>
        <w:tabs>
          <w:tab w:leader="none" w:pos="482"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The shares in the table include 500 shares that Dr. Samueli has the right to acquire within 60 days after February 7, 2022 upon the vesting of service-based RSUs, but does not include any shares that may be earned pursuant to PSUs for the performance periods ending March 1, 2022. Shares in the table also include (i) 4,189,608 shares held by D95GT LLC, (ii) 1,227,203 shares held by E95GT LLC, (iii) 459,690 shares held by H&amp;S Portfolio II L.P., and (iv) 2,893,512 shares held by H&amp;S Investments I L.P.</w:t>
      </w:r>
    </w:p>
    <w:p>
      <w:pPr>
        <w:ind w:left="474" w:right="40"/>
        <w:spacing w:after="0" w:line="243" w:lineRule="auto"/>
        <w:rPr>
          <w:rFonts w:ascii="Arial" w:cs="Arial" w:eastAsia="Arial" w:hAnsi="Arial"/>
          <w:sz w:val="14"/>
          <w:szCs w:val="14"/>
          <w:color w:val="242424"/>
        </w:rPr>
      </w:pPr>
      <w:r>
        <w:rPr>
          <w:rFonts w:ascii="Arial" w:cs="Arial" w:eastAsia="Arial" w:hAnsi="Arial"/>
          <w:sz w:val="14"/>
          <w:szCs w:val="14"/>
          <w:color w:val="242424"/>
        </w:rPr>
        <w:t>Dr. Samueli disclaims beneficial ownership of the shares held by H&amp;S Portfolio II, L.P and H&amp;S Investments I, L.P. (collectively, the “H&amp;S Partnerships”) and D95GT LLC and E95GT LLC, except to the extent of his pecuniary interest therein. H&amp;S Ventures LLC is the general partner of the H&amp;S Partnerships and Dr. Samueli has an ownership interest in H&amp;S Ventures LLC. Dr. Samueli has sole dispositive and voting power over the shares held by the H&amp;S Partnerships, D95FT LLC and E95GT LLC.</w:t>
      </w:r>
    </w:p>
    <w:p>
      <w:pPr>
        <w:spacing w:after="0" w:line="40" w:lineRule="exact"/>
        <w:rPr>
          <w:rFonts w:ascii="Arial" w:cs="Arial" w:eastAsia="Arial" w:hAnsi="Arial"/>
          <w:sz w:val="14"/>
          <w:szCs w:val="14"/>
          <w:color w:val="242424"/>
        </w:rPr>
      </w:pPr>
    </w:p>
    <w:p>
      <w:pPr>
        <w:ind w:left="494" w:hanging="415"/>
        <w:spacing w:after="0"/>
        <w:tabs>
          <w:tab w:leader="none" w:pos="494"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Shares shown in the table above include 476 shares that Mr. You has the right to acquire within 60 days after February 7, 2022 upon the vesting of service-based RSUs.</w:t>
      </w:r>
    </w:p>
    <w:p>
      <w:pPr>
        <w:spacing w:after="0" w:line="51" w:lineRule="exact"/>
        <w:rPr>
          <w:rFonts w:ascii="Arial" w:cs="Arial" w:eastAsia="Arial" w:hAnsi="Arial"/>
          <w:sz w:val="14"/>
          <w:szCs w:val="14"/>
          <w:color w:val="242424"/>
        </w:rPr>
      </w:pPr>
    </w:p>
    <w:p>
      <w:pPr>
        <w:jc w:val="both"/>
        <w:ind w:left="474" w:hanging="395"/>
        <w:spacing w:after="0" w:line="243" w:lineRule="auto"/>
        <w:tabs>
          <w:tab w:leader="none" w:pos="485" w:val="left"/>
        </w:tabs>
        <w:numPr>
          <w:ilvl w:val="0"/>
          <w:numId w:val="92"/>
        </w:numPr>
        <w:rPr>
          <w:rFonts w:ascii="Arial" w:cs="Arial" w:eastAsia="Arial" w:hAnsi="Arial"/>
          <w:sz w:val="14"/>
          <w:szCs w:val="14"/>
          <w:color w:val="242424"/>
        </w:rPr>
      </w:pPr>
      <w:r>
        <w:rPr>
          <w:rFonts w:ascii="Arial" w:cs="Arial" w:eastAsia="Arial" w:hAnsi="Arial"/>
          <w:sz w:val="14"/>
          <w:szCs w:val="14"/>
          <w:color w:val="242424"/>
        </w:rPr>
        <w:t>Shares shown in the table above include 35,895 shares that directors and executive officers have the right to acquire within 60 days after February 7, 2022 upon the vesting of service-based RSUs. These shares do not include any shares that may be earned by our executive officers pursuant to their respective PSUs for the performance periods ending March 1, 2022.</w:t>
      </w:r>
    </w:p>
    <w:p>
      <w:pPr>
        <w:spacing w:after="0" w:line="200" w:lineRule="exact"/>
        <w:rPr>
          <w:sz w:val="20"/>
          <w:szCs w:val="20"/>
          <w:color w:val="auto"/>
        </w:rPr>
      </w:pPr>
    </w:p>
    <w:p>
      <w:pPr>
        <w:spacing w:after="0" w:line="236" w:lineRule="exact"/>
        <w:rPr>
          <w:sz w:val="20"/>
          <w:szCs w:val="20"/>
          <w:color w:val="auto"/>
        </w:rPr>
      </w:pPr>
    </w:p>
    <w:p>
      <w:pPr>
        <w:ind w:left="354" w:hanging="354"/>
        <w:spacing w:after="0"/>
        <w:tabs>
          <w:tab w:leader="none" w:pos="354" w:val="left"/>
        </w:tabs>
        <w:numPr>
          <w:ilvl w:val="0"/>
          <w:numId w:val="93"/>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34"/>
          </w:cols>
          <w:pgMar w:left="326" w:top="34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color w:val="CC092F"/>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0"/>
        <w:spacing w:after="0"/>
        <w:rPr>
          <w:sz w:val="20"/>
          <w:szCs w:val="20"/>
          <w:color w:val="auto"/>
        </w:rPr>
      </w:pPr>
      <w:r>
        <w:rPr>
          <w:rFonts w:ascii="Arial" w:cs="Arial" w:eastAsia="Arial" w:hAnsi="Arial"/>
          <w:sz w:val="28"/>
          <w:szCs w:val="28"/>
          <w:color w:val="CC092F"/>
        </w:rPr>
        <w:t>CERTAIN RELATIONSHIPS AND RELATED PARTY TRANSACTIONS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Procedures for Approval of Related Party Transactions</w:t>
      </w:r>
    </w:p>
    <w:p>
      <w:pPr>
        <w:spacing w:after="0" w:line="188"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242424"/>
        </w:rPr>
        <w:t>As provided by the Audit Committee Charter, the Audit Committee must review all related party transactions on an ongoing basis and all such transactions must be approved by the Audit Committee. The Audit Committee may delegate to one or more designated members of the committee the authority to pre-approve related party transactions, provided such approvals are presented to the Audit Committee at its next scheduled meeting.</w:t>
      </w:r>
    </w:p>
    <w:p>
      <w:pPr>
        <w:spacing w:after="0" w:line="15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242424"/>
        </w:rPr>
        <w:t>In approving or rejecting the proposed related party transaction, the Audit Committee considers the relevant facts and circumstances available and deemed relevant to the Audit Committee, including, but not limited to the extent of the related person’s interests, the risks, costs and benefits to us, the terms of the transaction, the availability of other sources for comparable services or products, and, if applicable, the impact on a director’s independence. Our Code of Ethics also requires that our directors, officers and employees make appropriate disclosure of potential conflicts of interest to and receive approval from (i) the NESG Committee or the Audit Committee, in the case of directors and officers, or (ii) our compliance officer, in the case of employees. Our Board has authority to approve related party transactions in lieu of the Audit Committee.</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Transactions with Related Party</w:t>
      </w:r>
    </w:p>
    <w:p>
      <w:pPr>
        <w:spacing w:after="0" w:line="188"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242424"/>
        </w:rPr>
        <w:t>From time to time in the ordinary course of business, on an arms’ length basis, Broadcom purchases from and/or sells to certain entities where one of our directors or management may have relationships as directors or executive officers. For transactions entered into during Fiscal Year 2021, no related person had or will have a direct or indirect material interest.</w:t>
      </w:r>
    </w:p>
    <w:p>
      <w:pPr>
        <w:spacing w:after="0" w:line="200" w:lineRule="exact"/>
        <w:rPr>
          <w:sz w:val="20"/>
          <w:szCs w:val="20"/>
          <w:color w:val="auto"/>
        </w:rPr>
      </w:pPr>
    </w:p>
    <w:p>
      <w:pPr>
        <w:spacing w:after="0" w:line="248"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57</w:t>
      </w:r>
    </w:p>
    <w:p>
      <w:pPr>
        <w:sectPr>
          <w:pgSz w:w="11900" w:h="16838" w:orient="portrait"/>
          <w:cols w:equalWidth="0" w:num="1">
            <w:col w:w="11220"/>
          </w:cols>
          <w:pgMar w:left="320" w:top="340" w:right="359" w:bottom="1440" w:gutter="0" w:footer="0" w:header="0"/>
        </w:sectPr>
      </w:pPr>
    </w:p>
    <w:bookmarkStart w:id="60" w:name="page61"/>
    <w:bookmarkEnd w:id="60"/>
    <w:p>
      <w:pPr>
        <w:ind w:left="20"/>
        <w:spacing w:after="0"/>
        <w:rPr>
          <w:sz w:val="20"/>
          <w:szCs w:val="20"/>
          <w:color w:val="auto"/>
        </w:rPr>
      </w:pPr>
      <w:r>
        <w:rPr>
          <w:rFonts w:ascii="Arial" w:cs="Arial" w:eastAsia="Arial" w:hAnsi="Arial"/>
          <w:sz w:val="16"/>
          <w:szCs w:val="16"/>
          <w:color w:val="CC092F"/>
        </w:rPr>
        <w:t>ADDITIONAL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28"/>
          <w:szCs w:val="28"/>
          <w:color w:val="CC092F"/>
        </w:rPr>
        <w:t>ADDITIONAL MEETING INFORMATION</w:t>
      </w:r>
    </w:p>
    <w:p>
      <w:pPr>
        <w:spacing w:after="0" w:line="252" w:lineRule="exact"/>
        <w:rPr>
          <w:sz w:val="20"/>
          <w:szCs w:val="20"/>
          <w:color w:val="auto"/>
        </w:rPr>
      </w:pPr>
    </w:p>
    <w:tbl>
      <w:tblPr>
        <w:tblLayout w:type="fixed"/>
        <w:tblInd w:w="1920" w:type="dxa"/>
        <w:tblCellMar>
          <w:top w:w="0" w:type="dxa"/>
          <w:left w:w="0" w:type="dxa"/>
          <w:bottom w:w="0" w:type="dxa"/>
          <w:right w:w="0" w:type="dxa"/>
        </w:tblCellMar>
      </w:tblPr>
      <w:tr>
        <w:trPr>
          <w:trHeight w:val="330"/>
        </w:trPr>
        <w:tc>
          <w:tcPr>
            <w:tcW w:w="940" w:type="dxa"/>
            <w:vAlign w:val="bottom"/>
            <w:vMerge w:val="restart"/>
            <w:shd w:val="clear" w:color="auto" w:fill="EAEAEA"/>
          </w:tcPr>
          <w:p>
            <w:pPr>
              <w:ind w:left="20"/>
              <w:spacing w:after="0"/>
              <w:rPr>
                <w:sz w:val="20"/>
                <w:szCs w:val="20"/>
                <w:color w:val="auto"/>
              </w:rPr>
            </w:pPr>
            <w:r>
              <w:rPr>
                <w:rFonts w:ascii="Arial" w:cs="Arial" w:eastAsia="Arial" w:hAnsi="Arial"/>
                <w:sz w:val="18"/>
                <w:szCs w:val="18"/>
                <w:b w:val="1"/>
                <w:bCs w:val="1"/>
                <w:color w:val="262626"/>
              </w:rPr>
              <w:t>When</w:t>
            </w:r>
            <w:r>
              <w:rPr>
                <w:rFonts w:ascii="Arial" w:cs="Arial" w:eastAsia="Arial" w:hAnsi="Arial"/>
                <w:sz w:val="18"/>
                <w:szCs w:val="18"/>
                <w:color w:val="262626"/>
              </w:rPr>
              <w:t>:</w:t>
            </w:r>
          </w:p>
        </w:tc>
        <w:tc>
          <w:tcPr>
            <w:tcW w:w="2560" w:type="dxa"/>
            <w:vAlign w:val="bottom"/>
            <w:shd w:val="clear" w:color="auto" w:fill="EAEAEA"/>
          </w:tcPr>
          <w:p>
            <w:pPr>
              <w:ind w:left="20"/>
              <w:spacing w:after="0"/>
              <w:rPr>
                <w:sz w:val="20"/>
                <w:szCs w:val="20"/>
                <w:color w:val="auto"/>
              </w:rPr>
            </w:pPr>
            <w:r>
              <w:rPr>
                <w:rFonts w:ascii="Arial" w:cs="Arial" w:eastAsia="Arial" w:hAnsi="Arial"/>
                <w:sz w:val="18"/>
                <w:szCs w:val="18"/>
                <w:color w:val="262626"/>
              </w:rPr>
              <w:t>April 4, 2022</w:t>
            </w:r>
          </w:p>
        </w:tc>
        <w:tc>
          <w:tcPr>
            <w:tcW w:w="1220" w:type="dxa"/>
            <w:vAlign w:val="bottom"/>
            <w:vMerge w:val="restart"/>
            <w:shd w:val="clear" w:color="auto" w:fill="EAEAEA"/>
          </w:tcPr>
          <w:p>
            <w:pPr>
              <w:ind w:left="440"/>
              <w:spacing w:after="0"/>
              <w:rPr>
                <w:sz w:val="20"/>
                <w:szCs w:val="20"/>
                <w:color w:val="auto"/>
              </w:rPr>
            </w:pPr>
            <w:r>
              <w:rPr>
                <w:rFonts w:ascii="Arial" w:cs="Arial" w:eastAsia="Arial" w:hAnsi="Arial"/>
                <w:sz w:val="18"/>
                <w:szCs w:val="18"/>
                <w:b w:val="1"/>
                <w:bCs w:val="1"/>
                <w:color w:val="262626"/>
              </w:rPr>
              <w:t>Time</w:t>
            </w:r>
            <w:r>
              <w:rPr>
                <w:rFonts w:ascii="Arial" w:cs="Arial" w:eastAsia="Arial" w:hAnsi="Arial"/>
                <w:sz w:val="18"/>
                <w:szCs w:val="18"/>
                <w:color w:val="262626"/>
              </w:rPr>
              <w:t>:</w:t>
            </w:r>
          </w:p>
        </w:tc>
        <w:tc>
          <w:tcPr>
            <w:tcW w:w="2700" w:type="dxa"/>
            <w:vAlign w:val="bottom"/>
            <w:shd w:val="clear" w:color="auto" w:fill="EAEAEA"/>
          </w:tcPr>
          <w:p>
            <w:pPr>
              <w:ind w:left="160"/>
              <w:spacing w:after="0"/>
              <w:rPr>
                <w:sz w:val="20"/>
                <w:szCs w:val="20"/>
                <w:color w:val="auto"/>
              </w:rPr>
            </w:pPr>
            <w:r>
              <w:rPr>
                <w:rFonts w:ascii="Arial" w:cs="Arial" w:eastAsia="Arial" w:hAnsi="Arial"/>
                <w:sz w:val="18"/>
                <w:szCs w:val="18"/>
                <w:color w:val="262626"/>
              </w:rPr>
              <w:t>11:00 a.m. Pacific Time</w:t>
            </w:r>
          </w:p>
        </w:tc>
        <w:tc>
          <w:tcPr>
            <w:tcW w:w="0" w:type="dxa"/>
            <w:vAlign w:val="bottom"/>
          </w:tcPr>
          <w:p>
            <w:pPr>
              <w:spacing w:after="0"/>
              <w:rPr>
                <w:sz w:val="1"/>
                <w:szCs w:val="1"/>
                <w:color w:val="auto"/>
              </w:rPr>
            </w:pPr>
          </w:p>
        </w:tc>
      </w:tr>
      <w:tr>
        <w:trPr>
          <w:trHeight w:val="106"/>
        </w:trPr>
        <w:tc>
          <w:tcPr>
            <w:tcW w:w="940" w:type="dxa"/>
            <w:vAlign w:val="bottom"/>
            <w:vMerge w:val="continue"/>
            <w:shd w:val="clear" w:color="auto" w:fill="EAEAEA"/>
          </w:tcPr>
          <w:p>
            <w:pPr>
              <w:spacing w:after="0"/>
              <w:rPr>
                <w:sz w:val="9"/>
                <w:szCs w:val="9"/>
                <w:color w:val="auto"/>
              </w:rPr>
            </w:pPr>
          </w:p>
        </w:tc>
        <w:tc>
          <w:tcPr>
            <w:tcW w:w="2560" w:type="dxa"/>
            <w:vAlign w:val="bottom"/>
            <w:shd w:val="clear" w:color="auto" w:fill="EAEAEA"/>
          </w:tcPr>
          <w:p>
            <w:pPr>
              <w:spacing w:after="0"/>
              <w:rPr>
                <w:sz w:val="9"/>
                <w:szCs w:val="9"/>
                <w:color w:val="auto"/>
              </w:rPr>
            </w:pPr>
          </w:p>
        </w:tc>
        <w:tc>
          <w:tcPr>
            <w:tcW w:w="1220" w:type="dxa"/>
            <w:vAlign w:val="bottom"/>
            <w:vMerge w:val="continue"/>
            <w:shd w:val="clear" w:color="auto" w:fill="EAEAEA"/>
          </w:tcPr>
          <w:p>
            <w:pPr>
              <w:spacing w:after="0"/>
              <w:rPr>
                <w:sz w:val="9"/>
                <w:szCs w:val="9"/>
                <w:color w:val="auto"/>
              </w:rPr>
            </w:pPr>
          </w:p>
        </w:tc>
        <w:tc>
          <w:tcPr>
            <w:tcW w:w="270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940" w:type="dxa"/>
            <w:vAlign w:val="bottom"/>
            <w:shd w:val="clear" w:color="auto" w:fill="EAEAEA"/>
          </w:tcPr>
          <w:p>
            <w:pPr>
              <w:spacing w:after="0"/>
              <w:rPr>
                <w:sz w:val="16"/>
                <w:szCs w:val="16"/>
                <w:color w:val="auto"/>
              </w:rPr>
            </w:pPr>
          </w:p>
        </w:tc>
        <w:tc>
          <w:tcPr>
            <w:tcW w:w="2560" w:type="dxa"/>
            <w:vAlign w:val="bottom"/>
            <w:shd w:val="clear" w:color="auto" w:fill="EAEAEA"/>
          </w:tcPr>
          <w:p>
            <w:pPr>
              <w:ind w:left="20"/>
              <w:spacing w:after="0" w:line="186" w:lineRule="exact"/>
              <w:rPr>
                <w:sz w:val="20"/>
                <w:szCs w:val="20"/>
                <w:color w:val="auto"/>
              </w:rPr>
            </w:pPr>
            <w:r>
              <w:rPr>
                <w:rFonts w:ascii="Arial" w:cs="Arial" w:eastAsia="Arial" w:hAnsi="Arial"/>
                <w:sz w:val="18"/>
                <w:szCs w:val="18"/>
                <w:color w:val="262626"/>
              </w:rPr>
              <w:t>1320 Ridder Park Drive</w:t>
            </w:r>
          </w:p>
        </w:tc>
        <w:tc>
          <w:tcPr>
            <w:tcW w:w="1220" w:type="dxa"/>
            <w:vAlign w:val="bottom"/>
            <w:shd w:val="clear" w:color="auto" w:fill="EAEAEA"/>
          </w:tcPr>
          <w:p>
            <w:pPr>
              <w:spacing w:after="0"/>
              <w:rPr>
                <w:sz w:val="16"/>
                <w:szCs w:val="16"/>
                <w:color w:val="auto"/>
              </w:rPr>
            </w:pPr>
          </w:p>
        </w:tc>
        <w:tc>
          <w:tcPr>
            <w:tcW w:w="2700" w:type="dxa"/>
            <w:vAlign w:val="bottom"/>
            <w:shd w:val="clear" w:color="auto" w:fill="EAEAEA"/>
          </w:tcPr>
          <w:p>
            <w:pPr>
              <w:ind w:left="160"/>
              <w:spacing w:after="0" w:line="186" w:lineRule="exact"/>
              <w:rPr>
                <w:sz w:val="20"/>
                <w:szCs w:val="20"/>
                <w:color w:val="auto"/>
              </w:rPr>
            </w:pPr>
            <w:r>
              <w:rPr>
                <w:rFonts w:ascii="Arial" w:cs="Arial" w:eastAsia="Arial" w:hAnsi="Arial"/>
                <w:sz w:val="18"/>
                <w:szCs w:val="18"/>
                <w:color w:val="262626"/>
              </w:rPr>
              <w:t>February 7, 2022</w:t>
            </w:r>
          </w:p>
        </w:tc>
        <w:tc>
          <w:tcPr>
            <w:tcW w:w="0" w:type="dxa"/>
            <w:vAlign w:val="bottom"/>
          </w:tcPr>
          <w:p>
            <w:pPr>
              <w:spacing w:after="0"/>
              <w:rPr>
                <w:sz w:val="1"/>
                <w:szCs w:val="1"/>
                <w:color w:val="auto"/>
              </w:rPr>
            </w:pPr>
          </w:p>
        </w:tc>
      </w:tr>
      <w:tr>
        <w:trPr>
          <w:trHeight w:val="200"/>
        </w:trPr>
        <w:tc>
          <w:tcPr>
            <w:tcW w:w="940" w:type="dxa"/>
            <w:vAlign w:val="bottom"/>
            <w:shd w:val="clear" w:color="auto" w:fill="EAEAEA"/>
          </w:tcPr>
          <w:p>
            <w:pPr>
              <w:ind w:left="20"/>
              <w:spacing w:after="0" w:line="200" w:lineRule="exact"/>
              <w:rPr>
                <w:sz w:val="20"/>
                <w:szCs w:val="20"/>
                <w:color w:val="auto"/>
              </w:rPr>
            </w:pPr>
            <w:r>
              <w:rPr>
                <w:rFonts w:ascii="Arial" w:cs="Arial" w:eastAsia="Arial" w:hAnsi="Arial"/>
                <w:sz w:val="18"/>
                <w:szCs w:val="18"/>
                <w:b w:val="1"/>
                <w:bCs w:val="1"/>
                <w:color w:val="262626"/>
              </w:rPr>
              <w:t>Where</w:t>
            </w:r>
            <w:r>
              <w:rPr>
                <w:rFonts w:ascii="Arial" w:cs="Arial" w:eastAsia="Arial" w:hAnsi="Arial"/>
                <w:sz w:val="18"/>
                <w:szCs w:val="18"/>
                <w:color w:val="262626"/>
              </w:rPr>
              <w:t>:</w:t>
            </w:r>
          </w:p>
        </w:tc>
        <w:tc>
          <w:tcPr>
            <w:tcW w:w="2560" w:type="dxa"/>
            <w:vAlign w:val="bottom"/>
            <w:shd w:val="clear" w:color="auto" w:fill="EAEAEA"/>
          </w:tcPr>
          <w:p>
            <w:pPr>
              <w:ind w:left="20"/>
              <w:spacing w:after="0" w:line="200" w:lineRule="exact"/>
              <w:rPr>
                <w:sz w:val="20"/>
                <w:szCs w:val="20"/>
                <w:color w:val="auto"/>
              </w:rPr>
            </w:pPr>
            <w:r>
              <w:rPr>
                <w:rFonts w:ascii="Arial" w:cs="Arial" w:eastAsia="Arial" w:hAnsi="Arial"/>
                <w:sz w:val="18"/>
                <w:szCs w:val="18"/>
                <w:color w:val="262626"/>
              </w:rPr>
              <w:t>San Jose, California 95131</w:t>
            </w:r>
          </w:p>
        </w:tc>
        <w:tc>
          <w:tcPr>
            <w:tcW w:w="1220" w:type="dxa"/>
            <w:vAlign w:val="bottom"/>
            <w:shd w:val="clear" w:color="auto" w:fill="EAEAEA"/>
          </w:tcPr>
          <w:p>
            <w:pPr>
              <w:ind w:left="440"/>
              <w:spacing w:after="0" w:line="200" w:lineRule="exact"/>
              <w:rPr>
                <w:sz w:val="20"/>
                <w:szCs w:val="20"/>
                <w:color w:val="auto"/>
              </w:rPr>
            </w:pPr>
            <w:r>
              <w:rPr>
                <w:rFonts w:ascii="Arial" w:cs="Arial" w:eastAsia="Arial" w:hAnsi="Arial"/>
                <w:sz w:val="18"/>
                <w:szCs w:val="18"/>
                <w:b w:val="1"/>
                <w:bCs w:val="1"/>
                <w:color w:val="262626"/>
              </w:rPr>
              <w:t>Record</w:t>
            </w:r>
          </w:p>
        </w:tc>
        <w:tc>
          <w:tcPr>
            <w:tcW w:w="27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40" w:type="dxa"/>
            <w:vAlign w:val="bottom"/>
            <w:shd w:val="clear" w:color="auto" w:fill="EAEAEA"/>
          </w:tcPr>
          <w:p>
            <w:pPr>
              <w:spacing w:after="0"/>
              <w:rPr>
                <w:sz w:val="20"/>
                <w:szCs w:val="20"/>
                <w:color w:val="auto"/>
              </w:rPr>
            </w:pPr>
          </w:p>
        </w:tc>
        <w:tc>
          <w:tcPr>
            <w:tcW w:w="2560" w:type="dxa"/>
            <w:vAlign w:val="bottom"/>
            <w:shd w:val="clear" w:color="auto" w:fill="EAEAEA"/>
          </w:tcPr>
          <w:p>
            <w:pPr>
              <w:spacing w:after="0"/>
              <w:rPr>
                <w:sz w:val="20"/>
                <w:szCs w:val="20"/>
                <w:color w:val="auto"/>
              </w:rPr>
            </w:pPr>
          </w:p>
        </w:tc>
        <w:tc>
          <w:tcPr>
            <w:tcW w:w="1220" w:type="dxa"/>
            <w:vAlign w:val="bottom"/>
            <w:shd w:val="clear" w:color="auto" w:fill="EAEAEA"/>
          </w:tcPr>
          <w:p>
            <w:pPr>
              <w:ind w:left="440"/>
              <w:spacing w:after="0"/>
              <w:rPr>
                <w:sz w:val="20"/>
                <w:szCs w:val="20"/>
                <w:color w:val="auto"/>
              </w:rPr>
            </w:pPr>
            <w:r>
              <w:rPr>
                <w:rFonts w:ascii="Arial" w:cs="Arial" w:eastAsia="Arial" w:hAnsi="Arial"/>
                <w:sz w:val="18"/>
                <w:szCs w:val="18"/>
                <w:b w:val="1"/>
                <w:bCs w:val="1"/>
                <w:color w:val="262626"/>
              </w:rPr>
              <w:t>Date</w:t>
            </w:r>
            <w:r>
              <w:rPr>
                <w:rFonts w:ascii="Arial" w:cs="Arial" w:eastAsia="Arial" w:hAnsi="Arial"/>
                <w:sz w:val="18"/>
                <w:szCs w:val="18"/>
                <w:color w:val="262626"/>
              </w:rPr>
              <w:t>:</w:t>
            </w:r>
          </w:p>
        </w:tc>
        <w:tc>
          <w:tcPr>
            <w:tcW w:w="270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940" w:type="dxa"/>
            <w:vAlign w:val="bottom"/>
            <w:shd w:val="clear" w:color="auto" w:fill="EAEAEA"/>
          </w:tcPr>
          <w:p>
            <w:pPr>
              <w:spacing w:after="0"/>
              <w:rPr>
                <w:sz w:val="8"/>
                <w:szCs w:val="8"/>
                <w:color w:val="auto"/>
              </w:rPr>
            </w:pPr>
          </w:p>
        </w:tc>
        <w:tc>
          <w:tcPr>
            <w:tcW w:w="2560" w:type="dxa"/>
            <w:vAlign w:val="bottom"/>
            <w:shd w:val="clear" w:color="auto" w:fill="EAEAEA"/>
          </w:tcPr>
          <w:p>
            <w:pPr>
              <w:spacing w:after="0"/>
              <w:rPr>
                <w:sz w:val="8"/>
                <w:szCs w:val="8"/>
                <w:color w:val="auto"/>
              </w:rPr>
            </w:pPr>
          </w:p>
        </w:tc>
        <w:tc>
          <w:tcPr>
            <w:tcW w:w="1220" w:type="dxa"/>
            <w:vAlign w:val="bottom"/>
            <w:shd w:val="clear" w:color="auto" w:fill="EAEAEA"/>
          </w:tcPr>
          <w:p>
            <w:pPr>
              <w:spacing w:after="0"/>
              <w:rPr>
                <w:sz w:val="8"/>
                <w:szCs w:val="8"/>
                <w:color w:val="auto"/>
              </w:rPr>
            </w:pPr>
          </w:p>
        </w:tc>
        <w:tc>
          <w:tcPr>
            <w:tcW w:w="270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42424"/>
        </w:rPr>
        <w:t>This Proxy Statement is made available in connection with the solicitation by our Board of proxies to be voted at the Annual Meeting, or at any adjournments or postponements thereof. The Internet Notice, this Proxy Statement, the accompanying proxy card and our 2021 Annual Report were first made available to our stockholders on or about February 18, 2022.</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Electronic Delivery of Our Stockholder Communications</w:t>
      </w:r>
    </w:p>
    <w:p>
      <w:pPr>
        <w:spacing w:after="0" w:line="18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242424"/>
        </w:rPr>
        <w:t>We are furnishing the proxy materials, including this Proxy Statement and the 2021 Annual Report, to our stockholders by providing access to such documents on the Internet Notice instead of mailing printed copies. The Internet Notice provides instructions as to how you may access and review all of the proxy materials on the Internet. The Internet Notice also instructs you as to how you may submit your proxy over the Internet or by telephone. If you would like to receive a paper copy of our proxy materials, you should follow the instructions for requesting such materials in the Internet Notice. Any request to receive proxy materials by mail will remain in effect until you revoke it.</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Meeting Attendance and Admission</w:t>
      </w:r>
    </w:p>
    <w:p>
      <w:pPr>
        <w:spacing w:after="0" w:line="18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242424"/>
        </w:rPr>
        <w:t>You are invited to attend the Annual Meeting if you were a registered stockholder or a beneficial owner of Broadcom common stock on the Record Date. All stockholders must bring proof of identification. If you are a registered stockholder, your name will be verified against the list of registered stockholders prior to admittance to the Annual Meeting. If you hold your shares through a broker, bank or other nominee, you will need to provide proof of ownership on the Record Date. This can be any of the following:</w:t>
      </w:r>
    </w:p>
    <w:p>
      <w:pPr>
        <w:spacing w:after="0" w:line="112" w:lineRule="exact"/>
        <w:rPr>
          <w:sz w:val="20"/>
          <w:szCs w:val="20"/>
          <w:color w:val="auto"/>
        </w:rPr>
      </w:pPr>
    </w:p>
    <w:p>
      <w:pPr>
        <w:ind w:left="520" w:hanging="276"/>
        <w:spacing w:after="0"/>
        <w:tabs>
          <w:tab w:leader="none" w:pos="520" w:val="left"/>
        </w:tabs>
        <w:numPr>
          <w:ilvl w:val="0"/>
          <w:numId w:val="94"/>
        </w:numPr>
        <w:rPr>
          <w:rFonts w:ascii="Arial" w:cs="Arial" w:eastAsia="Arial" w:hAnsi="Arial"/>
          <w:sz w:val="21"/>
          <w:szCs w:val="21"/>
          <w:color w:val="242424"/>
        </w:rPr>
      </w:pPr>
      <w:r>
        <w:rPr>
          <w:rFonts w:ascii="Arial" w:cs="Arial" w:eastAsia="Arial" w:hAnsi="Arial"/>
          <w:sz w:val="18"/>
          <w:szCs w:val="18"/>
          <w:color w:val="242424"/>
        </w:rPr>
        <w:t>the Internet Notice;</w:t>
      </w:r>
    </w:p>
    <w:p>
      <w:pPr>
        <w:spacing w:after="0" w:line="116" w:lineRule="exact"/>
        <w:rPr>
          <w:rFonts w:ascii="Arial" w:cs="Arial" w:eastAsia="Arial" w:hAnsi="Arial"/>
          <w:sz w:val="21"/>
          <w:szCs w:val="21"/>
          <w:color w:val="242424"/>
        </w:rPr>
      </w:pPr>
    </w:p>
    <w:p>
      <w:pPr>
        <w:ind w:left="520" w:hanging="276"/>
        <w:spacing w:after="0"/>
        <w:tabs>
          <w:tab w:leader="none" w:pos="520" w:val="left"/>
        </w:tabs>
        <w:numPr>
          <w:ilvl w:val="0"/>
          <w:numId w:val="94"/>
        </w:numPr>
        <w:rPr>
          <w:rFonts w:ascii="Arial" w:cs="Arial" w:eastAsia="Arial" w:hAnsi="Arial"/>
          <w:sz w:val="21"/>
          <w:szCs w:val="21"/>
          <w:color w:val="242424"/>
        </w:rPr>
      </w:pPr>
      <w:r>
        <w:rPr>
          <w:rFonts w:ascii="Arial" w:cs="Arial" w:eastAsia="Arial" w:hAnsi="Arial"/>
          <w:sz w:val="18"/>
          <w:szCs w:val="18"/>
          <w:color w:val="242424"/>
        </w:rPr>
        <w:t>a proxy card;</w:t>
      </w:r>
    </w:p>
    <w:p>
      <w:pPr>
        <w:spacing w:after="0" w:line="116" w:lineRule="exact"/>
        <w:rPr>
          <w:rFonts w:ascii="Arial" w:cs="Arial" w:eastAsia="Arial" w:hAnsi="Arial"/>
          <w:sz w:val="21"/>
          <w:szCs w:val="21"/>
          <w:color w:val="242424"/>
        </w:rPr>
      </w:pPr>
    </w:p>
    <w:p>
      <w:pPr>
        <w:ind w:left="520" w:hanging="276"/>
        <w:spacing w:after="0"/>
        <w:tabs>
          <w:tab w:leader="none" w:pos="520" w:val="left"/>
        </w:tabs>
        <w:numPr>
          <w:ilvl w:val="0"/>
          <w:numId w:val="94"/>
        </w:numPr>
        <w:rPr>
          <w:rFonts w:ascii="Arial" w:cs="Arial" w:eastAsia="Arial" w:hAnsi="Arial"/>
          <w:sz w:val="21"/>
          <w:szCs w:val="21"/>
          <w:color w:val="242424"/>
        </w:rPr>
      </w:pPr>
      <w:r>
        <w:rPr>
          <w:rFonts w:ascii="Arial" w:cs="Arial" w:eastAsia="Arial" w:hAnsi="Arial"/>
          <w:sz w:val="18"/>
          <w:szCs w:val="18"/>
          <w:color w:val="242424"/>
        </w:rPr>
        <w:t>a voting instruction card;</w:t>
      </w:r>
    </w:p>
    <w:p>
      <w:pPr>
        <w:spacing w:after="0" w:line="116" w:lineRule="exact"/>
        <w:rPr>
          <w:rFonts w:ascii="Arial" w:cs="Arial" w:eastAsia="Arial" w:hAnsi="Arial"/>
          <w:sz w:val="21"/>
          <w:szCs w:val="21"/>
          <w:color w:val="242424"/>
        </w:rPr>
      </w:pPr>
    </w:p>
    <w:p>
      <w:pPr>
        <w:ind w:left="520" w:hanging="276"/>
        <w:spacing w:after="0"/>
        <w:tabs>
          <w:tab w:leader="none" w:pos="520" w:val="left"/>
        </w:tabs>
        <w:numPr>
          <w:ilvl w:val="0"/>
          <w:numId w:val="94"/>
        </w:numPr>
        <w:rPr>
          <w:rFonts w:ascii="Arial" w:cs="Arial" w:eastAsia="Arial" w:hAnsi="Arial"/>
          <w:sz w:val="21"/>
          <w:szCs w:val="21"/>
          <w:color w:val="242424"/>
        </w:rPr>
      </w:pPr>
      <w:r>
        <w:rPr>
          <w:rFonts w:ascii="Arial" w:cs="Arial" w:eastAsia="Arial" w:hAnsi="Arial"/>
          <w:sz w:val="18"/>
          <w:szCs w:val="18"/>
          <w:color w:val="242424"/>
        </w:rPr>
        <w:t>a brokerage statement or letter from a broker, bank or other nominee indicating ownership as of the Record Date; or</w:t>
      </w:r>
    </w:p>
    <w:p>
      <w:pPr>
        <w:spacing w:after="0" w:line="116" w:lineRule="exact"/>
        <w:rPr>
          <w:rFonts w:ascii="Arial" w:cs="Arial" w:eastAsia="Arial" w:hAnsi="Arial"/>
          <w:sz w:val="21"/>
          <w:szCs w:val="21"/>
          <w:color w:val="242424"/>
        </w:rPr>
      </w:pPr>
    </w:p>
    <w:p>
      <w:pPr>
        <w:ind w:left="520" w:hanging="276"/>
        <w:spacing w:after="0"/>
        <w:tabs>
          <w:tab w:leader="none" w:pos="520" w:val="left"/>
        </w:tabs>
        <w:numPr>
          <w:ilvl w:val="0"/>
          <w:numId w:val="94"/>
        </w:numPr>
        <w:rPr>
          <w:rFonts w:ascii="Arial" w:cs="Arial" w:eastAsia="Arial" w:hAnsi="Arial"/>
          <w:sz w:val="21"/>
          <w:szCs w:val="21"/>
          <w:color w:val="242424"/>
        </w:rPr>
      </w:pPr>
      <w:r>
        <w:rPr>
          <w:rFonts w:ascii="Arial" w:cs="Arial" w:eastAsia="Arial" w:hAnsi="Arial"/>
          <w:sz w:val="18"/>
          <w:szCs w:val="18"/>
          <w:color w:val="242424"/>
        </w:rPr>
        <w:t>a legal proxy provided by your broker, bank or other nominee.</w:t>
      </w:r>
    </w:p>
    <w:p>
      <w:pPr>
        <w:spacing w:after="0" w:line="15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242424"/>
        </w:rPr>
        <w:t>We are monitoring public health and travel safety concerns relating to COVID-19. If we determine that a change in the date, time or location of the Annual Meeting or a change to a virtual meeting format is advisable or required, we will announce such changes through a press release and additional proxy materials filed with the SEC and on our Investor Center page at http://investors.broadcom.com. Please check this website in advance of the meeting date if you are planning to attend in person, and we encourage you to vote your shares prior to the Annual Meeting.</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Quorum</w:t>
      </w:r>
    </w:p>
    <w:p>
      <w:pPr>
        <w:spacing w:after="0" w:line="188" w:lineRule="exact"/>
        <w:rPr>
          <w:sz w:val="20"/>
          <w:szCs w:val="20"/>
          <w:color w:val="auto"/>
        </w:rPr>
      </w:pPr>
    </w:p>
    <w:p>
      <w:pPr>
        <w:spacing w:after="0" w:line="248" w:lineRule="auto"/>
        <w:rPr>
          <w:sz w:val="20"/>
          <w:szCs w:val="20"/>
          <w:color w:val="auto"/>
        </w:rPr>
      </w:pPr>
      <w:r>
        <w:rPr>
          <w:rFonts w:ascii="Arial" w:cs="Arial" w:eastAsia="Arial" w:hAnsi="Arial"/>
          <w:sz w:val="18"/>
          <w:szCs w:val="18"/>
          <w:color w:val="242424"/>
        </w:rPr>
        <w:t>Representation at the Annual Meeting of stockholders entitled to vote, in person or by proxy or representative and holding among them at least a majority of all issued and outstanding shares of common stock is required to constitute a quorum. Abstentions and “broker non-votes” are counted in determining whether a quorum is present at the Annual Meeting.</w:t>
      </w:r>
    </w:p>
    <w:p>
      <w:pPr>
        <w:spacing w:after="0" w:line="200" w:lineRule="exact"/>
        <w:rPr>
          <w:sz w:val="20"/>
          <w:szCs w:val="20"/>
          <w:color w:val="auto"/>
        </w:rPr>
      </w:pPr>
    </w:p>
    <w:p>
      <w:pPr>
        <w:spacing w:after="0" w:line="248" w:lineRule="exact"/>
        <w:rPr>
          <w:sz w:val="20"/>
          <w:szCs w:val="20"/>
          <w:color w:val="auto"/>
        </w:rPr>
      </w:pPr>
    </w:p>
    <w:p>
      <w:pPr>
        <w:ind w:left="360" w:hanging="354"/>
        <w:spacing w:after="0"/>
        <w:tabs>
          <w:tab w:leader="none" w:pos="360" w:val="left"/>
        </w:tabs>
        <w:numPr>
          <w:ilvl w:val="0"/>
          <w:numId w:val="95"/>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140"/>
          </w:cols>
          <w:pgMar w:left="320" w:top="340" w:right="4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color w:val="CC092F"/>
        </w:rPr>
        <w:t>ADDITIONAL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Voting Rights</w:t>
      </w:r>
    </w:p>
    <w:p>
      <w:pPr>
        <w:spacing w:after="0" w:line="18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242424"/>
        </w:rPr>
        <w:t>Only holders of Broadcom common stock as of the close of business on the Record Date are entitled to vote at the Annual Meeting. Each share of Broadcom common stock has one vote for each matter. As of the Record Date, Broadcom had 409,612,742 shares of common stock issued and outstanding.</w:t>
      </w:r>
    </w:p>
    <w:p>
      <w:pPr>
        <w:spacing w:after="0" w:line="153"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color w:val="242424"/>
        </w:rPr>
        <w:t>If your shares of common stock are registered directly in your name with our transfer agent, Computershare Trust Company, N.A., you are a registered stockholder with respect to those shares.</w:t>
      </w:r>
    </w:p>
    <w:p>
      <w:pPr>
        <w:spacing w:after="0" w:line="15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242424"/>
        </w:rPr>
        <w:t>If your shares of common stock are held by a broker, bank or other nominee, you are the “beneficial owner” of shares held in “street name.” As a beneficial owner, you have the right to instruct the broker, bank or other nominee that holds your shares on how to vote them.</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Voting Procedures</w:t>
      </w:r>
    </w:p>
    <w:p>
      <w:pPr>
        <w:spacing w:after="0" w:line="188"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242424"/>
        </w:rPr>
        <w:t>We recommend that stockholders vote by proxy even if they plan to attend the Annual Meeting. You may vote over the Internet, by telephone, by mail or in person.</w:t>
      </w:r>
    </w:p>
    <w:p>
      <w:pPr>
        <w:spacing w:after="0" w:line="107" w:lineRule="exact"/>
        <w:rPr>
          <w:sz w:val="20"/>
          <w:szCs w:val="20"/>
          <w:color w:val="auto"/>
        </w:rPr>
      </w:pPr>
    </w:p>
    <w:p>
      <w:pPr>
        <w:ind w:left="520" w:hanging="276"/>
        <w:spacing w:after="0"/>
        <w:tabs>
          <w:tab w:leader="none" w:pos="520" w:val="left"/>
        </w:tabs>
        <w:numPr>
          <w:ilvl w:val="0"/>
          <w:numId w:val="96"/>
        </w:numPr>
        <w:rPr>
          <w:rFonts w:ascii="Arial" w:cs="Arial" w:eastAsia="Arial" w:hAnsi="Arial"/>
          <w:sz w:val="21"/>
          <w:szCs w:val="21"/>
          <w:color w:val="242424"/>
        </w:rPr>
      </w:pPr>
      <w:r>
        <w:rPr>
          <w:rFonts w:ascii="Arial" w:cs="Arial" w:eastAsia="Arial" w:hAnsi="Arial"/>
          <w:sz w:val="18"/>
          <w:szCs w:val="18"/>
          <w:b w:val="1"/>
          <w:bCs w:val="1"/>
          <w:color w:val="242424"/>
        </w:rPr>
        <w:t>Internet</w:t>
      </w:r>
      <w:r>
        <w:rPr>
          <w:rFonts w:ascii="Arial" w:cs="Arial" w:eastAsia="Arial" w:hAnsi="Arial"/>
          <w:sz w:val="18"/>
          <w:szCs w:val="18"/>
          <w:color w:val="242424"/>
        </w:rPr>
        <w:t>: Vote your shares at www.proxyvote.com.</w:t>
      </w:r>
    </w:p>
    <w:p>
      <w:pPr>
        <w:spacing w:after="0" w:line="116" w:lineRule="exact"/>
        <w:rPr>
          <w:rFonts w:ascii="Arial" w:cs="Arial" w:eastAsia="Arial" w:hAnsi="Arial"/>
          <w:sz w:val="21"/>
          <w:szCs w:val="21"/>
          <w:color w:val="242424"/>
        </w:rPr>
      </w:pPr>
    </w:p>
    <w:p>
      <w:pPr>
        <w:ind w:left="520" w:hanging="276"/>
        <w:spacing w:after="0"/>
        <w:tabs>
          <w:tab w:leader="none" w:pos="520" w:val="left"/>
        </w:tabs>
        <w:numPr>
          <w:ilvl w:val="0"/>
          <w:numId w:val="96"/>
        </w:numPr>
        <w:rPr>
          <w:rFonts w:ascii="Arial" w:cs="Arial" w:eastAsia="Arial" w:hAnsi="Arial"/>
          <w:sz w:val="21"/>
          <w:szCs w:val="21"/>
          <w:color w:val="242424"/>
        </w:rPr>
      </w:pPr>
      <w:r>
        <w:rPr>
          <w:rFonts w:ascii="Arial" w:cs="Arial" w:eastAsia="Arial" w:hAnsi="Arial"/>
          <w:sz w:val="18"/>
          <w:szCs w:val="18"/>
          <w:b w:val="1"/>
          <w:bCs w:val="1"/>
          <w:color w:val="242424"/>
        </w:rPr>
        <w:t>Telephone</w:t>
      </w:r>
      <w:r>
        <w:rPr>
          <w:rFonts w:ascii="Arial" w:cs="Arial" w:eastAsia="Arial" w:hAnsi="Arial"/>
          <w:sz w:val="18"/>
          <w:szCs w:val="18"/>
          <w:color w:val="242424"/>
        </w:rPr>
        <w:t>: Call (800) 690-6903.</w:t>
      </w:r>
    </w:p>
    <w:p>
      <w:pPr>
        <w:spacing w:after="0" w:line="123" w:lineRule="exact"/>
        <w:rPr>
          <w:rFonts w:ascii="Arial" w:cs="Arial" w:eastAsia="Arial" w:hAnsi="Arial"/>
          <w:sz w:val="21"/>
          <w:szCs w:val="21"/>
          <w:color w:val="242424"/>
        </w:rPr>
      </w:pPr>
    </w:p>
    <w:p>
      <w:pPr>
        <w:ind w:left="560" w:right="20" w:hanging="316"/>
        <w:spacing w:after="0" w:line="238" w:lineRule="auto"/>
        <w:tabs>
          <w:tab w:leader="none" w:pos="512" w:val="left"/>
        </w:tabs>
        <w:numPr>
          <w:ilvl w:val="0"/>
          <w:numId w:val="96"/>
        </w:numPr>
        <w:rPr>
          <w:rFonts w:ascii="Arial" w:cs="Arial" w:eastAsia="Arial" w:hAnsi="Arial"/>
          <w:sz w:val="21"/>
          <w:szCs w:val="21"/>
          <w:color w:val="242424"/>
        </w:rPr>
      </w:pPr>
      <w:r>
        <w:rPr>
          <w:rFonts w:ascii="Arial" w:cs="Arial" w:eastAsia="Arial" w:hAnsi="Arial"/>
          <w:sz w:val="18"/>
          <w:szCs w:val="18"/>
          <w:b w:val="1"/>
          <w:bCs w:val="1"/>
          <w:color w:val="242424"/>
        </w:rPr>
        <w:t>Mail</w:t>
      </w:r>
      <w:r>
        <w:rPr>
          <w:rFonts w:ascii="Arial" w:cs="Arial" w:eastAsia="Arial" w:hAnsi="Arial"/>
          <w:sz w:val="18"/>
          <w:szCs w:val="18"/>
          <w:color w:val="242424"/>
        </w:rPr>
        <w:t>: Complete, sign and date your proxy card and return it in the postage-paid envelope. You</w:t>
      </w:r>
      <w:r>
        <w:rPr>
          <w:rFonts w:ascii="Arial" w:cs="Arial" w:eastAsia="Arial" w:hAnsi="Arial"/>
          <w:sz w:val="18"/>
          <w:szCs w:val="18"/>
          <w:b w:val="1"/>
          <w:bCs w:val="1"/>
          <w:color w:val="242424"/>
        </w:rPr>
        <w:t xml:space="preserve"> </w:t>
      </w:r>
      <w:r>
        <w:rPr>
          <w:rFonts w:ascii="Arial" w:cs="Arial" w:eastAsia="Arial" w:hAnsi="Arial"/>
          <w:sz w:val="18"/>
          <w:szCs w:val="18"/>
          <w:u w:val="single" w:color="auto"/>
          <w:color w:val="242424"/>
        </w:rPr>
        <w:t>cannot</w:t>
      </w:r>
      <w:r>
        <w:rPr>
          <w:rFonts w:ascii="Arial" w:cs="Arial" w:eastAsia="Arial" w:hAnsi="Arial"/>
          <w:sz w:val="18"/>
          <w:szCs w:val="18"/>
          <w:b w:val="1"/>
          <w:bCs w:val="1"/>
          <w:color w:val="242424"/>
        </w:rPr>
        <w:t xml:space="preserve"> </w:t>
      </w:r>
      <w:r>
        <w:rPr>
          <w:rFonts w:ascii="Arial" w:cs="Arial" w:eastAsia="Arial" w:hAnsi="Arial"/>
          <w:sz w:val="18"/>
          <w:szCs w:val="18"/>
          <w:color w:val="242424"/>
        </w:rPr>
        <w:t>vote by marking the Internet Notice</w:t>
      </w:r>
      <w:r>
        <w:rPr>
          <w:rFonts w:ascii="Arial" w:cs="Arial" w:eastAsia="Arial" w:hAnsi="Arial"/>
          <w:sz w:val="18"/>
          <w:szCs w:val="18"/>
          <w:b w:val="1"/>
          <w:bCs w:val="1"/>
          <w:color w:val="242424"/>
        </w:rPr>
        <w:t xml:space="preserve"> </w:t>
      </w:r>
      <w:r>
        <w:rPr>
          <w:rFonts w:ascii="Arial" w:cs="Arial" w:eastAsia="Arial" w:hAnsi="Arial"/>
          <w:sz w:val="18"/>
          <w:szCs w:val="18"/>
          <w:color w:val="242424"/>
        </w:rPr>
        <w:t>and returning it.</w:t>
      </w:r>
    </w:p>
    <w:p>
      <w:pPr>
        <w:spacing w:after="0" w:line="125" w:lineRule="exact"/>
        <w:rPr>
          <w:rFonts w:ascii="Arial" w:cs="Arial" w:eastAsia="Arial" w:hAnsi="Arial"/>
          <w:sz w:val="21"/>
          <w:szCs w:val="21"/>
          <w:color w:val="242424"/>
        </w:rPr>
      </w:pPr>
    </w:p>
    <w:p>
      <w:pPr>
        <w:ind w:left="560" w:right="240" w:hanging="316"/>
        <w:spacing w:after="0" w:line="242" w:lineRule="auto"/>
        <w:tabs>
          <w:tab w:leader="none" w:pos="512" w:val="left"/>
        </w:tabs>
        <w:numPr>
          <w:ilvl w:val="0"/>
          <w:numId w:val="96"/>
        </w:numPr>
        <w:rPr>
          <w:rFonts w:ascii="Arial" w:cs="Arial" w:eastAsia="Arial" w:hAnsi="Arial"/>
          <w:sz w:val="21"/>
          <w:szCs w:val="21"/>
          <w:color w:val="242424"/>
        </w:rPr>
      </w:pPr>
      <w:r>
        <w:rPr>
          <w:rFonts w:ascii="Arial" w:cs="Arial" w:eastAsia="Arial" w:hAnsi="Arial"/>
          <w:sz w:val="18"/>
          <w:szCs w:val="18"/>
          <w:b w:val="1"/>
          <w:bCs w:val="1"/>
          <w:color w:val="242424"/>
        </w:rPr>
        <w:t>At the Annual Meeting</w:t>
      </w:r>
      <w:r>
        <w:rPr>
          <w:rFonts w:ascii="Arial" w:cs="Arial" w:eastAsia="Arial" w:hAnsi="Arial"/>
          <w:sz w:val="18"/>
          <w:szCs w:val="18"/>
          <w:color w:val="242424"/>
        </w:rPr>
        <w:t>: The method or timing of your vote will not limit your right to vote in person at the Annual Meeting. However, if</w:t>
      </w:r>
      <w:r>
        <w:rPr>
          <w:rFonts w:ascii="Arial" w:cs="Arial" w:eastAsia="Arial" w:hAnsi="Arial"/>
          <w:sz w:val="18"/>
          <w:szCs w:val="18"/>
          <w:b w:val="1"/>
          <w:bCs w:val="1"/>
          <w:color w:val="242424"/>
        </w:rPr>
        <w:t xml:space="preserve"> </w:t>
      </w:r>
      <w:r>
        <w:rPr>
          <w:rFonts w:ascii="Arial" w:cs="Arial" w:eastAsia="Arial" w:hAnsi="Arial"/>
          <w:sz w:val="18"/>
          <w:szCs w:val="18"/>
          <w:color w:val="242424"/>
        </w:rPr>
        <w:t>your shares are held in the name of a broker, bank or other nominee, you must obtain a legal proxy, executed in your favor, from the holder of record to be able to vote at the Annual Meeting. You should allow yourself enough time prior to the Annual Meeting to obtain this proxy from the holder of record.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242424"/>
        </w:rPr>
        <w:t>Internet and telephone voting are available 24 hours a day and will close at 11:59 p.m. Eastern Time on Sunday, April 3, 2022.</w:t>
      </w:r>
    </w:p>
    <w:p>
      <w:pPr>
        <w:spacing w:after="0" w:line="164"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color w:val="242424"/>
        </w:rPr>
        <w:t>The shares voted by proxy over the Internet, telephonically or proxy cards received, properly marked, dated, signed and not revoked, will be voted at the Annual Meeting.</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Voting Revocation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242424"/>
        </w:rPr>
        <w:t>If you are a registered stockholder, you may revoke your proxy and change your vote:</w:t>
      </w:r>
    </w:p>
    <w:p>
      <w:pPr>
        <w:spacing w:after="0" w:line="121" w:lineRule="exact"/>
        <w:rPr>
          <w:sz w:val="20"/>
          <w:szCs w:val="20"/>
          <w:color w:val="auto"/>
        </w:rPr>
      </w:pPr>
    </w:p>
    <w:p>
      <w:pPr>
        <w:ind w:left="520" w:hanging="276"/>
        <w:spacing w:after="0"/>
        <w:tabs>
          <w:tab w:leader="none" w:pos="520" w:val="left"/>
        </w:tabs>
        <w:numPr>
          <w:ilvl w:val="0"/>
          <w:numId w:val="97"/>
        </w:numPr>
        <w:rPr>
          <w:rFonts w:ascii="Arial" w:cs="Arial" w:eastAsia="Arial" w:hAnsi="Arial"/>
          <w:sz w:val="21"/>
          <w:szCs w:val="21"/>
          <w:color w:val="242424"/>
        </w:rPr>
      </w:pPr>
      <w:r>
        <w:rPr>
          <w:rFonts w:ascii="Arial" w:cs="Arial" w:eastAsia="Arial" w:hAnsi="Arial"/>
          <w:sz w:val="18"/>
          <w:szCs w:val="18"/>
          <w:color w:val="242424"/>
        </w:rPr>
        <w:t>by submitting a duly executed proxy card bearing a later date;</w:t>
      </w:r>
    </w:p>
    <w:p>
      <w:pPr>
        <w:spacing w:after="0" w:line="116" w:lineRule="exact"/>
        <w:rPr>
          <w:rFonts w:ascii="Arial" w:cs="Arial" w:eastAsia="Arial" w:hAnsi="Arial"/>
          <w:sz w:val="21"/>
          <w:szCs w:val="21"/>
          <w:color w:val="242424"/>
        </w:rPr>
      </w:pPr>
    </w:p>
    <w:p>
      <w:pPr>
        <w:ind w:left="520" w:hanging="276"/>
        <w:spacing w:after="0"/>
        <w:tabs>
          <w:tab w:leader="none" w:pos="520" w:val="left"/>
        </w:tabs>
        <w:numPr>
          <w:ilvl w:val="0"/>
          <w:numId w:val="97"/>
        </w:numPr>
        <w:rPr>
          <w:rFonts w:ascii="Arial" w:cs="Arial" w:eastAsia="Arial" w:hAnsi="Arial"/>
          <w:sz w:val="21"/>
          <w:szCs w:val="21"/>
          <w:color w:val="242424"/>
        </w:rPr>
      </w:pPr>
      <w:r>
        <w:rPr>
          <w:rFonts w:ascii="Arial" w:cs="Arial" w:eastAsia="Arial" w:hAnsi="Arial"/>
          <w:sz w:val="18"/>
          <w:szCs w:val="18"/>
          <w:color w:val="242424"/>
        </w:rPr>
        <w:t>by granting a subsequent proxy over the Internet or by telephone;</w:t>
      </w:r>
    </w:p>
    <w:p>
      <w:pPr>
        <w:spacing w:after="0" w:line="116" w:lineRule="exact"/>
        <w:rPr>
          <w:rFonts w:ascii="Arial" w:cs="Arial" w:eastAsia="Arial" w:hAnsi="Arial"/>
          <w:sz w:val="21"/>
          <w:szCs w:val="21"/>
          <w:color w:val="242424"/>
        </w:rPr>
      </w:pPr>
    </w:p>
    <w:p>
      <w:pPr>
        <w:ind w:left="520" w:hanging="276"/>
        <w:spacing w:after="0"/>
        <w:tabs>
          <w:tab w:leader="none" w:pos="520" w:val="left"/>
        </w:tabs>
        <w:numPr>
          <w:ilvl w:val="0"/>
          <w:numId w:val="97"/>
        </w:numPr>
        <w:rPr>
          <w:rFonts w:ascii="Arial" w:cs="Arial" w:eastAsia="Arial" w:hAnsi="Arial"/>
          <w:sz w:val="21"/>
          <w:szCs w:val="21"/>
          <w:color w:val="242424"/>
        </w:rPr>
      </w:pPr>
      <w:r>
        <w:rPr>
          <w:rFonts w:ascii="Arial" w:cs="Arial" w:eastAsia="Arial" w:hAnsi="Arial"/>
          <w:sz w:val="18"/>
          <w:szCs w:val="18"/>
          <w:color w:val="242424"/>
        </w:rPr>
        <w:t>by giving written notice of revocation to the Secretary of Broadcom prior to or at the Annual Meeting; or</w:t>
      </w:r>
    </w:p>
    <w:p>
      <w:pPr>
        <w:spacing w:after="0" w:line="116" w:lineRule="exact"/>
        <w:rPr>
          <w:rFonts w:ascii="Arial" w:cs="Arial" w:eastAsia="Arial" w:hAnsi="Arial"/>
          <w:sz w:val="21"/>
          <w:szCs w:val="21"/>
          <w:color w:val="242424"/>
        </w:rPr>
      </w:pPr>
    </w:p>
    <w:p>
      <w:pPr>
        <w:ind w:left="520" w:hanging="276"/>
        <w:spacing w:after="0"/>
        <w:tabs>
          <w:tab w:leader="none" w:pos="520" w:val="left"/>
        </w:tabs>
        <w:numPr>
          <w:ilvl w:val="0"/>
          <w:numId w:val="97"/>
        </w:numPr>
        <w:rPr>
          <w:rFonts w:ascii="Arial" w:cs="Arial" w:eastAsia="Arial" w:hAnsi="Arial"/>
          <w:sz w:val="21"/>
          <w:szCs w:val="21"/>
          <w:color w:val="242424"/>
        </w:rPr>
      </w:pPr>
      <w:r>
        <w:rPr>
          <w:rFonts w:ascii="Arial" w:cs="Arial" w:eastAsia="Arial" w:hAnsi="Arial"/>
          <w:sz w:val="18"/>
          <w:szCs w:val="18"/>
          <w:color w:val="242424"/>
        </w:rPr>
        <w:t>by voting in person at the Annual Meeting.</w:t>
      </w:r>
    </w:p>
    <w:p>
      <w:pPr>
        <w:spacing w:after="0" w:line="15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242424"/>
        </w:rPr>
        <w:t>Your attendance at the Annual Meeting itself will not revoke your proxy unless you give written notice of revocation to the Secretary before your proxy is voted or you vote in person at the Annual Meeting. If you are a beneficial owner, you may change or revoke your voting instructions by following the specific directions provided to you by your broker, bank or other nominee, or you may vote in person at the Annual Meeting by obtaining a legal proxy from your broker, bank or other nominee and submitting the legal proxy along with your ballot.</w:t>
      </w:r>
    </w:p>
    <w:p>
      <w:pPr>
        <w:spacing w:after="0" w:line="200" w:lineRule="exact"/>
        <w:rPr>
          <w:sz w:val="20"/>
          <w:szCs w:val="20"/>
          <w:color w:val="auto"/>
        </w:rPr>
      </w:pPr>
    </w:p>
    <w:p>
      <w:pPr>
        <w:spacing w:after="0" w:line="249"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59</w:t>
      </w:r>
    </w:p>
    <w:p>
      <w:pPr>
        <w:sectPr>
          <w:pgSz w:w="11900" w:h="16838" w:orient="portrait"/>
          <w:cols w:equalWidth="0" w:num="1">
            <w:col w:w="11220"/>
          </w:cols>
          <w:pgMar w:left="320" w:top="340" w:right="359" w:bottom="1440" w:gutter="0" w:footer="0" w:header="0"/>
        </w:sectPr>
      </w:pPr>
    </w:p>
    <w:bookmarkStart w:id="62" w:name="page63"/>
    <w:bookmarkEnd w:id="62"/>
    <w:p>
      <w:pPr>
        <w:ind w:left="20"/>
        <w:spacing w:after="0"/>
        <w:rPr>
          <w:sz w:val="20"/>
          <w:szCs w:val="20"/>
          <w:color w:val="auto"/>
        </w:rPr>
      </w:pPr>
      <w:r>
        <w:rPr>
          <w:rFonts w:ascii="Arial" w:cs="Arial" w:eastAsia="Arial" w:hAnsi="Arial"/>
          <w:sz w:val="16"/>
          <w:szCs w:val="16"/>
          <w:color w:val="CC092F"/>
        </w:rPr>
        <w:t>ADDITIONAL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Board Recommendations, Required Vote and Effects of Abstentions and Broker Non-Votes</w:t>
      </w:r>
    </w:p>
    <w:p>
      <w:pPr>
        <w:spacing w:after="0" w:line="188"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242424"/>
        </w:rPr>
        <w:t>The following chart describes the proposals to be considered at the Annual Meeting, our Board’s recommendations, the vote required for each of the proposals, and the manner in which votes will be counted.</w:t>
      </w:r>
    </w:p>
    <w:p>
      <w:pPr>
        <w:spacing w:after="0" w:line="15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242424"/>
        </w:rPr>
        <w:t>If you are a beneficial owner and do not provide specific voting instructions to your broker, bank or other nominee, the organization that holds your shares will not be authorized to vote your shares, which would result in “broker non-votes,” on proposals other than the ratification of the appointment of PwC as our independent auditors. Accordingly, we encourage you to vote promptly, even if you plan to attend the Annual Meeting.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80" w:type="dxa"/>
            <w:vAlign w:val="bottom"/>
            <w:tcBorders>
              <w:top w:val="single" w:sz="8" w:color="CC092F"/>
            </w:tcBorders>
            <w:shd w:val="clear" w:color="auto" w:fill="B8B8B8"/>
          </w:tcPr>
          <w:p>
            <w:pPr>
              <w:spacing w:after="0"/>
              <w:rPr>
                <w:sz w:val="14"/>
                <w:szCs w:val="14"/>
                <w:color w:val="auto"/>
              </w:rPr>
            </w:pPr>
          </w:p>
        </w:tc>
        <w:tc>
          <w:tcPr>
            <w:tcW w:w="900" w:type="dxa"/>
            <w:vAlign w:val="bottom"/>
            <w:tcBorders>
              <w:top w:val="single" w:sz="8" w:color="CC092F"/>
            </w:tcBorders>
            <w:vMerge w:val="restart"/>
            <w:shd w:val="clear" w:color="auto" w:fill="B8B8B8"/>
          </w:tcPr>
          <w:p>
            <w:pPr>
              <w:ind w:left="200"/>
              <w:spacing w:after="0"/>
              <w:rPr>
                <w:sz w:val="20"/>
                <w:szCs w:val="20"/>
                <w:color w:val="auto"/>
              </w:rPr>
            </w:pPr>
            <w:r>
              <w:rPr>
                <w:rFonts w:ascii="Arial" w:cs="Arial" w:eastAsia="Arial" w:hAnsi="Arial"/>
                <w:sz w:val="16"/>
                <w:szCs w:val="16"/>
                <w:b w:val="1"/>
                <w:bCs w:val="1"/>
                <w:color w:val="FFFFFF"/>
              </w:rPr>
              <w:t>Voting</w:t>
            </w:r>
          </w:p>
        </w:tc>
        <w:tc>
          <w:tcPr>
            <w:tcW w:w="1560" w:type="dxa"/>
            <w:vAlign w:val="bottom"/>
            <w:tcBorders>
              <w:top w:val="single" w:sz="8" w:color="CC092F"/>
            </w:tcBorders>
            <w:vMerge w:val="restart"/>
            <w:shd w:val="clear" w:color="auto" w:fill="B8B8B8"/>
          </w:tcPr>
          <w:p>
            <w:pPr>
              <w:jc w:val="center"/>
              <w:spacing w:after="0"/>
              <w:rPr>
                <w:sz w:val="20"/>
                <w:szCs w:val="20"/>
                <w:color w:val="auto"/>
              </w:rPr>
            </w:pPr>
            <w:r>
              <w:rPr>
                <w:rFonts w:ascii="Arial" w:cs="Arial" w:eastAsia="Arial" w:hAnsi="Arial"/>
                <w:sz w:val="16"/>
                <w:szCs w:val="16"/>
                <w:b w:val="1"/>
                <w:bCs w:val="1"/>
                <w:color w:val="FFFFFF"/>
                <w:w w:val="99"/>
              </w:rPr>
              <w:t>Board</w:t>
            </w:r>
          </w:p>
        </w:tc>
        <w:tc>
          <w:tcPr>
            <w:tcW w:w="2360" w:type="dxa"/>
            <w:vAlign w:val="bottom"/>
            <w:tcBorders>
              <w:top w:val="single" w:sz="8" w:color="CC092F"/>
            </w:tcBorders>
            <w:shd w:val="clear" w:color="auto" w:fill="B8B8B8"/>
          </w:tcPr>
          <w:p>
            <w:pPr>
              <w:spacing w:after="0"/>
              <w:rPr>
                <w:sz w:val="14"/>
                <w:szCs w:val="14"/>
                <w:color w:val="auto"/>
              </w:rPr>
            </w:pPr>
          </w:p>
        </w:tc>
        <w:tc>
          <w:tcPr>
            <w:tcW w:w="1140" w:type="dxa"/>
            <w:vAlign w:val="bottom"/>
            <w:tcBorders>
              <w:top w:val="single" w:sz="8" w:color="CC092F"/>
            </w:tcBorders>
            <w:vMerge w:val="restart"/>
            <w:shd w:val="clear" w:color="auto" w:fill="B8B8B8"/>
          </w:tcPr>
          <w:p>
            <w:pPr>
              <w:jc w:val="center"/>
              <w:spacing w:after="0"/>
              <w:rPr>
                <w:sz w:val="20"/>
                <w:szCs w:val="20"/>
                <w:color w:val="auto"/>
              </w:rPr>
            </w:pPr>
            <w:r>
              <w:rPr>
                <w:rFonts w:ascii="Arial" w:cs="Arial" w:eastAsia="Arial" w:hAnsi="Arial"/>
                <w:sz w:val="16"/>
                <w:szCs w:val="16"/>
                <w:b w:val="1"/>
                <w:bCs w:val="1"/>
                <w:color w:val="FFFFFF"/>
                <w:w w:val="96"/>
              </w:rPr>
              <w:t>Effect of</w:t>
            </w:r>
          </w:p>
        </w:tc>
        <w:tc>
          <w:tcPr>
            <w:tcW w:w="1100" w:type="dxa"/>
            <w:vAlign w:val="bottom"/>
            <w:tcBorders>
              <w:top w:val="single" w:sz="8" w:color="CC092F"/>
            </w:tcBorders>
            <w:shd w:val="clear" w:color="auto" w:fill="B8B8B8"/>
          </w:tcPr>
          <w:p>
            <w:pPr>
              <w:ind w:left="260"/>
              <w:spacing w:after="0" w:line="172" w:lineRule="exact"/>
              <w:rPr>
                <w:sz w:val="20"/>
                <w:szCs w:val="20"/>
                <w:color w:val="auto"/>
              </w:rPr>
            </w:pPr>
            <w:r>
              <w:rPr>
                <w:rFonts w:ascii="Arial" w:cs="Arial" w:eastAsia="Arial" w:hAnsi="Arial"/>
                <w:sz w:val="16"/>
                <w:szCs w:val="16"/>
                <w:b w:val="1"/>
                <w:bCs w:val="1"/>
                <w:color w:val="FFFFFF"/>
              </w:rPr>
              <w:t>Effect of</w:t>
            </w:r>
          </w:p>
        </w:tc>
        <w:tc>
          <w:tcPr>
            <w:tcW w:w="0" w:type="dxa"/>
            <w:vAlign w:val="bottom"/>
          </w:tcPr>
          <w:p>
            <w:pPr>
              <w:spacing w:after="0"/>
              <w:rPr>
                <w:sz w:val="1"/>
                <w:szCs w:val="1"/>
                <w:color w:val="auto"/>
              </w:rPr>
            </w:pPr>
          </w:p>
        </w:tc>
      </w:tr>
      <w:tr>
        <w:trPr>
          <w:trHeight w:val="159"/>
        </w:trPr>
        <w:tc>
          <w:tcPr>
            <w:tcW w:w="2480" w:type="dxa"/>
            <w:vAlign w:val="bottom"/>
            <w:vMerge w:val="restart"/>
            <w:shd w:val="clear" w:color="auto" w:fill="B8B8B8"/>
          </w:tcPr>
          <w:p>
            <w:pPr>
              <w:ind w:left="20"/>
              <w:spacing w:after="0"/>
              <w:rPr>
                <w:sz w:val="20"/>
                <w:szCs w:val="20"/>
                <w:color w:val="auto"/>
              </w:rPr>
            </w:pPr>
            <w:r>
              <w:rPr>
                <w:rFonts w:ascii="Arial" w:cs="Arial" w:eastAsia="Arial" w:hAnsi="Arial"/>
                <w:sz w:val="16"/>
                <w:szCs w:val="16"/>
                <w:b w:val="1"/>
                <w:bCs w:val="1"/>
                <w:color w:val="FFFFFF"/>
              </w:rPr>
              <w:t>Proposal</w:t>
            </w:r>
          </w:p>
        </w:tc>
        <w:tc>
          <w:tcPr>
            <w:tcW w:w="900" w:type="dxa"/>
            <w:vAlign w:val="bottom"/>
            <w:vMerge w:val="continue"/>
            <w:shd w:val="clear" w:color="auto" w:fill="B8B8B8"/>
          </w:tcPr>
          <w:p>
            <w:pPr>
              <w:spacing w:after="0"/>
              <w:rPr>
                <w:sz w:val="13"/>
                <w:szCs w:val="13"/>
                <w:color w:val="auto"/>
              </w:rPr>
            </w:pPr>
          </w:p>
        </w:tc>
        <w:tc>
          <w:tcPr>
            <w:tcW w:w="1560" w:type="dxa"/>
            <w:vAlign w:val="bottom"/>
            <w:vMerge w:val="continue"/>
            <w:shd w:val="clear" w:color="auto" w:fill="B8B8B8"/>
          </w:tcPr>
          <w:p>
            <w:pPr>
              <w:spacing w:after="0"/>
              <w:rPr>
                <w:sz w:val="13"/>
                <w:szCs w:val="13"/>
                <w:color w:val="auto"/>
              </w:rPr>
            </w:pPr>
          </w:p>
        </w:tc>
        <w:tc>
          <w:tcPr>
            <w:tcW w:w="2360" w:type="dxa"/>
            <w:vAlign w:val="bottom"/>
            <w:vMerge w:val="restart"/>
            <w:shd w:val="clear" w:color="auto" w:fill="B8B8B8"/>
          </w:tcPr>
          <w:p>
            <w:pPr>
              <w:ind w:left="680"/>
              <w:spacing w:after="0"/>
              <w:rPr>
                <w:sz w:val="20"/>
                <w:szCs w:val="20"/>
                <w:color w:val="auto"/>
              </w:rPr>
            </w:pPr>
            <w:r>
              <w:rPr>
                <w:rFonts w:ascii="Arial" w:cs="Arial" w:eastAsia="Arial" w:hAnsi="Arial"/>
                <w:sz w:val="16"/>
                <w:szCs w:val="16"/>
                <w:b w:val="1"/>
                <w:bCs w:val="1"/>
                <w:color w:val="FFFFFF"/>
              </w:rPr>
              <w:t>Vote Required</w:t>
            </w:r>
          </w:p>
        </w:tc>
        <w:tc>
          <w:tcPr>
            <w:tcW w:w="1140" w:type="dxa"/>
            <w:vAlign w:val="bottom"/>
            <w:vMerge w:val="continue"/>
            <w:shd w:val="clear" w:color="auto" w:fill="B8B8B8"/>
          </w:tcPr>
          <w:p>
            <w:pPr>
              <w:spacing w:after="0"/>
              <w:rPr>
                <w:sz w:val="13"/>
                <w:szCs w:val="13"/>
                <w:color w:val="auto"/>
              </w:rPr>
            </w:pPr>
          </w:p>
        </w:tc>
        <w:tc>
          <w:tcPr>
            <w:tcW w:w="1100" w:type="dxa"/>
            <w:vAlign w:val="bottom"/>
            <w:shd w:val="clear" w:color="auto" w:fill="B8B8B8"/>
          </w:tcPr>
          <w:p>
            <w:pPr>
              <w:ind w:left="120"/>
              <w:spacing w:after="0" w:line="159" w:lineRule="exact"/>
              <w:rPr>
                <w:sz w:val="20"/>
                <w:szCs w:val="20"/>
                <w:color w:val="auto"/>
              </w:rPr>
            </w:pPr>
            <w:r>
              <w:rPr>
                <w:rFonts w:ascii="Arial" w:cs="Arial" w:eastAsia="Arial" w:hAnsi="Arial"/>
                <w:sz w:val="16"/>
                <w:szCs w:val="16"/>
                <w:b w:val="1"/>
                <w:bCs w:val="1"/>
                <w:color w:val="FFFFFF"/>
              </w:rPr>
              <w:t>Broker Non-</w:t>
            </w:r>
          </w:p>
        </w:tc>
        <w:tc>
          <w:tcPr>
            <w:tcW w:w="0" w:type="dxa"/>
            <w:vAlign w:val="bottom"/>
          </w:tcPr>
          <w:p>
            <w:pPr>
              <w:spacing w:after="0"/>
              <w:rPr>
                <w:sz w:val="1"/>
                <w:szCs w:val="1"/>
                <w:color w:val="auto"/>
              </w:rPr>
            </w:pPr>
          </w:p>
        </w:tc>
      </w:tr>
      <w:tr>
        <w:trPr>
          <w:trHeight w:val="212"/>
        </w:trPr>
        <w:tc>
          <w:tcPr>
            <w:tcW w:w="2480" w:type="dxa"/>
            <w:vAlign w:val="bottom"/>
            <w:tcBorders>
              <w:bottom w:val="single" w:sz="8" w:color="CC092F"/>
            </w:tcBorders>
            <w:vMerge w:val="continue"/>
            <w:shd w:val="clear" w:color="auto" w:fill="B8B8B8"/>
          </w:tcPr>
          <w:p>
            <w:pPr>
              <w:spacing w:after="0"/>
              <w:rPr>
                <w:sz w:val="18"/>
                <w:szCs w:val="18"/>
                <w:color w:val="auto"/>
              </w:rPr>
            </w:pPr>
          </w:p>
        </w:tc>
        <w:tc>
          <w:tcPr>
            <w:tcW w:w="900" w:type="dxa"/>
            <w:vAlign w:val="bottom"/>
            <w:tcBorders>
              <w:bottom w:val="single" w:sz="8" w:color="CC092F"/>
            </w:tcBorders>
            <w:shd w:val="clear" w:color="auto" w:fill="B8B8B8"/>
          </w:tcPr>
          <w:p>
            <w:pPr>
              <w:ind w:left="140"/>
              <w:spacing w:after="0"/>
              <w:rPr>
                <w:sz w:val="20"/>
                <w:szCs w:val="20"/>
                <w:color w:val="auto"/>
              </w:rPr>
            </w:pPr>
            <w:r>
              <w:rPr>
                <w:rFonts w:ascii="Arial" w:cs="Arial" w:eastAsia="Arial" w:hAnsi="Arial"/>
                <w:sz w:val="16"/>
                <w:szCs w:val="16"/>
                <w:b w:val="1"/>
                <w:bCs w:val="1"/>
                <w:color w:val="FFFFFF"/>
              </w:rPr>
              <w:t>Options</w:t>
            </w:r>
          </w:p>
        </w:tc>
        <w:tc>
          <w:tcPr>
            <w:tcW w:w="156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6"/>
                <w:szCs w:val="16"/>
                <w:b w:val="1"/>
                <w:bCs w:val="1"/>
                <w:color w:val="FFFFFF"/>
                <w:w w:val="99"/>
              </w:rPr>
              <w:t>Recommendation</w:t>
            </w:r>
          </w:p>
        </w:tc>
        <w:tc>
          <w:tcPr>
            <w:tcW w:w="2360" w:type="dxa"/>
            <w:vAlign w:val="bottom"/>
            <w:tcBorders>
              <w:bottom w:val="single" w:sz="8" w:color="CC092F"/>
            </w:tcBorders>
            <w:vMerge w:val="continue"/>
            <w:shd w:val="clear" w:color="auto" w:fill="B8B8B8"/>
          </w:tcPr>
          <w:p>
            <w:pPr>
              <w:spacing w:after="0"/>
              <w:rPr>
                <w:sz w:val="18"/>
                <w:szCs w:val="18"/>
                <w:color w:val="auto"/>
              </w:rPr>
            </w:pPr>
          </w:p>
        </w:tc>
        <w:tc>
          <w:tcPr>
            <w:tcW w:w="1140" w:type="dxa"/>
            <w:vAlign w:val="bottom"/>
            <w:tcBorders>
              <w:bottom w:val="single" w:sz="8" w:color="CC092F"/>
            </w:tcBorders>
            <w:shd w:val="clear" w:color="auto" w:fill="B8B8B8"/>
          </w:tcPr>
          <w:p>
            <w:pPr>
              <w:jc w:val="center"/>
              <w:spacing w:after="0"/>
              <w:rPr>
                <w:sz w:val="20"/>
                <w:szCs w:val="20"/>
                <w:color w:val="auto"/>
              </w:rPr>
            </w:pPr>
            <w:r>
              <w:rPr>
                <w:rFonts w:ascii="Arial" w:cs="Arial" w:eastAsia="Arial" w:hAnsi="Arial"/>
                <w:sz w:val="16"/>
                <w:szCs w:val="16"/>
                <w:b w:val="1"/>
                <w:bCs w:val="1"/>
                <w:color w:val="FFFFFF"/>
                <w:w w:val="97"/>
              </w:rPr>
              <w:t>Abstentions</w:t>
            </w:r>
          </w:p>
        </w:tc>
        <w:tc>
          <w:tcPr>
            <w:tcW w:w="1100" w:type="dxa"/>
            <w:vAlign w:val="bottom"/>
            <w:tcBorders>
              <w:bottom w:val="single" w:sz="8" w:color="CC092F"/>
            </w:tcBorders>
            <w:shd w:val="clear" w:color="auto" w:fill="B8B8B8"/>
          </w:tcPr>
          <w:p>
            <w:pPr>
              <w:ind w:left="360"/>
              <w:spacing w:after="0"/>
              <w:rPr>
                <w:sz w:val="20"/>
                <w:szCs w:val="20"/>
                <w:color w:val="auto"/>
              </w:rPr>
            </w:pPr>
            <w:r>
              <w:rPr>
                <w:rFonts w:ascii="Arial" w:cs="Arial" w:eastAsia="Arial" w:hAnsi="Arial"/>
                <w:sz w:val="16"/>
                <w:szCs w:val="16"/>
                <w:b w:val="1"/>
                <w:bCs w:val="1"/>
                <w:color w:val="FFFFFF"/>
              </w:rPr>
              <w:t>Votes</w:t>
            </w:r>
          </w:p>
        </w:tc>
        <w:tc>
          <w:tcPr>
            <w:tcW w:w="0" w:type="dxa"/>
            <w:vAlign w:val="bottom"/>
          </w:tcPr>
          <w:p>
            <w:pPr>
              <w:spacing w:after="0"/>
              <w:rPr>
                <w:sz w:val="1"/>
                <w:szCs w:val="1"/>
                <w:color w:val="auto"/>
              </w:rPr>
            </w:pPr>
          </w:p>
        </w:tc>
      </w:tr>
      <w:tr>
        <w:trPr>
          <w:trHeight w:val="205"/>
        </w:trPr>
        <w:tc>
          <w:tcPr>
            <w:tcW w:w="2480" w:type="dxa"/>
            <w:vAlign w:val="bottom"/>
          </w:tcPr>
          <w:p>
            <w:pPr>
              <w:ind w:left="20"/>
              <w:spacing w:after="0"/>
              <w:rPr>
                <w:sz w:val="20"/>
                <w:szCs w:val="20"/>
                <w:color w:val="auto"/>
              </w:rPr>
            </w:pPr>
            <w:r>
              <w:rPr>
                <w:rFonts w:ascii="Arial" w:cs="Arial" w:eastAsia="Arial" w:hAnsi="Arial"/>
                <w:sz w:val="16"/>
                <w:szCs w:val="16"/>
                <w:color w:val="242424"/>
              </w:rPr>
              <w:t>To elect each of the nine director</w:t>
            </w:r>
          </w:p>
        </w:tc>
        <w:tc>
          <w:tcPr>
            <w:tcW w:w="900" w:type="dxa"/>
            <w:vAlign w:val="bottom"/>
          </w:tcPr>
          <w:p>
            <w:pPr>
              <w:ind w:left="160"/>
              <w:spacing w:after="0"/>
              <w:rPr>
                <w:sz w:val="20"/>
                <w:szCs w:val="20"/>
                <w:color w:val="auto"/>
              </w:rPr>
            </w:pPr>
            <w:r>
              <w:rPr>
                <w:rFonts w:ascii="Arial" w:cs="Arial" w:eastAsia="Arial" w:hAnsi="Arial"/>
                <w:sz w:val="16"/>
                <w:szCs w:val="16"/>
                <w:color w:val="242424"/>
              </w:rPr>
              <w:t>For</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CC092F"/>
              </w:rPr>
              <w:t>For</w:t>
            </w:r>
          </w:p>
        </w:tc>
        <w:tc>
          <w:tcPr>
            <w:tcW w:w="2360" w:type="dxa"/>
            <w:vAlign w:val="bottom"/>
          </w:tcPr>
          <w:p>
            <w:pPr>
              <w:ind w:left="60"/>
              <w:spacing w:after="0"/>
              <w:rPr>
                <w:sz w:val="20"/>
                <w:szCs w:val="20"/>
                <w:color w:val="auto"/>
              </w:rPr>
            </w:pPr>
            <w:r>
              <w:rPr>
                <w:rFonts w:ascii="Arial" w:cs="Arial" w:eastAsia="Arial" w:hAnsi="Arial"/>
                <w:sz w:val="16"/>
                <w:szCs w:val="16"/>
                <w:color w:val="242424"/>
              </w:rPr>
              <w:t>Affirmative vote of a majority of</w:t>
            </w:r>
          </w:p>
        </w:tc>
        <w:tc>
          <w:tcPr>
            <w:tcW w:w="1140" w:type="dxa"/>
            <w:vAlign w:val="bottom"/>
          </w:tcPr>
          <w:p>
            <w:pPr>
              <w:jc w:val="center"/>
              <w:spacing w:after="0"/>
              <w:rPr>
                <w:sz w:val="20"/>
                <w:szCs w:val="20"/>
                <w:color w:val="auto"/>
              </w:rPr>
            </w:pPr>
            <w:r>
              <w:rPr>
                <w:rFonts w:ascii="Arial" w:cs="Arial" w:eastAsia="Arial" w:hAnsi="Arial"/>
                <w:sz w:val="16"/>
                <w:szCs w:val="16"/>
                <w:color w:val="242424"/>
                <w:w w:val="99"/>
              </w:rPr>
              <w:t>None</w:t>
            </w:r>
          </w:p>
        </w:tc>
        <w:tc>
          <w:tcPr>
            <w:tcW w:w="1100" w:type="dxa"/>
            <w:vAlign w:val="bottom"/>
          </w:tcPr>
          <w:p>
            <w:pPr>
              <w:ind w:left="120"/>
              <w:spacing w:after="0"/>
              <w:rPr>
                <w:sz w:val="20"/>
                <w:szCs w:val="20"/>
                <w:color w:val="auto"/>
              </w:rPr>
            </w:pPr>
            <w:r>
              <w:rPr>
                <w:rFonts w:ascii="Arial" w:cs="Arial" w:eastAsia="Arial" w:hAnsi="Arial"/>
                <w:sz w:val="16"/>
                <w:szCs w:val="16"/>
                <w:color w:val="242424"/>
              </w:rPr>
              <w:t>None</w:t>
            </w:r>
          </w:p>
        </w:tc>
        <w:tc>
          <w:tcPr>
            <w:tcW w:w="0" w:type="dxa"/>
            <w:vAlign w:val="bottom"/>
          </w:tcPr>
          <w:p>
            <w:pPr>
              <w:spacing w:after="0"/>
              <w:rPr>
                <w:sz w:val="1"/>
                <w:szCs w:val="1"/>
                <w:color w:val="auto"/>
              </w:rPr>
            </w:pPr>
          </w:p>
        </w:tc>
      </w:tr>
      <w:tr>
        <w:trPr>
          <w:trHeight w:val="187"/>
        </w:trPr>
        <w:tc>
          <w:tcPr>
            <w:tcW w:w="2480" w:type="dxa"/>
            <w:vAlign w:val="bottom"/>
          </w:tcPr>
          <w:p>
            <w:pPr>
              <w:ind w:left="20"/>
              <w:spacing w:after="0"/>
              <w:rPr>
                <w:sz w:val="20"/>
                <w:szCs w:val="20"/>
                <w:color w:val="auto"/>
              </w:rPr>
            </w:pPr>
            <w:r>
              <w:rPr>
                <w:rFonts w:ascii="Arial" w:cs="Arial" w:eastAsia="Arial" w:hAnsi="Arial"/>
                <w:sz w:val="16"/>
                <w:szCs w:val="16"/>
                <w:color w:val="242424"/>
              </w:rPr>
              <w:t>nominees named until the next</w:t>
            </w:r>
          </w:p>
        </w:tc>
        <w:tc>
          <w:tcPr>
            <w:tcW w:w="900" w:type="dxa"/>
            <w:vAlign w:val="bottom"/>
          </w:tcPr>
          <w:p>
            <w:pPr>
              <w:ind w:left="160"/>
              <w:spacing w:after="0"/>
              <w:rPr>
                <w:sz w:val="20"/>
                <w:szCs w:val="20"/>
                <w:color w:val="auto"/>
              </w:rPr>
            </w:pPr>
            <w:r>
              <w:rPr>
                <w:rFonts w:ascii="Arial" w:cs="Arial" w:eastAsia="Arial" w:hAnsi="Arial"/>
                <w:sz w:val="16"/>
                <w:szCs w:val="16"/>
                <w:color w:val="242424"/>
              </w:rPr>
              <w:t>Against</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242424"/>
                <w:w w:val="99"/>
              </w:rPr>
              <w:t>each nominee</w:t>
            </w:r>
          </w:p>
        </w:tc>
        <w:tc>
          <w:tcPr>
            <w:tcW w:w="2360" w:type="dxa"/>
            <w:vAlign w:val="bottom"/>
          </w:tcPr>
          <w:p>
            <w:pPr>
              <w:ind w:left="60"/>
              <w:spacing w:after="0"/>
              <w:rPr>
                <w:sz w:val="20"/>
                <w:szCs w:val="20"/>
                <w:color w:val="auto"/>
              </w:rPr>
            </w:pPr>
            <w:r>
              <w:rPr>
                <w:rFonts w:ascii="Arial" w:cs="Arial" w:eastAsia="Arial" w:hAnsi="Arial"/>
                <w:sz w:val="16"/>
                <w:szCs w:val="16"/>
                <w:color w:val="242424"/>
              </w:rPr>
              <w:t>votes cast</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6"/>
                <w:szCs w:val="16"/>
                <w:color w:val="242424"/>
              </w:rPr>
              <w:t>annual meeting of stockholders</w:t>
            </w:r>
          </w:p>
        </w:tc>
        <w:tc>
          <w:tcPr>
            <w:tcW w:w="900" w:type="dxa"/>
            <w:vAlign w:val="bottom"/>
          </w:tcPr>
          <w:p>
            <w:pPr>
              <w:ind w:left="160"/>
              <w:spacing w:after="0"/>
              <w:rPr>
                <w:sz w:val="20"/>
                <w:szCs w:val="20"/>
                <w:color w:val="auto"/>
              </w:rPr>
            </w:pPr>
            <w:r>
              <w:rPr>
                <w:rFonts w:ascii="Arial" w:cs="Arial" w:eastAsia="Arial" w:hAnsi="Arial"/>
                <w:sz w:val="16"/>
                <w:szCs w:val="16"/>
                <w:color w:val="242424"/>
              </w:rPr>
              <w:t>Abstain</w:t>
            </w:r>
          </w:p>
        </w:tc>
        <w:tc>
          <w:tcPr>
            <w:tcW w:w="15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6"/>
                <w:szCs w:val="16"/>
                <w:color w:val="242424"/>
              </w:rPr>
              <w:t>or until their successors have</w:t>
            </w:r>
          </w:p>
        </w:tc>
        <w:tc>
          <w:tcPr>
            <w:tcW w:w="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20"/>
              <w:spacing w:after="0"/>
              <w:rPr>
                <w:sz w:val="20"/>
                <w:szCs w:val="20"/>
                <w:color w:val="auto"/>
              </w:rPr>
            </w:pPr>
            <w:r>
              <w:rPr>
                <w:rFonts w:ascii="Arial" w:cs="Arial" w:eastAsia="Arial" w:hAnsi="Arial"/>
                <w:sz w:val="16"/>
                <w:szCs w:val="16"/>
                <w:color w:val="242424"/>
              </w:rPr>
              <w:t>been elected</w:t>
            </w:r>
          </w:p>
        </w:tc>
        <w:tc>
          <w:tcPr>
            <w:tcW w:w="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48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To ratify the appointment of our</w:t>
            </w:r>
          </w:p>
        </w:tc>
        <w:tc>
          <w:tcPr>
            <w:tcW w:w="900" w:type="dxa"/>
            <w:vAlign w:val="bottom"/>
            <w:shd w:val="clear" w:color="auto" w:fill="EAEAEA"/>
          </w:tcPr>
          <w:p>
            <w:pPr>
              <w:ind w:left="160"/>
              <w:spacing w:after="0"/>
              <w:rPr>
                <w:sz w:val="20"/>
                <w:szCs w:val="20"/>
                <w:color w:val="auto"/>
              </w:rPr>
            </w:pPr>
            <w:r>
              <w:rPr>
                <w:rFonts w:ascii="Arial" w:cs="Arial" w:eastAsia="Arial" w:hAnsi="Arial"/>
                <w:sz w:val="16"/>
                <w:szCs w:val="16"/>
                <w:color w:val="242424"/>
              </w:rPr>
              <w:t>For</w:t>
            </w:r>
          </w:p>
        </w:tc>
        <w:tc>
          <w:tcPr>
            <w:tcW w:w="156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CC092F"/>
              </w:rPr>
              <w:t>For</w:t>
            </w:r>
          </w:p>
        </w:tc>
        <w:tc>
          <w:tcPr>
            <w:tcW w:w="2360" w:type="dxa"/>
            <w:vAlign w:val="bottom"/>
            <w:shd w:val="clear" w:color="auto" w:fill="EAEAEA"/>
          </w:tcPr>
          <w:p>
            <w:pPr>
              <w:ind w:left="60"/>
              <w:spacing w:after="0"/>
              <w:rPr>
                <w:sz w:val="20"/>
                <w:szCs w:val="20"/>
                <w:color w:val="auto"/>
              </w:rPr>
            </w:pPr>
            <w:r>
              <w:rPr>
                <w:rFonts w:ascii="Arial" w:cs="Arial" w:eastAsia="Arial" w:hAnsi="Arial"/>
                <w:sz w:val="16"/>
                <w:szCs w:val="16"/>
                <w:color w:val="242424"/>
              </w:rPr>
              <w:t>Affirmative vote of a majority of</w:t>
            </w:r>
          </w:p>
        </w:tc>
        <w:tc>
          <w:tcPr>
            <w:tcW w:w="1140" w:type="dxa"/>
            <w:vAlign w:val="bottom"/>
            <w:shd w:val="clear" w:color="auto" w:fill="EAEAEA"/>
          </w:tcPr>
          <w:p>
            <w:pPr>
              <w:jc w:val="center"/>
              <w:spacing w:after="0"/>
              <w:rPr>
                <w:sz w:val="20"/>
                <w:szCs w:val="20"/>
                <w:color w:val="auto"/>
              </w:rPr>
            </w:pPr>
            <w:r>
              <w:rPr>
                <w:rFonts w:ascii="Arial" w:cs="Arial" w:eastAsia="Arial" w:hAnsi="Arial"/>
                <w:sz w:val="16"/>
                <w:szCs w:val="16"/>
                <w:color w:val="242424"/>
              </w:rPr>
              <w:t>Against</w:t>
            </w:r>
          </w:p>
        </w:tc>
        <w:tc>
          <w:tcPr>
            <w:tcW w:w="1100" w:type="dxa"/>
            <w:vAlign w:val="bottom"/>
            <w:shd w:val="clear" w:color="auto" w:fill="EAEAEA"/>
          </w:tcPr>
          <w:p>
            <w:pPr>
              <w:ind w:left="120"/>
              <w:spacing w:after="0"/>
              <w:rPr>
                <w:sz w:val="20"/>
                <w:szCs w:val="20"/>
                <w:color w:val="auto"/>
              </w:rPr>
            </w:pPr>
            <w:r>
              <w:rPr>
                <w:rFonts w:ascii="Arial" w:cs="Arial" w:eastAsia="Arial" w:hAnsi="Arial"/>
                <w:sz w:val="16"/>
                <w:szCs w:val="16"/>
                <w:color w:val="242424"/>
              </w:rPr>
              <w:t>Broker has</w:t>
            </w:r>
          </w:p>
        </w:tc>
        <w:tc>
          <w:tcPr>
            <w:tcW w:w="0" w:type="dxa"/>
            <w:vAlign w:val="bottom"/>
          </w:tcPr>
          <w:p>
            <w:pPr>
              <w:spacing w:after="0"/>
              <w:rPr>
                <w:sz w:val="1"/>
                <w:szCs w:val="1"/>
                <w:color w:val="auto"/>
              </w:rPr>
            </w:pPr>
          </w:p>
        </w:tc>
      </w:tr>
      <w:tr>
        <w:trPr>
          <w:trHeight w:val="185"/>
        </w:trPr>
        <w:tc>
          <w:tcPr>
            <w:tcW w:w="248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independent registered public</w:t>
            </w:r>
          </w:p>
        </w:tc>
        <w:tc>
          <w:tcPr>
            <w:tcW w:w="900" w:type="dxa"/>
            <w:vAlign w:val="bottom"/>
            <w:shd w:val="clear" w:color="auto" w:fill="EAEAEA"/>
          </w:tcPr>
          <w:p>
            <w:pPr>
              <w:ind w:left="160"/>
              <w:spacing w:after="0"/>
              <w:rPr>
                <w:sz w:val="20"/>
                <w:szCs w:val="20"/>
                <w:color w:val="auto"/>
              </w:rPr>
            </w:pPr>
            <w:r>
              <w:rPr>
                <w:rFonts w:ascii="Arial" w:cs="Arial" w:eastAsia="Arial" w:hAnsi="Arial"/>
                <w:sz w:val="16"/>
                <w:szCs w:val="16"/>
                <w:color w:val="242424"/>
              </w:rPr>
              <w:t>Against</w:t>
            </w:r>
          </w:p>
        </w:tc>
        <w:tc>
          <w:tcPr>
            <w:tcW w:w="1560" w:type="dxa"/>
            <w:vAlign w:val="bottom"/>
            <w:shd w:val="clear" w:color="auto" w:fill="EAEAEA"/>
          </w:tcPr>
          <w:p>
            <w:pPr>
              <w:spacing w:after="0"/>
              <w:rPr>
                <w:sz w:val="16"/>
                <w:szCs w:val="16"/>
                <w:color w:val="auto"/>
              </w:rPr>
            </w:pPr>
          </w:p>
        </w:tc>
        <w:tc>
          <w:tcPr>
            <w:tcW w:w="2360" w:type="dxa"/>
            <w:vAlign w:val="bottom"/>
            <w:shd w:val="clear" w:color="auto" w:fill="EAEAEA"/>
          </w:tcPr>
          <w:p>
            <w:pPr>
              <w:ind w:left="60"/>
              <w:spacing w:after="0"/>
              <w:rPr>
                <w:sz w:val="20"/>
                <w:szCs w:val="20"/>
                <w:color w:val="auto"/>
              </w:rPr>
            </w:pPr>
            <w:r>
              <w:rPr>
                <w:rFonts w:ascii="Arial" w:cs="Arial" w:eastAsia="Arial" w:hAnsi="Arial"/>
                <w:sz w:val="16"/>
                <w:szCs w:val="16"/>
                <w:color w:val="242424"/>
              </w:rPr>
              <w:t>votes represented at the</w:t>
            </w:r>
          </w:p>
        </w:tc>
        <w:tc>
          <w:tcPr>
            <w:tcW w:w="1140" w:type="dxa"/>
            <w:vAlign w:val="bottom"/>
            <w:shd w:val="clear" w:color="auto" w:fill="EAEAEA"/>
          </w:tcPr>
          <w:p>
            <w:pPr>
              <w:spacing w:after="0"/>
              <w:rPr>
                <w:sz w:val="16"/>
                <w:szCs w:val="16"/>
                <w:color w:val="auto"/>
              </w:rPr>
            </w:pPr>
          </w:p>
        </w:tc>
        <w:tc>
          <w:tcPr>
            <w:tcW w:w="1100" w:type="dxa"/>
            <w:vAlign w:val="bottom"/>
            <w:shd w:val="clear" w:color="auto" w:fill="EAEAEA"/>
          </w:tcPr>
          <w:p>
            <w:pPr>
              <w:ind w:left="120"/>
              <w:spacing w:after="0"/>
              <w:rPr>
                <w:sz w:val="20"/>
                <w:szCs w:val="20"/>
                <w:color w:val="auto"/>
              </w:rPr>
            </w:pPr>
            <w:r>
              <w:rPr>
                <w:rFonts w:ascii="Arial" w:cs="Arial" w:eastAsia="Arial" w:hAnsi="Arial"/>
                <w:sz w:val="16"/>
                <w:szCs w:val="16"/>
                <w:color w:val="242424"/>
              </w:rPr>
              <w:t>discretion to</w:t>
            </w:r>
          </w:p>
        </w:tc>
        <w:tc>
          <w:tcPr>
            <w:tcW w:w="0" w:type="dxa"/>
            <w:vAlign w:val="bottom"/>
          </w:tcPr>
          <w:p>
            <w:pPr>
              <w:spacing w:after="0"/>
              <w:rPr>
                <w:sz w:val="1"/>
                <w:szCs w:val="1"/>
                <w:color w:val="auto"/>
              </w:rPr>
            </w:pPr>
          </w:p>
        </w:tc>
      </w:tr>
      <w:tr>
        <w:trPr>
          <w:trHeight w:val="186"/>
        </w:trPr>
        <w:tc>
          <w:tcPr>
            <w:tcW w:w="248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accounting firm for our fiscal</w:t>
            </w:r>
          </w:p>
        </w:tc>
        <w:tc>
          <w:tcPr>
            <w:tcW w:w="900" w:type="dxa"/>
            <w:vAlign w:val="bottom"/>
            <w:shd w:val="clear" w:color="auto" w:fill="EAEAEA"/>
          </w:tcPr>
          <w:p>
            <w:pPr>
              <w:ind w:left="160"/>
              <w:spacing w:after="0"/>
              <w:rPr>
                <w:sz w:val="20"/>
                <w:szCs w:val="20"/>
                <w:color w:val="auto"/>
              </w:rPr>
            </w:pPr>
            <w:r>
              <w:rPr>
                <w:rFonts w:ascii="Arial" w:cs="Arial" w:eastAsia="Arial" w:hAnsi="Arial"/>
                <w:sz w:val="16"/>
                <w:szCs w:val="16"/>
                <w:color w:val="242424"/>
              </w:rPr>
              <w:t>Abstain</w:t>
            </w:r>
          </w:p>
        </w:tc>
        <w:tc>
          <w:tcPr>
            <w:tcW w:w="1560" w:type="dxa"/>
            <w:vAlign w:val="bottom"/>
            <w:shd w:val="clear" w:color="auto" w:fill="EAEAEA"/>
          </w:tcPr>
          <w:p>
            <w:pPr>
              <w:spacing w:after="0"/>
              <w:rPr>
                <w:sz w:val="16"/>
                <w:szCs w:val="16"/>
                <w:color w:val="auto"/>
              </w:rPr>
            </w:pPr>
          </w:p>
        </w:tc>
        <w:tc>
          <w:tcPr>
            <w:tcW w:w="2360" w:type="dxa"/>
            <w:vAlign w:val="bottom"/>
            <w:shd w:val="clear" w:color="auto" w:fill="EAEAEA"/>
          </w:tcPr>
          <w:p>
            <w:pPr>
              <w:ind w:left="60"/>
              <w:spacing w:after="0"/>
              <w:rPr>
                <w:sz w:val="20"/>
                <w:szCs w:val="20"/>
                <w:color w:val="auto"/>
              </w:rPr>
            </w:pPr>
            <w:r>
              <w:rPr>
                <w:rFonts w:ascii="Arial" w:cs="Arial" w:eastAsia="Arial" w:hAnsi="Arial"/>
                <w:sz w:val="16"/>
                <w:szCs w:val="16"/>
                <w:color w:val="242424"/>
              </w:rPr>
              <w:t>Annual Meeting and entitled to</w:t>
            </w:r>
          </w:p>
        </w:tc>
        <w:tc>
          <w:tcPr>
            <w:tcW w:w="1140" w:type="dxa"/>
            <w:vAlign w:val="bottom"/>
            <w:shd w:val="clear" w:color="auto" w:fill="EAEAEA"/>
          </w:tcPr>
          <w:p>
            <w:pPr>
              <w:spacing w:after="0"/>
              <w:rPr>
                <w:sz w:val="16"/>
                <w:szCs w:val="16"/>
                <w:color w:val="auto"/>
              </w:rPr>
            </w:pPr>
          </w:p>
        </w:tc>
        <w:tc>
          <w:tcPr>
            <w:tcW w:w="1100" w:type="dxa"/>
            <w:vAlign w:val="bottom"/>
            <w:shd w:val="clear" w:color="auto" w:fill="EAEAEA"/>
          </w:tcPr>
          <w:p>
            <w:pPr>
              <w:ind w:left="120"/>
              <w:spacing w:after="0"/>
              <w:rPr>
                <w:sz w:val="20"/>
                <w:szCs w:val="20"/>
                <w:color w:val="auto"/>
              </w:rPr>
            </w:pPr>
            <w:r>
              <w:rPr>
                <w:rFonts w:ascii="Arial" w:cs="Arial" w:eastAsia="Arial" w:hAnsi="Arial"/>
                <w:sz w:val="16"/>
                <w:szCs w:val="16"/>
                <w:color w:val="242424"/>
              </w:rPr>
              <w:t>vote</w:t>
            </w:r>
          </w:p>
        </w:tc>
        <w:tc>
          <w:tcPr>
            <w:tcW w:w="0" w:type="dxa"/>
            <w:vAlign w:val="bottom"/>
          </w:tcPr>
          <w:p>
            <w:pPr>
              <w:spacing w:after="0"/>
              <w:rPr>
                <w:sz w:val="1"/>
                <w:szCs w:val="1"/>
                <w:color w:val="auto"/>
              </w:rPr>
            </w:pPr>
          </w:p>
        </w:tc>
      </w:tr>
      <w:tr>
        <w:trPr>
          <w:trHeight w:val="192"/>
        </w:trPr>
        <w:tc>
          <w:tcPr>
            <w:tcW w:w="2480" w:type="dxa"/>
            <w:vAlign w:val="bottom"/>
            <w:shd w:val="clear" w:color="auto" w:fill="EAEAEA"/>
          </w:tcPr>
          <w:p>
            <w:pPr>
              <w:ind w:left="20"/>
              <w:spacing w:after="0"/>
              <w:rPr>
                <w:sz w:val="20"/>
                <w:szCs w:val="20"/>
                <w:color w:val="auto"/>
              </w:rPr>
            </w:pPr>
            <w:r>
              <w:rPr>
                <w:rFonts w:ascii="Arial" w:cs="Arial" w:eastAsia="Arial" w:hAnsi="Arial"/>
                <w:sz w:val="16"/>
                <w:szCs w:val="16"/>
                <w:color w:val="242424"/>
              </w:rPr>
              <w:t>year ending October 30, 2022</w:t>
            </w:r>
          </w:p>
        </w:tc>
        <w:tc>
          <w:tcPr>
            <w:tcW w:w="900" w:type="dxa"/>
            <w:vAlign w:val="bottom"/>
            <w:shd w:val="clear" w:color="auto" w:fill="EAEAEA"/>
          </w:tcPr>
          <w:p>
            <w:pPr>
              <w:spacing w:after="0"/>
              <w:rPr>
                <w:sz w:val="16"/>
                <w:szCs w:val="16"/>
                <w:color w:val="auto"/>
              </w:rPr>
            </w:pPr>
          </w:p>
        </w:tc>
        <w:tc>
          <w:tcPr>
            <w:tcW w:w="1560" w:type="dxa"/>
            <w:vAlign w:val="bottom"/>
            <w:shd w:val="clear" w:color="auto" w:fill="EAEAEA"/>
          </w:tcPr>
          <w:p>
            <w:pPr>
              <w:spacing w:after="0"/>
              <w:rPr>
                <w:sz w:val="16"/>
                <w:szCs w:val="16"/>
                <w:color w:val="auto"/>
              </w:rPr>
            </w:pPr>
          </w:p>
        </w:tc>
        <w:tc>
          <w:tcPr>
            <w:tcW w:w="2360" w:type="dxa"/>
            <w:vAlign w:val="bottom"/>
            <w:shd w:val="clear" w:color="auto" w:fill="EAEAEA"/>
          </w:tcPr>
          <w:p>
            <w:pPr>
              <w:ind w:left="60"/>
              <w:spacing w:after="0"/>
              <w:rPr>
                <w:sz w:val="20"/>
                <w:szCs w:val="20"/>
                <w:color w:val="auto"/>
              </w:rPr>
            </w:pPr>
            <w:r>
              <w:rPr>
                <w:rFonts w:ascii="Arial" w:cs="Arial" w:eastAsia="Arial" w:hAnsi="Arial"/>
                <w:sz w:val="16"/>
                <w:szCs w:val="16"/>
                <w:color w:val="242424"/>
              </w:rPr>
              <w:t>vote</w:t>
            </w:r>
          </w:p>
        </w:tc>
        <w:tc>
          <w:tcPr>
            <w:tcW w:w="1140" w:type="dxa"/>
            <w:vAlign w:val="bottom"/>
            <w:shd w:val="clear" w:color="auto" w:fill="EAEAEA"/>
          </w:tcPr>
          <w:p>
            <w:pPr>
              <w:spacing w:after="0"/>
              <w:rPr>
                <w:sz w:val="16"/>
                <w:szCs w:val="16"/>
                <w:color w:val="auto"/>
              </w:rPr>
            </w:pPr>
          </w:p>
        </w:tc>
        <w:tc>
          <w:tcPr>
            <w:tcW w:w="110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480" w:type="dxa"/>
            <w:vAlign w:val="bottom"/>
            <w:shd w:val="clear" w:color="auto" w:fill="EAEAEA"/>
          </w:tcPr>
          <w:p>
            <w:pPr>
              <w:spacing w:after="0"/>
              <w:rPr>
                <w:sz w:val="6"/>
                <w:szCs w:val="6"/>
                <w:color w:val="auto"/>
              </w:rPr>
            </w:pPr>
          </w:p>
        </w:tc>
        <w:tc>
          <w:tcPr>
            <w:tcW w:w="900" w:type="dxa"/>
            <w:vAlign w:val="bottom"/>
            <w:shd w:val="clear" w:color="auto" w:fill="EAEAEA"/>
          </w:tcPr>
          <w:p>
            <w:pPr>
              <w:spacing w:after="0"/>
              <w:rPr>
                <w:sz w:val="6"/>
                <w:szCs w:val="6"/>
                <w:color w:val="auto"/>
              </w:rPr>
            </w:pPr>
          </w:p>
        </w:tc>
        <w:tc>
          <w:tcPr>
            <w:tcW w:w="1560" w:type="dxa"/>
            <w:vAlign w:val="bottom"/>
            <w:shd w:val="clear" w:color="auto" w:fill="EAEAEA"/>
          </w:tcPr>
          <w:p>
            <w:pPr>
              <w:spacing w:after="0"/>
              <w:rPr>
                <w:sz w:val="6"/>
                <w:szCs w:val="6"/>
                <w:color w:val="auto"/>
              </w:rPr>
            </w:pPr>
          </w:p>
        </w:tc>
        <w:tc>
          <w:tcPr>
            <w:tcW w:w="2360" w:type="dxa"/>
            <w:vAlign w:val="bottom"/>
            <w:shd w:val="clear" w:color="auto" w:fill="EAEAEA"/>
          </w:tcPr>
          <w:p>
            <w:pPr>
              <w:spacing w:after="0"/>
              <w:rPr>
                <w:sz w:val="6"/>
                <w:szCs w:val="6"/>
                <w:color w:val="auto"/>
              </w:rPr>
            </w:pPr>
          </w:p>
        </w:tc>
        <w:tc>
          <w:tcPr>
            <w:tcW w:w="1140" w:type="dxa"/>
            <w:vAlign w:val="bottom"/>
            <w:shd w:val="clear" w:color="auto" w:fill="EAEAEA"/>
          </w:tcPr>
          <w:p>
            <w:pPr>
              <w:spacing w:after="0"/>
              <w:rPr>
                <w:sz w:val="6"/>
                <w:szCs w:val="6"/>
                <w:color w:val="auto"/>
              </w:rPr>
            </w:pPr>
          </w:p>
        </w:tc>
        <w:tc>
          <w:tcPr>
            <w:tcW w:w="110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480" w:type="dxa"/>
            <w:vAlign w:val="bottom"/>
          </w:tcPr>
          <w:p>
            <w:pPr>
              <w:ind w:left="20"/>
              <w:spacing w:after="0"/>
              <w:rPr>
                <w:sz w:val="20"/>
                <w:szCs w:val="20"/>
                <w:color w:val="auto"/>
              </w:rPr>
            </w:pPr>
            <w:r>
              <w:rPr>
                <w:rFonts w:ascii="Arial" w:cs="Arial" w:eastAsia="Arial" w:hAnsi="Arial"/>
                <w:sz w:val="16"/>
                <w:szCs w:val="16"/>
                <w:color w:val="242424"/>
              </w:rPr>
              <w:t>To hold an advisory vote to</w:t>
            </w:r>
          </w:p>
        </w:tc>
        <w:tc>
          <w:tcPr>
            <w:tcW w:w="900" w:type="dxa"/>
            <w:vAlign w:val="bottom"/>
          </w:tcPr>
          <w:p>
            <w:pPr>
              <w:ind w:left="160"/>
              <w:spacing w:after="0"/>
              <w:rPr>
                <w:sz w:val="20"/>
                <w:szCs w:val="20"/>
                <w:color w:val="auto"/>
              </w:rPr>
            </w:pPr>
            <w:r>
              <w:rPr>
                <w:rFonts w:ascii="Arial" w:cs="Arial" w:eastAsia="Arial" w:hAnsi="Arial"/>
                <w:sz w:val="16"/>
                <w:szCs w:val="16"/>
                <w:color w:val="242424"/>
              </w:rPr>
              <w:t>For</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CC092F"/>
              </w:rPr>
              <w:t>For</w:t>
            </w:r>
          </w:p>
        </w:tc>
        <w:tc>
          <w:tcPr>
            <w:tcW w:w="2360" w:type="dxa"/>
            <w:vAlign w:val="bottom"/>
          </w:tcPr>
          <w:p>
            <w:pPr>
              <w:ind w:left="60"/>
              <w:spacing w:after="0"/>
              <w:rPr>
                <w:sz w:val="20"/>
                <w:szCs w:val="20"/>
                <w:color w:val="auto"/>
              </w:rPr>
            </w:pPr>
            <w:r>
              <w:rPr>
                <w:rFonts w:ascii="Arial" w:cs="Arial" w:eastAsia="Arial" w:hAnsi="Arial"/>
                <w:sz w:val="16"/>
                <w:szCs w:val="16"/>
                <w:color w:val="242424"/>
              </w:rPr>
              <w:t>Affirmative vote of a majority of</w:t>
            </w:r>
          </w:p>
        </w:tc>
        <w:tc>
          <w:tcPr>
            <w:tcW w:w="1140" w:type="dxa"/>
            <w:vAlign w:val="bottom"/>
          </w:tcPr>
          <w:p>
            <w:pPr>
              <w:jc w:val="center"/>
              <w:spacing w:after="0"/>
              <w:rPr>
                <w:sz w:val="20"/>
                <w:szCs w:val="20"/>
                <w:color w:val="auto"/>
              </w:rPr>
            </w:pPr>
            <w:r>
              <w:rPr>
                <w:rFonts w:ascii="Arial" w:cs="Arial" w:eastAsia="Arial" w:hAnsi="Arial"/>
                <w:sz w:val="16"/>
                <w:szCs w:val="16"/>
                <w:color w:val="242424"/>
              </w:rPr>
              <w:t>Against</w:t>
            </w:r>
          </w:p>
        </w:tc>
        <w:tc>
          <w:tcPr>
            <w:tcW w:w="1100" w:type="dxa"/>
            <w:vAlign w:val="bottom"/>
          </w:tcPr>
          <w:p>
            <w:pPr>
              <w:ind w:left="120"/>
              <w:spacing w:after="0"/>
              <w:rPr>
                <w:sz w:val="20"/>
                <w:szCs w:val="20"/>
                <w:color w:val="auto"/>
              </w:rPr>
            </w:pPr>
            <w:r>
              <w:rPr>
                <w:rFonts w:ascii="Arial" w:cs="Arial" w:eastAsia="Arial" w:hAnsi="Arial"/>
                <w:sz w:val="16"/>
                <w:szCs w:val="16"/>
                <w:color w:val="242424"/>
              </w:rPr>
              <w:t>None</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6"/>
                <w:szCs w:val="16"/>
                <w:color w:val="242424"/>
              </w:rPr>
              <w:t>approve compensation of our</w:t>
            </w:r>
          </w:p>
        </w:tc>
        <w:tc>
          <w:tcPr>
            <w:tcW w:w="900" w:type="dxa"/>
            <w:vAlign w:val="bottom"/>
          </w:tcPr>
          <w:p>
            <w:pPr>
              <w:ind w:left="160"/>
              <w:spacing w:after="0"/>
              <w:rPr>
                <w:sz w:val="20"/>
                <w:szCs w:val="20"/>
                <w:color w:val="auto"/>
              </w:rPr>
            </w:pPr>
            <w:r>
              <w:rPr>
                <w:rFonts w:ascii="Arial" w:cs="Arial" w:eastAsia="Arial" w:hAnsi="Arial"/>
                <w:sz w:val="16"/>
                <w:szCs w:val="16"/>
                <w:color w:val="242424"/>
              </w:rPr>
              <w:t>Against</w:t>
            </w:r>
          </w:p>
        </w:tc>
        <w:tc>
          <w:tcPr>
            <w:tcW w:w="1560" w:type="dxa"/>
            <w:vAlign w:val="bottom"/>
          </w:tcPr>
          <w:p>
            <w:pPr>
              <w:spacing w:after="0"/>
              <w:rPr>
                <w:sz w:val="16"/>
                <w:szCs w:val="16"/>
                <w:color w:val="auto"/>
              </w:rPr>
            </w:pPr>
          </w:p>
        </w:tc>
        <w:tc>
          <w:tcPr>
            <w:tcW w:w="2360" w:type="dxa"/>
            <w:vAlign w:val="bottom"/>
          </w:tcPr>
          <w:p>
            <w:pPr>
              <w:ind w:left="60"/>
              <w:spacing w:after="0"/>
              <w:rPr>
                <w:sz w:val="20"/>
                <w:szCs w:val="20"/>
                <w:color w:val="auto"/>
              </w:rPr>
            </w:pPr>
            <w:r>
              <w:rPr>
                <w:rFonts w:ascii="Arial" w:cs="Arial" w:eastAsia="Arial" w:hAnsi="Arial"/>
                <w:sz w:val="16"/>
                <w:szCs w:val="16"/>
                <w:color w:val="242424"/>
              </w:rPr>
              <w:t>votes represented at the</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80" w:type="dxa"/>
            <w:vAlign w:val="bottom"/>
          </w:tcPr>
          <w:p>
            <w:pPr>
              <w:ind w:left="20"/>
              <w:spacing w:after="0"/>
              <w:rPr>
                <w:sz w:val="20"/>
                <w:szCs w:val="20"/>
                <w:color w:val="auto"/>
              </w:rPr>
            </w:pPr>
            <w:r>
              <w:rPr>
                <w:rFonts w:ascii="Arial" w:cs="Arial" w:eastAsia="Arial" w:hAnsi="Arial"/>
                <w:sz w:val="16"/>
                <w:szCs w:val="16"/>
                <w:color w:val="242424"/>
              </w:rPr>
              <w:t>named executive officers</w:t>
            </w:r>
          </w:p>
        </w:tc>
        <w:tc>
          <w:tcPr>
            <w:tcW w:w="900" w:type="dxa"/>
            <w:vAlign w:val="bottom"/>
          </w:tcPr>
          <w:p>
            <w:pPr>
              <w:ind w:left="160"/>
              <w:spacing w:after="0"/>
              <w:rPr>
                <w:sz w:val="20"/>
                <w:szCs w:val="20"/>
                <w:color w:val="auto"/>
              </w:rPr>
            </w:pPr>
            <w:r>
              <w:rPr>
                <w:rFonts w:ascii="Arial" w:cs="Arial" w:eastAsia="Arial" w:hAnsi="Arial"/>
                <w:sz w:val="16"/>
                <w:szCs w:val="16"/>
                <w:color w:val="242424"/>
              </w:rPr>
              <w:t>Abstain</w:t>
            </w:r>
          </w:p>
        </w:tc>
        <w:tc>
          <w:tcPr>
            <w:tcW w:w="1560" w:type="dxa"/>
            <w:vAlign w:val="bottom"/>
          </w:tcPr>
          <w:p>
            <w:pPr>
              <w:spacing w:after="0"/>
              <w:rPr>
                <w:sz w:val="16"/>
                <w:szCs w:val="16"/>
                <w:color w:val="auto"/>
              </w:rPr>
            </w:pPr>
          </w:p>
        </w:tc>
        <w:tc>
          <w:tcPr>
            <w:tcW w:w="2360" w:type="dxa"/>
            <w:vAlign w:val="bottom"/>
          </w:tcPr>
          <w:p>
            <w:pPr>
              <w:ind w:left="60"/>
              <w:spacing w:after="0"/>
              <w:rPr>
                <w:sz w:val="20"/>
                <w:szCs w:val="20"/>
                <w:color w:val="auto"/>
              </w:rPr>
            </w:pPr>
            <w:r>
              <w:rPr>
                <w:rFonts w:ascii="Arial" w:cs="Arial" w:eastAsia="Arial" w:hAnsi="Arial"/>
                <w:sz w:val="16"/>
                <w:szCs w:val="16"/>
                <w:color w:val="242424"/>
              </w:rPr>
              <w:t>Annual Meeting and entitled to</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60" w:type="dxa"/>
            <w:vAlign w:val="bottom"/>
          </w:tcPr>
          <w:p>
            <w:pPr>
              <w:ind w:left="60"/>
              <w:spacing w:after="0"/>
              <w:rPr>
                <w:sz w:val="20"/>
                <w:szCs w:val="20"/>
                <w:color w:val="auto"/>
              </w:rPr>
            </w:pPr>
            <w:r>
              <w:rPr>
                <w:rFonts w:ascii="Arial" w:cs="Arial" w:eastAsia="Arial" w:hAnsi="Arial"/>
                <w:sz w:val="16"/>
                <w:szCs w:val="16"/>
                <w:color w:val="242424"/>
              </w:rPr>
              <w:t>vote</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Uninstructed Votes</w:t>
      </w:r>
    </w:p>
    <w:p>
      <w:pPr>
        <w:spacing w:after="0" w:line="18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242424"/>
        </w:rPr>
        <w:t>If you are a registered stockholder and you return your signed proxy card without giving specific voting instructions, your shares will be voted by the proxy holders - Hock E. Tan, Kirsten M. Spears and Mark D. Brazeal or any of them, with full power of substitution (together, the “Proxy Holders”) - as recommended by the Board (see table above).</w:t>
      </w:r>
    </w:p>
    <w:p>
      <w:pPr>
        <w:spacing w:after="0" w:line="153"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242424"/>
        </w:rPr>
        <w:t>If you are a beneficial owner and you do not provide specific voting instructions to your broker, bank or other nominee, your shares will not be voted, resulting in a “broker non-vote” and will have no effect on the Proposals except for Proposal 2 (see table above).</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Inspector of Election</w:t>
      </w:r>
    </w:p>
    <w:p>
      <w:pPr>
        <w:spacing w:after="0" w:line="188" w:lineRule="exact"/>
        <w:rPr>
          <w:sz w:val="20"/>
          <w:szCs w:val="20"/>
          <w:color w:val="auto"/>
        </w:rPr>
      </w:pPr>
    </w:p>
    <w:p>
      <w:pPr>
        <w:jc w:val="both"/>
        <w:ind w:right="260"/>
        <w:spacing w:after="0" w:line="248" w:lineRule="auto"/>
        <w:rPr>
          <w:sz w:val="20"/>
          <w:szCs w:val="20"/>
          <w:color w:val="auto"/>
        </w:rPr>
      </w:pPr>
      <w:r>
        <w:rPr>
          <w:rFonts w:ascii="Arial" w:cs="Arial" w:eastAsia="Arial" w:hAnsi="Arial"/>
          <w:sz w:val="18"/>
          <w:szCs w:val="18"/>
          <w:color w:val="242424"/>
        </w:rPr>
        <w:t>We have appointed a representative of Broadridge Investor Communication Solutions, Inc. (“Broadridge”) as the inspector of elections of the Annual Meeting. Preliminary voting results will be announced at the Annual Meeting and the final voting results will be published in a Current Report on Form 8-K within four business days following the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Costs of Solicitation</w:t>
      </w:r>
    </w:p>
    <w:p>
      <w:pPr>
        <w:spacing w:after="0" w:line="188" w:lineRule="exact"/>
        <w:rPr>
          <w:sz w:val="20"/>
          <w:szCs w:val="20"/>
          <w:color w:val="auto"/>
        </w:rPr>
      </w:pPr>
    </w:p>
    <w:p>
      <w:pPr>
        <w:spacing w:after="0" w:line="246" w:lineRule="auto"/>
        <w:rPr>
          <w:sz w:val="20"/>
          <w:szCs w:val="20"/>
          <w:color w:val="auto"/>
        </w:rPr>
      </w:pPr>
      <w:r>
        <w:rPr>
          <w:rFonts w:ascii="Arial" w:cs="Arial" w:eastAsia="Arial" w:hAnsi="Arial"/>
          <w:sz w:val="18"/>
          <w:szCs w:val="18"/>
          <w:color w:val="242424"/>
        </w:rPr>
        <w:t>Broadcom will bear the cost of soliciting proxies. We have retained D. F. King &amp; Co., Inc., an independent proxy solicitation firm, to assist us in soliciting proxies for an estimated fee of $15,000, plus reimbursement of reasonable expenses. Broadcom and/or our agents, including certain of our officers, directors and employees, may solicit proxies by mail, telephone, e-mail, fax or in person. No additional compensation will be paid to our officers, directors or employees for such services. Broadcom will reimburse banks, brokerage firms and other custodians, nominees, trustees and fiduciaries for reasonable out-of-pocket expenses incurred by them in sending proxy materials to and soliciting proxies from beneficial holders of Broadcom common stock.</w:t>
      </w:r>
    </w:p>
    <w:p>
      <w:pPr>
        <w:spacing w:after="0" w:line="200" w:lineRule="exact"/>
        <w:rPr>
          <w:sz w:val="20"/>
          <w:szCs w:val="20"/>
          <w:color w:val="auto"/>
        </w:rPr>
      </w:pPr>
    </w:p>
    <w:p>
      <w:pPr>
        <w:spacing w:after="0" w:line="252" w:lineRule="exact"/>
        <w:rPr>
          <w:sz w:val="20"/>
          <w:szCs w:val="20"/>
          <w:color w:val="auto"/>
        </w:rPr>
      </w:pPr>
    </w:p>
    <w:p>
      <w:pPr>
        <w:ind w:left="360" w:hanging="354"/>
        <w:spacing w:after="0"/>
        <w:tabs>
          <w:tab w:leader="none" w:pos="360" w:val="left"/>
        </w:tabs>
        <w:numPr>
          <w:ilvl w:val="0"/>
          <w:numId w:val="98"/>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220"/>
          </w:cols>
          <w:pgMar w:left="320" w:top="340" w:right="359" w:bottom="1440" w:gutter="0" w:footer="0" w:header="0"/>
        </w:sectPr>
      </w:pPr>
    </w:p>
    <w:bookmarkStart w:id="63" w:name="page64"/>
    <w:bookmarkEnd w:id="63"/>
    <w:p>
      <w:pPr>
        <w:ind w:left="9520"/>
        <w:spacing w:after="0"/>
        <w:rPr>
          <w:sz w:val="20"/>
          <w:szCs w:val="20"/>
          <w:color w:val="auto"/>
        </w:rPr>
      </w:pPr>
      <w:r>
        <w:rPr>
          <w:rFonts w:ascii="Arial" w:cs="Arial" w:eastAsia="Arial" w:hAnsi="Arial"/>
          <w:sz w:val="15"/>
          <w:szCs w:val="15"/>
          <w:color w:val="CC092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CC092F"/>
        </w:rPr>
        <w:t>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Householding of Proxy Materials</w:t>
      </w:r>
    </w:p>
    <w:p>
      <w:pPr>
        <w:spacing w:after="0" w:line="188"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242424"/>
        </w:rPr>
        <w:t>We have adopted a procedure called “householding” under which one copy of the Internet Notice and, if applicable, our proxy materials will be delivered to multiple stockholders who share an address, unless contrary instructions from one or more stockholders are received.</w:t>
      </w:r>
    </w:p>
    <w:p>
      <w:pPr>
        <w:spacing w:after="0" w:line="150"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242424"/>
        </w:rPr>
        <w:t>Upon written request, Broadcom will promptly deliver a separate copy of the Internet Notice and, if applicable, the proxy materials to any stockholder at a shared address to which a single copy of any of these documents was delivered. To receive a separate copy of the Internet Notice and, if applicable, the proxy materials, registered stockholders may contact Broadridge at:</w:t>
      </w:r>
    </w:p>
    <w:p>
      <w:pPr>
        <w:spacing w:after="0" w:line="110" w:lineRule="exact"/>
        <w:rPr>
          <w:sz w:val="20"/>
          <w:szCs w:val="20"/>
          <w:color w:val="auto"/>
        </w:rPr>
      </w:pPr>
    </w:p>
    <w:p>
      <w:pPr>
        <w:ind w:left="520" w:hanging="276"/>
        <w:spacing w:after="0"/>
        <w:tabs>
          <w:tab w:leader="none" w:pos="520" w:val="left"/>
        </w:tabs>
        <w:numPr>
          <w:ilvl w:val="0"/>
          <w:numId w:val="99"/>
        </w:numPr>
        <w:rPr>
          <w:rFonts w:ascii="Arial" w:cs="Arial" w:eastAsia="Arial" w:hAnsi="Arial"/>
          <w:sz w:val="21"/>
          <w:szCs w:val="21"/>
          <w:color w:val="242424"/>
        </w:rPr>
      </w:pPr>
      <w:r>
        <w:rPr>
          <w:rFonts w:ascii="Arial" w:cs="Arial" w:eastAsia="Arial" w:hAnsi="Arial"/>
          <w:sz w:val="18"/>
          <w:szCs w:val="18"/>
          <w:color w:val="242424"/>
        </w:rPr>
        <w:t>By Internet: www.proxyvote.com</w:t>
      </w:r>
    </w:p>
    <w:p>
      <w:pPr>
        <w:spacing w:after="0" w:line="116" w:lineRule="exact"/>
        <w:rPr>
          <w:rFonts w:ascii="Arial" w:cs="Arial" w:eastAsia="Arial" w:hAnsi="Arial"/>
          <w:sz w:val="21"/>
          <w:szCs w:val="21"/>
          <w:color w:val="242424"/>
        </w:rPr>
      </w:pPr>
    </w:p>
    <w:p>
      <w:pPr>
        <w:ind w:left="520" w:hanging="276"/>
        <w:spacing w:after="0"/>
        <w:tabs>
          <w:tab w:leader="none" w:pos="520" w:val="left"/>
        </w:tabs>
        <w:numPr>
          <w:ilvl w:val="0"/>
          <w:numId w:val="99"/>
        </w:numPr>
        <w:rPr>
          <w:rFonts w:ascii="Arial" w:cs="Arial" w:eastAsia="Arial" w:hAnsi="Arial"/>
          <w:sz w:val="21"/>
          <w:szCs w:val="21"/>
          <w:color w:val="242424"/>
        </w:rPr>
      </w:pPr>
      <w:r>
        <w:rPr>
          <w:rFonts w:ascii="Arial" w:cs="Arial" w:eastAsia="Arial" w:hAnsi="Arial"/>
          <w:sz w:val="18"/>
          <w:szCs w:val="18"/>
          <w:color w:val="242424"/>
        </w:rPr>
        <w:t>By telephone: (800) 579-1639</w:t>
      </w:r>
    </w:p>
    <w:p>
      <w:pPr>
        <w:spacing w:after="0" w:line="116" w:lineRule="exact"/>
        <w:rPr>
          <w:rFonts w:ascii="Arial" w:cs="Arial" w:eastAsia="Arial" w:hAnsi="Arial"/>
          <w:sz w:val="21"/>
          <w:szCs w:val="21"/>
          <w:color w:val="242424"/>
        </w:rPr>
      </w:pPr>
    </w:p>
    <w:p>
      <w:pPr>
        <w:ind w:left="520" w:hanging="276"/>
        <w:spacing w:after="0"/>
        <w:tabs>
          <w:tab w:leader="none" w:pos="520" w:val="left"/>
        </w:tabs>
        <w:numPr>
          <w:ilvl w:val="0"/>
          <w:numId w:val="99"/>
        </w:numPr>
        <w:rPr>
          <w:rFonts w:ascii="Arial" w:cs="Arial" w:eastAsia="Arial" w:hAnsi="Arial"/>
          <w:sz w:val="21"/>
          <w:szCs w:val="21"/>
          <w:color w:val="242424"/>
        </w:rPr>
      </w:pPr>
      <w:r>
        <w:rPr>
          <w:rFonts w:ascii="Arial" w:cs="Arial" w:eastAsia="Arial" w:hAnsi="Arial"/>
          <w:sz w:val="18"/>
          <w:szCs w:val="18"/>
          <w:color w:val="242424"/>
        </w:rPr>
        <w:t>By email: sendmaterial@proxyvote.com</w:t>
      </w:r>
    </w:p>
    <w:p>
      <w:pPr>
        <w:spacing w:after="0" w:line="159"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242424"/>
        </w:rPr>
        <w:t>In addition, if you are receiving multiple copies and would like to receive only one copy for your household, you should contact Broadridge at the address, telephone number or email address above. If you are a beneficial owner, you should contact your broker, bank or other nominee.</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Stockholder Proposals and Director Nominations for the 2023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Proposals to be Included in the Proxy Materials</w:t>
      </w:r>
    </w:p>
    <w:p>
      <w:pPr>
        <w:spacing w:after="0" w:line="192"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color w:val="242424"/>
        </w:rPr>
        <w:t>You may submit proposals for consideration at future annual stockholder meetings. To be considered for inclusion in the proxy materials for our annual meeting of stockholders to be held in 2023 (“2023 Annual Meeting”), your proposal (other than a proposal for director nomination) must comply with the procedures and requirements set forth in Rule 14a-8 under the Exchange Act and be received no later than October 21, 2022.</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Proposals not to be Included in the Proxy Materials</w:t>
      </w:r>
    </w:p>
    <w:p>
      <w:pPr>
        <w:spacing w:after="0" w:line="192" w:lineRule="exact"/>
        <w:rPr>
          <w:sz w:val="20"/>
          <w:szCs w:val="20"/>
          <w:color w:val="auto"/>
        </w:rPr>
      </w:pPr>
    </w:p>
    <w:p>
      <w:pPr>
        <w:spacing w:after="0" w:line="266" w:lineRule="auto"/>
        <w:rPr>
          <w:sz w:val="20"/>
          <w:szCs w:val="20"/>
          <w:color w:val="auto"/>
        </w:rPr>
      </w:pPr>
      <w:r>
        <w:rPr>
          <w:rFonts w:ascii="Arial" w:cs="Arial" w:eastAsia="Arial" w:hAnsi="Arial"/>
          <w:sz w:val="17"/>
          <w:szCs w:val="17"/>
          <w:color w:val="242424"/>
        </w:rPr>
        <w:t>Proposals for consideration at the 2023 Annual Meeting, but not for inclusion in the proxy materials, must be received no earlier than the close of business on December 5, 2022 and no later than the close of business on January 4, 2023. The proposal must be submitted by a stockholder of record and must set forth the information required by our Bylaws. If you are a beneficial owner of shares held in street name, you can contact the organization that holds your shares for information about how to register your shares directly in your name as a registered stockholder.</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Nominations for Election of Directors Using Proxy Access</w:t>
      </w:r>
    </w:p>
    <w:p>
      <w:pPr>
        <w:spacing w:after="0" w:line="192"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242424"/>
        </w:rPr>
        <w:t>A stockholder, or group of up to 20 stockholders, that has owned continuously for at least three years shares of Broadcom common stock representing an aggregate of at least 3% of our outstanding shares, may nominate and include in our proxy materials director nominees constituting up to 20% of our Board, provided that the stockholder(s) and nominee(s) satisfy the requirements in our Bylaws. Notice of proxy access director nominees must be received no earlier than the close of business on September 21, 2022 and no later than the close of business on October 21, 2022.</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Nominations for Election of Directors not Included in the Proxy Materials</w:t>
      </w:r>
    </w:p>
    <w:p>
      <w:pPr>
        <w:spacing w:after="0" w:line="19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242424"/>
        </w:rPr>
        <w:t>Director nominations that a stockholder intends to present at the 2023 Annual Meeting, but does not intend to have included in our proxy materials, must be received no earlier than the close of business on December 5, 2022 and no later than the close of business on January 4, 2023. Notice of director nominations must be submitted by a registered stockholder and must set forth the information required by our Bylaws. If you are a beneficial owner of shares held in street name, you can contact the organization that holds your shares for information about how to register your shares directly in your name as a registered stockholder.</w:t>
      </w:r>
    </w:p>
    <w:p>
      <w:pPr>
        <w:spacing w:after="0" w:line="200" w:lineRule="exact"/>
        <w:rPr>
          <w:sz w:val="20"/>
          <w:szCs w:val="20"/>
          <w:color w:val="auto"/>
        </w:rPr>
      </w:pPr>
    </w:p>
    <w:p>
      <w:pPr>
        <w:spacing w:after="0" w:line="248"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CC092F"/>
        </w:rPr>
        <w:t>Broadcom Inc.</w:t>
      </w:r>
      <w:r>
        <w:rPr>
          <w:rFonts w:ascii="Arial" w:cs="Arial" w:eastAsia="Arial" w:hAnsi="Arial"/>
          <w:sz w:val="16"/>
          <w:szCs w:val="16"/>
          <w:color w:val="242424"/>
        </w:rPr>
        <w:tab/>
        <w:t>61</w:t>
      </w:r>
    </w:p>
    <w:p>
      <w:pPr>
        <w:sectPr>
          <w:pgSz w:w="11900" w:h="16838" w:orient="portrait"/>
          <w:cols w:equalWidth="0" w:num="1">
            <w:col w:w="11240"/>
          </w:cols>
          <w:pgMar w:left="320" w:top="340" w:right="339" w:bottom="1440" w:gutter="0" w:footer="0" w:header="0"/>
        </w:sectPr>
      </w:pPr>
    </w:p>
    <w:bookmarkStart w:id="64" w:name="page65"/>
    <w:bookmarkEnd w:id="64"/>
    <w:p>
      <w:pPr>
        <w:ind w:left="20"/>
        <w:spacing w:after="0"/>
        <w:rPr>
          <w:sz w:val="20"/>
          <w:szCs w:val="20"/>
          <w:color w:val="auto"/>
        </w:rPr>
      </w:pPr>
      <w:r>
        <w:rPr>
          <w:rFonts w:ascii="Arial" w:cs="Arial" w:eastAsia="Arial" w:hAnsi="Arial"/>
          <w:sz w:val="16"/>
          <w:szCs w:val="16"/>
          <w:color w:val="CC092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CC092F"/>
        </w:rPr>
        <w:t>Delivery Method for Stockholder Proposals and Director Nominations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242424"/>
        </w:rPr>
        <w:t>Notices of stockholder proposals and the intent to nominate directors at the 2023 Annual Meeting, and all supporting materials required by our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242424"/>
        </w:rPr>
        <w:t>Bylaws, must be submitted by one of the following means:</w:t>
      </w:r>
    </w:p>
    <w:p>
      <w:pPr>
        <w:spacing w:after="0" w:line="121" w:lineRule="exact"/>
        <w:rPr>
          <w:sz w:val="20"/>
          <w:szCs w:val="20"/>
          <w:color w:val="auto"/>
        </w:rPr>
      </w:pPr>
    </w:p>
    <w:p>
      <w:pPr>
        <w:ind w:left="520" w:hanging="276"/>
        <w:spacing w:after="0"/>
        <w:tabs>
          <w:tab w:leader="none" w:pos="520" w:val="left"/>
        </w:tabs>
        <w:numPr>
          <w:ilvl w:val="0"/>
          <w:numId w:val="100"/>
        </w:numPr>
        <w:rPr>
          <w:rFonts w:ascii="Arial" w:cs="Arial" w:eastAsia="Arial" w:hAnsi="Arial"/>
          <w:sz w:val="21"/>
          <w:szCs w:val="21"/>
          <w:color w:val="242424"/>
        </w:rPr>
      </w:pPr>
      <w:r>
        <w:rPr>
          <w:rFonts w:ascii="Arial" w:cs="Arial" w:eastAsia="Arial" w:hAnsi="Arial"/>
          <w:sz w:val="18"/>
          <w:szCs w:val="18"/>
          <w:color w:val="242424"/>
        </w:rPr>
        <w:t>By Mail: Broadcom Inc., 1320 Ridder Park Drive, San Jose, California 95131, Attention: Secretary</w:t>
      </w:r>
    </w:p>
    <w:p>
      <w:pPr>
        <w:spacing w:after="0" w:line="116" w:lineRule="exact"/>
        <w:rPr>
          <w:rFonts w:ascii="Arial" w:cs="Arial" w:eastAsia="Arial" w:hAnsi="Arial"/>
          <w:sz w:val="21"/>
          <w:szCs w:val="21"/>
          <w:color w:val="242424"/>
        </w:rPr>
      </w:pPr>
    </w:p>
    <w:p>
      <w:pPr>
        <w:ind w:left="520" w:hanging="276"/>
        <w:spacing w:after="0"/>
        <w:tabs>
          <w:tab w:leader="none" w:pos="520" w:val="left"/>
        </w:tabs>
        <w:numPr>
          <w:ilvl w:val="0"/>
          <w:numId w:val="100"/>
        </w:numPr>
        <w:rPr>
          <w:rFonts w:ascii="Arial" w:cs="Arial" w:eastAsia="Arial" w:hAnsi="Arial"/>
          <w:sz w:val="21"/>
          <w:szCs w:val="21"/>
          <w:color w:val="242424"/>
        </w:rPr>
      </w:pPr>
      <w:r>
        <w:rPr>
          <w:rFonts w:ascii="Arial" w:cs="Arial" w:eastAsia="Arial" w:hAnsi="Arial"/>
          <w:sz w:val="18"/>
          <w:szCs w:val="18"/>
          <w:color w:val="242424"/>
        </w:rPr>
        <w:t>By Email: compliance.officer@broadcom.com</w:t>
      </w:r>
    </w:p>
    <w:p>
      <w:pPr>
        <w:spacing w:after="0" w:line="159"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242424"/>
        </w:rPr>
        <w:t>Broadcom reserves the right to reject, rule out of order, or take other appropriate action with respect to any proposal that does not comply with these and other applicable requirements. Qualified director candidates suggested by holders of Broadcom common stock will be evaluated in the same manner as any other candidate for election to our Board (other than those standing for re-election).</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CC092F"/>
        </w:rPr>
        <w:t>Other Matters</w:t>
      </w:r>
    </w:p>
    <w:p>
      <w:pPr>
        <w:spacing w:after="0" w:line="188" w:lineRule="exact"/>
        <w:rPr>
          <w:sz w:val="20"/>
          <w:szCs w:val="20"/>
          <w:color w:val="auto"/>
        </w:rPr>
      </w:pPr>
    </w:p>
    <w:p>
      <w:pPr>
        <w:spacing w:after="0" w:line="280" w:lineRule="auto"/>
        <w:rPr>
          <w:sz w:val="20"/>
          <w:szCs w:val="20"/>
          <w:color w:val="auto"/>
        </w:rPr>
      </w:pPr>
      <w:r>
        <w:rPr>
          <w:rFonts w:ascii="Arial" w:cs="Arial" w:eastAsia="Arial" w:hAnsi="Arial"/>
          <w:sz w:val="17"/>
          <w:szCs w:val="17"/>
          <w:color w:val="242424"/>
        </w:rPr>
        <w:t>Our management does not know of any matters to be presented at the Annual Meeting other than those set forth in this Proxy Statement. If any other matters are properly presented for a vote, the enclosed proxy confers discretionary authority to the individuals named as Proxy Holders.</w:t>
      </w:r>
    </w:p>
    <w:p>
      <w:pPr>
        <w:spacing w:after="0" w:line="127"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242424"/>
        </w:rPr>
        <w:t>Copies of this Proxy Statement and the 2021 Annual Report, as filed with the SEC, are also available on our website at www.broadcom.com or you can request a copy free of charge by calling Investor Relations at (408) 433-8000 or emailing investor.relations@broadcom.com.</w:t>
      </w:r>
    </w:p>
    <w:p>
      <w:pPr>
        <w:spacing w:after="0" w:line="105"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b w:val="1"/>
          <w:bCs w:val="1"/>
          <w:color w:val="242424"/>
        </w:rPr>
        <w:t>Upon request, Broadcom will furnish without charge to each person to whom this Proxy Statement is delivered a copy of any exhibit listed in our 2021 Annual Report. You may request a copy, at no cost, by writing, telephoning or emailing us at: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42424"/>
        </w:rPr>
        <w:t>Broadcom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42424"/>
        </w:rPr>
        <w:t>Attn: Investor Relations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42424"/>
        </w:rPr>
        <w:t>1320 Ridder Park Dive</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42424"/>
        </w:rPr>
        <w:t>San Jose, California 95131</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42424"/>
        </w:rPr>
        <w:t>Telephone: (408) 433-8000</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42424"/>
        </w:rPr>
        <w:t>Email: investor.relations@broadcom.com</w:t>
      </w:r>
    </w:p>
    <w:p>
      <w:pPr>
        <w:spacing w:after="0" w:line="142"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b w:val="1"/>
          <w:bCs w:val="1"/>
          <w:color w:val="242424"/>
        </w:rPr>
        <w:t>To ensure timely delivery of any materials requested prior to the date of the Annual Meeting, you should request such materials no later than March 16,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242424"/>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340360</wp:posOffset>
            </wp:positionV>
            <wp:extent cx="992505" cy="4457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925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242424"/>
        </w:rPr>
        <w:t>Hock E. Tan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242424"/>
        </w:rPr>
        <w:t>Director, President and Chief Executive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242424"/>
        </w:rPr>
        <w:t>February 18, 2022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242424"/>
        </w:rPr>
        <w:t>San Jose,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0" w:hanging="354"/>
        <w:spacing w:after="0"/>
        <w:tabs>
          <w:tab w:leader="none" w:pos="360" w:val="left"/>
        </w:tabs>
        <w:numPr>
          <w:ilvl w:val="0"/>
          <w:numId w:val="101"/>
        </w:numPr>
        <w:rPr>
          <w:rFonts w:ascii="Arial" w:cs="Arial" w:eastAsia="Arial" w:hAnsi="Arial"/>
          <w:sz w:val="16"/>
          <w:szCs w:val="16"/>
          <w:color w:val="242424"/>
        </w:rPr>
      </w:pPr>
      <w:r>
        <w:rPr>
          <w:rFonts w:ascii="Arial" w:cs="Arial" w:eastAsia="Arial" w:hAnsi="Arial"/>
          <w:sz w:val="16"/>
          <w:szCs w:val="16"/>
          <w:color w:val="CC092F"/>
        </w:rPr>
        <w:t>2022 Proxy Statement</w:t>
      </w:r>
    </w:p>
    <w:p>
      <w:pPr>
        <w:sectPr>
          <w:pgSz w:w="11900" w:h="16838" w:orient="portrait"/>
          <w:cols w:equalWidth="0" w:num="1">
            <w:col w:w="11180"/>
          </w:cols>
          <w:pgMar w:left="320" w:top="340" w:right="399" w:bottom="1440" w:gutter="0" w:footer="0" w:header="0"/>
        </w:sectPr>
      </w:pPr>
    </w:p>
    <w:bookmarkStart w:id="65" w:name="page66"/>
    <w:bookmarkEnd w:id="65"/>
    <w:p>
      <w:pPr>
        <w:ind w:left="10280"/>
        <w:spacing w:after="0"/>
        <w:rPr>
          <w:sz w:val="20"/>
          <w:szCs w:val="20"/>
          <w:color w:val="auto"/>
        </w:rPr>
      </w:pPr>
      <w:r>
        <w:rPr>
          <w:rFonts w:ascii="Arial" w:cs="Arial" w:eastAsia="Arial" w:hAnsi="Arial"/>
          <w:sz w:val="15"/>
          <w:szCs w:val="15"/>
          <w:color w:val="CC092F"/>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42424"/>
        </w:rPr>
        <w:t>Reconciliation of Non-GAAP Financial Measures</w:t>
      </w:r>
    </w:p>
    <w:p>
      <w:pPr>
        <w:spacing w:after="0" w:line="87" w:lineRule="exact"/>
        <w:rPr>
          <w:sz w:val="20"/>
          <w:szCs w:val="20"/>
          <w:color w:val="auto"/>
        </w:rPr>
      </w:pPr>
    </w:p>
    <w:tbl>
      <w:tblPr>
        <w:tblLayout w:type="fixed"/>
        <w:tblInd w:w="240" w:type="dxa"/>
        <w:tblCellMar>
          <w:top w:w="0" w:type="dxa"/>
          <w:left w:w="0" w:type="dxa"/>
          <w:bottom w:w="0" w:type="dxa"/>
          <w:right w:w="0" w:type="dxa"/>
        </w:tblCellMar>
      </w:tblPr>
      <w:tr>
        <w:trPr>
          <w:trHeight w:val="252"/>
        </w:trPr>
        <w:tc>
          <w:tcPr>
            <w:tcW w:w="5480" w:type="dxa"/>
            <w:vAlign w:val="bottom"/>
            <w:tcBorders>
              <w:top w:val="single" w:sz="8" w:color="CC092F"/>
            </w:tcBorders>
            <w:shd w:val="clear" w:color="auto" w:fill="B8B8B8"/>
          </w:tcPr>
          <w:p>
            <w:pPr>
              <w:spacing w:after="0"/>
              <w:rPr>
                <w:sz w:val="21"/>
                <w:szCs w:val="21"/>
                <w:color w:val="auto"/>
              </w:rPr>
            </w:pPr>
          </w:p>
        </w:tc>
        <w:tc>
          <w:tcPr>
            <w:tcW w:w="220" w:type="dxa"/>
            <w:vAlign w:val="bottom"/>
            <w:tcBorders>
              <w:top w:val="single" w:sz="8" w:color="CC092F"/>
            </w:tcBorders>
            <w:shd w:val="clear" w:color="auto" w:fill="B8B8B8"/>
          </w:tcPr>
          <w:p>
            <w:pPr>
              <w:spacing w:after="0"/>
              <w:rPr>
                <w:sz w:val="21"/>
                <w:szCs w:val="21"/>
                <w:color w:val="auto"/>
              </w:rPr>
            </w:pPr>
          </w:p>
        </w:tc>
        <w:tc>
          <w:tcPr>
            <w:tcW w:w="1320" w:type="dxa"/>
            <w:vAlign w:val="bottom"/>
            <w:tcBorders>
              <w:top w:val="single" w:sz="8" w:color="CC092F"/>
            </w:tcBorders>
            <w:shd w:val="clear" w:color="auto" w:fill="B8B8B8"/>
          </w:tcPr>
          <w:p>
            <w:pPr>
              <w:spacing w:after="0"/>
              <w:rPr>
                <w:sz w:val="21"/>
                <w:szCs w:val="21"/>
                <w:color w:val="auto"/>
              </w:rPr>
            </w:pPr>
          </w:p>
        </w:tc>
        <w:tc>
          <w:tcPr>
            <w:tcW w:w="240" w:type="dxa"/>
            <w:vAlign w:val="bottom"/>
            <w:tcBorders>
              <w:top w:val="single" w:sz="8" w:color="CC092F"/>
            </w:tcBorders>
            <w:shd w:val="clear" w:color="auto" w:fill="B8B8B8"/>
          </w:tcPr>
          <w:p>
            <w:pPr>
              <w:spacing w:after="0"/>
              <w:rPr>
                <w:sz w:val="21"/>
                <w:szCs w:val="21"/>
                <w:color w:val="auto"/>
              </w:rPr>
            </w:pPr>
          </w:p>
        </w:tc>
        <w:tc>
          <w:tcPr>
            <w:tcW w:w="1620" w:type="dxa"/>
            <w:vAlign w:val="bottom"/>
            <w:tcBorders>
              <w:top w:val="single" w:sz="8" w:color="CC092F"/>
            </w:tcBorders>
            <w:shd w:val="clear" w:color="auto" w:fill="B8B8B8"/>
          </w:tcPr>
          <w:p>
            <w:pPr>
              <w:jc w:val="right"/>
              <w:ind w:right="1"/>
              <w:spacing w:after="0"/>
              <w:rPr>
                <w:sz w:val="20"/>
                <w:szCs w:val="20"/>
                <w:color w:val="auto"/>
              </w:rPr>
            </w:pPr>
            <w:r>
              <w:rPr>
                <w:rFonts w:ascii="Arial" w:cs="Arial" w:eastAsia="Arial" w:hAnsi="Arial"/>
                <w:sz w:val="16"/>
                <w:szCs w:val="16"/>
                <w:b w:val="1"/>
                <w:bCs w:val="1"/>
                <w:color w:val="FFFFFF"/>
              </w:rPr>
              <w:t>Fiscal Year Ended</w:t>
            </w:r>
          </w:p>
        </w:tc>
        <w:tc>
          <w:tcPr>
            <w:tcW w:w="220" w:type="dxa"/>
            <w:vAlign w:val="bottom"/>
            <w:tcBorders>
              <w:top w:val="single" w:sz="8" w:color="CC092F"/>
            </w:tcBorders>
            <w:shd w:val="clear" w:color="auto" w:fill="B8B8B8"/>
          </w:tcPr>
          <w:p>
            <w:pPr>
              <w:spacing w:after="0"/>
              <w:rPr>
                <w:sz w:val="21"/>
                <w:szCs w:val="21"/>
                <w:color w:val="auto"/>
              </w:rPr>
            </w:pPr>
          </w:p>
        </w:tc>
        <w:tc>
          <w:tcPr>
            <w:tcW w:w="1680" w:type="dxa"/>
            <w:vAlign w:val="bottom"/>
            <w:tcBorders>
              <w:top w:val="single" w:sz="8" w:color="CC092F"/>
            </w:tcBorders>
            <w:shd w:val="clear" w:color="auto" w:fill="B8B8B8"/>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5480" w:type="dxa"/>
            <w:vAlign w:val="bottom"/>
            <w:shd w:val="clear" w:color="auto" w:fill="B8B8B8"/>
          </w:tcPr>
          <w:p>
            <w:pPr>
              <w:spacing w:after="0"/>
              <w:rPr>
                <w:sz w:val="23"/>
                <w:szCs w:val="23"/>
                <w:color w:val="auto"/>
              </w:rPr>
            </w:pPr>
          </w:p>
        </w:tc>
        <w:tc>
          <w:tcPr>
            <w:tcW w:w="220" w:type="dxa"/>
            <w:vAlign w:val="bottom"/>
            <w:shd w:val="clear" w:color="auto" w:fill="B8B8B8"/>
          </w:tcPr>
          <w:p>
            <w:pPr>
              <w:spacing w:after="0"/>
              <w:rPr>
                <w:sz w:val="23"/>
                <w:szCs w:val="23"/>
                <w:color w:val="auto"/>
              </w:rPr>
            </w:pPr>
          </w:p>
        </w:tc>
        <w:tc>
          <w:tcPr>
            <w:tcW w:w="1320" w:type="dxa"/>
            <w:vAlign w:val="bottom"/>
            <w:shd w:val="clear" w:color="auto" w:fill="B8B8B8"/>
          </w:tcPr>
          <w:p>
            <w:pPr>
              <w:jc w:val="right"/>
              <w:ind w:right="141"/>
              <w:spacing w:after="0"/>
              <w:rPr>
                <w:sz w:val="20"/>
                <w:szCs w:val="20"/>
                <w:color w:val="auto"/>
              </w:rPr>
            </w:pPr>
            <w:r>
              <w:rPr>
                <w:rFonts w:ascii="Arial" w:cs="Arial" w:eastAsia="Arial" w:hAnsi="Arial"/>
                <w:sz w:val="16"/>
                <w:szCs w:val="16"/>
                <w:b w:val="1"/>
                <w:bCs w:val="1"/>
                <w:color w:val="FFFFFF"/>
              </w:rPr>
              <w:t>October 31,</w:t>
            </w:r>
          </w:p>
        </w:tc>
        <w:tc>
          <w:tcPr>
            <w:tcW w:w="240" w:type="dxa"/>
            <w:vAlign w:val="bottom"/>
            <w:shd w:val="clear" w:color="auto" w:fill="B8B8B8"/>
          </w:tcPr>
          <w:p>
            <w:pPr>
              <w:spacing w:after="0"/>
              <w:rPr>
                <w:sz w:val="23"/>
                <w:szCs w:val="23"/>
                <w:color w:val="auto"/>
              </w:rPr>
            </w:pPr>
          </w:p>
        </w:tc>
        <w:tc>
          <w:tcPr>
            <w:tcW w:w="1620" w:type="dxa"/>
            <w:vAlign w:val="bottom"/>
            <w:shd w:val="clear" w:color="auto" w:fill="B8B8B8"/>
          </w:tcPr>
          <w:p>
            <w:pPr>
              <w:jc w:val="right"/>
              <w:ind w:right="261"/>
              <w:spacing w:after="0"/>
              <w:rPr>
                <w:sz w:val="20"/>
                <w:szCs w:val="20"/>
                <w:color w:val="auto"/>
              </w:rPr>
            </w:pPr>
            <w:r>
              <w:rPr>
                <w:rFonts w:ascii="Arial" w:cs="Arial" w:eastAsia="Arial" w:hAnsi="Arial"/>
                <w:sz w:val="16"/>
                <w:szCs w:val="16"/>
                <w:b w:val="1"/>
                <w:bCs w:val="1"/>
                <w:color w:val="FFFFFF"/>
              </w:rPr>
              <w:t>November 1,</w:t>
            </w:r>
          </w:p>
        </w:tc>
        <w:tc>
          <w:tcPr>
            <w:tcW w:w="220" w:type="dxa"/>
            <w:vAlign w:val="bottom"/>
            <w:shd w:val="clear" w:color="auto" w:fill="B8B8B8"/>
          </w:tcPr>
          <w:p>
            <w:pPr>
              <w:spacing w:after="0"/>
              <w:rPr>
                <w:sz w:val="23"/>
                <w:szCs w:val="23"/>
                <w:color w:val="auto"/>
              </w:rPr>
            </w:pPr>
          </w:p>
        </w:tc>
        <w:tc>
          <w:tcPr>
            <w:tcW w:w="1680" w:type="dxa"/>
            <w:vAlign w:val="bottom"/>
            <w:shd w:val="clear" w:color="auto" w:fill="B8B8B8"/>
          </w:tcPr>
          <w:p>
            <w:pPr>
              <w:jc w:val="right"/>
              <w:ind w:right="301"/>
              <w:spacing w:after="0"/>
              <w:rPr>
                <w:sz w:val="20"/>
                <w:szCs w:val="20"/>
                <w:color w:val="auto"/>
              </w:rPr>
            </w:pPr>
            <w:r>
              <w:rPr>
                <w:rFonts w:ascii="Arial" w:cs="Arial" w:eastAsia="Arial" w:hAnsi="Arial"/>
                <w:sz w:val="16"/>
                <w:szCs w:val="16"/>
                <w:b w:val="1"/>
                <w:bCs w:val="1"/>
                <w:color w:val="FFFFFF"/>
              </w:rPr>
              <w:t>November 3,</w:t>
            </w:r>
          </w:p>
        </w:tc>
        <w:tc>
          <w:tcPr>
            <w:tcW w:w="0" w:type="dxa"/>
            <w:vAlign w:val="bottom"/>
          </w:tcPr>
          <w:p>
            <w:pPr>
              <w:spacing w:after="0"/>
              <w:rPr>
                <w:sz w:val="1"/>
                <w:szCs w:val="1"/>
                <w:color w:val="auto"/>
              </w:rPr>
            </w:pPr>
          </w:p>
        </w:tc>
      </w:tr>
      <w:tr>
        <w:trPr>
          <w:trHeight w:val="215"/>
        </w:trPr>
        <w:tc>
          <w:tcPr>
            <w:tcW w:w="5480" w:type="dxa"/>
            <w:vAlign w:val="bottom"/>
            <w:tcBorders>
              <w:bottom w:val="single" w:sz="8" w:color="CC092F"/>
            </w:tcBorders>
            <w:shd w:val="clear" w:color="auto" w:fill="B8B8B8"/>
          </w:tcPr>
          <w:p>
            <w:pPr>
              <w:spacing w:after="0"/>
              <w:rPr>
                <w:sz w:val="18"/>
                <w:szCs w:val="18"/>
                <w:color w:val="auto"/>
              </w:rPr>
            </w:pPr>
          </w:p>
        </w:tc>
        <w:tc>
          <w:tcPr>
            <w:tcW w:w="220" w:type="dxa"/>
            <w:vAlign w:val="bottom"/>
            <w:tcBorders>
              <w:bottom w:val="single" w:sz="8" w:color="CC092F"/>
            </w:tcBorders>
            <w:shd w:val="clear" w:color="auto" w:fill="B8B8B8"/>
          </w:tcPr>
          <w:p>
            <w:pPr>
              <w:spacing w:after="0"/>
              <w:rPr>
                <w:sz w:val="18"/>
                <w:szCs w:val="18"/>
                <w:color w:val="auto"/>
              </w:rPr>
            </w:pPr>
          </w:p>
        </w:tc>
        <w:tc>
          <w:tcPr>
            <w:tcW w:w="1320" w:type="dxa"/>
            <w:vAlign w:val="bottom"/>
            <w:tcBorders>
              <w:bottom w:val="single" w:sz="8" w:color="CC092F"/>
            </w:tcBorders>
            <w:shd w:val="clear" w:color="auto" w:fill="B8B8B8"/>
          </w:tcPr>
          <w:p>
            <w:pPr>
              <w:jc w:val="right"/>
              <w:ind w:right="381"/>
              <w:spacing w:after="0"/>
              <w:rPr>
                <w:sz w:val="20"/>
                <w:szCs w:val="20"/>
                <w:color w:val="auto"/>
              </w:rPr>
            </w:pPr>
            <w:r>
              <w:rPr>
                <w:rFonts w:ascii="Arial" w:cs="Arial" w:eastAsia="Arial" w:hAnsi="Arial"/>
                <w:sz w:val="16"/>
                <w:szCs w:val="16"/>
                <w:b w:val="1"/>
                <w:bCs w:val="1"/>
                <w:color w:val="FFFFFF"/>
              </w:rPr>
              <w:t>2021</w:t>
            </w:r>
          </w:p>
        </w:tc>
        <w:tc>
          <w:tcPr>
            <w:tcW w:w="240" w:type="dxa"/>
            <w:vAlign w:val="bottom"/>
            <w:tcBorders>
              <w:bottom w:val="single" w:sz="8" w:color="CC092F"/>
            </w:tcBorders>
            <w:shd w:val="clear" w:color="auto" w:fill="B8B8B8"/>
          </w:tcPr>
          <w:p>
            <w:pPr>
              <w:spacing w:after="0"/>
              <w:rPr>
                <w:sz w:val="18"/>
                <w:szCs w:val="18"/>
                <w:color w:val="auto"/>
              </w:rPr>
            </w:pPr>
          </w:p>
        </w:tc>
        <w:tc>
          <w:tcPr>
            <w:tcW w:w="1620" w:type="dxa"/>
            <w:vAlign w:val="bottom"/>
            <w:tcBorders>
              <w:bottom w:val="single" w:sz="8" w:color="CC092F"/>
            </w:tcBorders>
            <w:shd w:val="clear" w:color="auto" w:fill="B8B8B8"/>
          </w:tcPr>
          <w:p>
            <w:pPr>
              <w:jc w:val="right"/>
              <w:ind w:right="541"/>
              <w:spacing w:after="0"/>
              <w:rPr>
                <w:sz w:val="20"/>
                <w:szCs w:val="20"/>
                <w:color w:val="auto"/>
              </w:rPr>
            </w:pPr>
            <w:r>
              <w:rPr>
                <w:rFonts w:ascii="Arial" w:cs="Arial" w:eastAsia="Arial" w:hAnsi="Arial"/>
                <w:sz w:val="16"/>
                <w:szCs w:val="16"/>
                <w:b w:val="1"/>
                <w:bCs w:val="1"/>
                <w:color w:val="FFFFFF"/>
              </w:rPr>
              <w:t>2020</w:t>
            </w:r>
          </w:p>
        </w:tc>
        <w:tc>
          <w:tcPr>
            <w:tcW w:w="220" w:type="dxa"/>
            <w:vAlign w:val="bottom"/>
            <w:tcBorders>
              <w:bottom w:val="single" w:sz="8" w:color="CC092F"/>
            </w:tcBorders>
            <w:shd w:val="clear" w:color="auto" w:fill="B8B8B8"/>
          </w:tcPr>
          <w:p>
            <w:pPr>
              <w:spacing w:after="0"/>
              <w:rPr>
                <w:sz w:val="18"/>
                <w:szCs w:val="18"/>
                <w:color w:val="auto"/>
              </w:rPr>
            </w:pPr>
          </w:p>
        </w:tc>
        <w:tc>
          <w:tcPr>
            <w:tcW w:w="1680" w:type="dxa"/>
            <w:vAlign w:val="bottom"/>
            <w:tcBorders>
              <w:bottom w:val="single" w:sz="8" w:color="CC092F"/>
            </w:tcBorders>
            <w:shd w:val="clear" w:color="auto" w:fill="B8B8B8"/>
          </w:tcPr>
          <w:p>
            <w:pPr>
              <w:jc w:val="right"/>
              <w:ind w:right="601"/>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281"/>
              <w:spacing w:after="0"/>
              <w:rPr>
                <w:sz w:val="20"/>
                <w:szCs w:val="20"/>
                <w:color w:val="auto"/>
              </w:rPr>
            </w:pPr>
            <w:r>
              <w:rPr>
                <w:rFonts w:ascii="Arial" w:cs="Arial" w:eastAsia="Arial" w:hAnsi="Arial"/>
                <w:sz w:val="16"/>
                <w:szCs w:val="16"/>
                <w:color w:val="242424"/>
              </w:rPr>
              <w:t>(in millions)</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80" w:type="dxa"/>
            <w:vAlign w:val="bottom"/>
          </w:tcPr>
          <w:p>
            <w:pPr>
              <w:ind w:left="20"/>
              <w:spacing w:after="0"/>
              <w:rPr>
                <w:sz w:val="20"/>
                <w:szCs w:val="20"/>
                <w:color w:val="auto"/>
              </w:rPr>
            </w:pPr>
            <w:r>
              <w:rPr>
                <w:rFonts w:ascii="Arial" w:cs="Arial" w:eastAsia="Arial" w:hAnsi="Arial"/>
                <w:sz w:val="16"/>
                <w:szCs w:val="16"/>
                <w:color w:val="242424"/>
              </w:rPr>
              <w:t>Operating income on GAAP basis</w:t>
            </w:r>
          </w:p>
        </w:tc>
        <w:tc>
          <w:tcPr>
            <w:tcW w:w="220" w:type="dxa"/>
            <w:vAlign w:val="bottom"/>
          </w:tcPr>
          <w:p>
            <w:pPr>
              <w:jc w:val="right"/>
              <w:spacing w:after="0"/>
              <w:rPr>
                <w:sz w:val="20"/>
                <w:szCs w:val="20"/>
                <w:color w:val="auto"/>
              </w:rPr>
            </w:pPr>
            <w:r>
              <w:rPr>
                <w:rFonts w:ascii="Arial" w:cs="Arial" w:eastAsia="Arial" w:hAnsi="Arial"/>
                <w:sz w:val="16"/>
                <w:szCs w:val="16"/>
                <w:color w:val="242424"/>
              </w:rPr>
              <w:t>$</w:t>
            </w:r>
          </w:p>
        </w:tc>
        <w:tc>
          <w:tcPr>
            <w:tcW w:w="1320" w:type="dxa"/>
            <w:vAlign w:val="bottom"/>
          </w:tcPr>
          <w:p>
            <w:pPr>
              <w:jc w:val="right"/>
              <w:ind w:right="61"/>
              <w:spacing w:after="0"/>
              <w:rPr>
                <w:sz w:val="20"/>
                <w:szCs w:val="20"/>
                <w:color w:val="auto"/>
              </w:rPr>
            </w:pPr>
            <w:r>
              <w:rPr>
                <w:rFonts w:ascii="Arial" w:cs="Arial" w:eastAsia="Arial" w:hAnsi="Arial"/>
                <w:sz w:val="16"/>
                <w:szCs w:val="16"/>
                <w:color w:val="242424"/>
              </w:rPr>
              <w:t>8,519</w:t>
            </w:r>
          </w:p>
        </w:tc>
        <w:tc>
          <w:tcPr>
            <w:tcW w:w="240" w:type="dxa"/>
            <w:vAlign w:val="bottom"/>
          </w:tcPr>
          <w:p>
            <w:pPr>
              <w:jc w:val="right"/>
              <w:spacing w:after="0"/>
              <w:rPr>
                <w:sz w:val="20"/>
                <w:szCs w:val="20"/>
                <w:color w:val="auto"/>
              </w:rPr>
            </w:pPr>
            <w:r>
              <w:rPr>
                <w:rFonts w:ascii="Arial" w:cs="Arial" w:eastAsia="Arial" w:hAnsi="Arial"/>
                <w:sz w:val="16"/>
                <w:szCs w:val="16"/>
                <w:color w:val="242424"/>
              </w:rPr>
              <w:t>$</w:t>
            </w:r>
          </w:p>
        </w:tc>
        <w:tc>
          <w:tcPr>
            <w:tcW w:w="1620" w:type="dxa"/>
            <w:vAlign w:val="bottom"/>
          </w:tcPr>
          <w:p>
            <w:pPr>
              <w:jc w:val="right"/>
              <w:ind w:right="61"/>
              <w:spacing w:after="0"/>
              <w:rPr>
                <w:sz w:val="20"/>
                <w:szCs w:val="20"/>
                <w:color w:val="auto"/>
              </w:rPr>
            </w:pPr>
            <w:r>
              <w:rPr>
                <w:rFonts w:ascii="Arial" w:cs="Arial" w:eastAsia="Arial" w:hAnsi="Arial"/>
                <w:sz w:val="16"/>
                <w:szCs w:val="16"/>
                <w:color w:val="242424"/>
              </w:rPr>
              <w:t>4,014</w:t>
            </w:r>
          </w:p>
        </w:tc>
        <w:tc>
          <w:tcPr>
            <w:tcW w:w="220" w:type="dxa"/>
            <w:vAlign w:val="bottom"/>
          </w:tcPr>
          <w:p>
            <w:pPr>
              <w:jc w:val="right"/>
              <w:ind w:right="1"/>
              <w:spacing w:after="0"/>
              <w:rPr>
                <w:sz w:val="20"/>
                <w:szCs w:val="20"/>
                <w:color w:val="auto"/>
              </w:rPr>
            </w:pPr>
            <w:r>
              <w:rPr>
                <w:rFonts w:ascii="Arial" w:cs="Arial" w:eastAsia="Arial" w:hAnsi="Arial"/>
                <w:sz w:val="16"/>
                <w:szCs w:val="16"/>
                <w:color w:val="242424"/>
              </w:rPr>
              <w:t>$</w:t>
            </w:r>
          </w:p>
        </w:tc>
        <w:tc>
          <w:tcPr>
            <w:tcW w:w="1680" w:type="dxa"/>
            <w:vAlign w:val="bottom"/>
          </w:tcPr>
          <w:p>
            <w:pPr>
              <w:jc w:val="right"/>
              <w:ind w:right="61"/>
              <w:spacing w:after="0"/>
              <w:rPr>
                <w:sz w:val="20"/>
                <w:szCs w:val="20"/>
                <w:color w:val="auto"/>
              </w:rPr>
            </w:pPr>
            <w:r>
              <w:rPr>
                <w:rFonts w:ascii="Arial" w:cs="Arial" w:eastAsia="Arial" w:hAnsi="Arial"/>
                <w:sz w:val="16"/>
                <w:szCs w:val="16"/>
                <w:color w:val="242424"/>
              </w:rPr>
              <w:t>3,444</w:t>
            </w:r>
          </w:p>
        </w:tc>
        <w:tc>
          <w:tcPr>
            <w:tcW w:w="0" w:type="dxa"/>
            <w:vAlign w:val="bottom"/>
          </w:tcPr>
          <w:p>
            <w:pPr>
              <w:spacing w:after="0"/>
              <w:rPr>
                <w:sz w:val="1"/>
                <w:szCs w:val="1"/>
                <w:color w:val="auto"/>
              </w:rPr>
            </w:pPr>
          </w:p>
        </w:tc>
      </w:tr>
      <w:tr>
        <w:trPr>
          <w:trHeight w:val="212"/>
        </w:trPr>
        <w:tc>
          <w:tcPr>
            <w:tcW w:w="5480" w:type="dxa"/>
            <w:vAlign w:val="bottom"/>
          </w:tcPr>
          <w:p>
            <w:pPr>
              <w:ind w:left="180"/>
              <w:spacing w:after="0"/>
              <w:rPr>
                <w:sz w:val="20"/>
                <w:szCs w:val="20"/>
                <w:color w:val="auto"/>
              </w:rPr>
            </w:pPr>
            <w:r>
              <w:rPr>
                <w:rFonts w:ascii="Arial" w:cs="Arial" w:eastAsia="Arial" w:hAnsi="Arial"/>
                <w:sz w:val="16"/>
                <w:szCs w:val="16"/>
                <w:color w:val="242424"/>
              </w:rPr>
              <w:t>Purchase accounting effect on inventory</w:t>
            </w:r>
          </w:p>
        </w:tc>
        <w:tc>
          <w:tcPr>
            <w:tcW w:w="220" w:type="dxa"/>
            <w:vAlign w:val="bottom"/>
          </w:tcPr>
          <w:p>
            <w:pPr>
              <w:spacing w:after="0"/>
              <w:rPr>
                <w:sz w:val="18"/>
                <w:szCs w:val="18"/>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242424"/>
              </w:rPr>
              <w:t>—</w:t>
            </w:r>
          </w:p>
        </w:tc>
        <w:tc>
          <w:tcPr>
            <w:tcW w:w="240" w:type="dxa"/>
            <w:vAlign w:val="bottom"/>
          </w:tcPr>
          <w:p>
            <w:pPr>
              <w:spacing w:after="0"/>
              <w:rPr>
                <w:sz w:val="18"/>
                <w:szCs w:val="18"/>
                <w:color w:val="auto"/>
              </w:rPr>
            </w:pPr>
          </w:p>
        </w:tc>
        <w:tc>
          <w:tcPr>
            <w:tcW w:w="1620" w:type="dxa"/>
            <w:vAlign w:val="bottom"/>
          </w:tcPr>
          <w:p>
            <w:pPr>
              <w:jc w:val="right"/>
              <w:ind w:right="61"/>
              <w:spacing w:after="0"/>
              <w:rPr>
                <w:sz w:val="20"/>
                <w:szCs w:val="20"/>
                <w:color w:val="auto"/>
              </w:rPr>
            </w:pPr>
            <w:r>
              <w:rPr>
                <w:rFonts w:ascii="Arial" w:cs="Arial" w:eastAsia="Arial" w:hAnsi="Arial"/>
                <w:sz w:val="16"/>
                <w:szCs w:val="16"/>
                <w:color w:val="242424"/>
              </w:rPr>
              <w:t>11</w:t>
            </w:r>
          </w:p>
        </w:tc>
        <w:tc>
          <w:tcPr>
            <w:tcW w:w="220" w:type="dxa"/>
            <w:vAlign w:val="bottom"/>
          </w:tcPr>
          <w:p>
            <w:pPr>
              <w:spacing w:after="0"/>
              <w:rPr>
                <w:sz w:val="18"/>
                <w:szCs w:val="18"/>
                <w:color w:val="auto"/>
              </w:rPr>
            </w:pPr>
          </w:p>
        </w:tc>
        <w:tc>
          <w:tcPr>
            <w:tcW w:w="1680" w:type="dxa"/>
            <w:vAlign w:val="bottom"/>
          </w:tcPr>
          <w:p>
            <w:pPr>
              <w:jc w:val="right"/>
              <w:ind w:right="61"/>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2"/>
        </w:trPr>
        <w:tc>
          <w:tcPr>
            <w:tcW w:w="5480" w:type="dxa"/>
            <w:vAlign w:val="bottom"/>
          </w:tcPr>
          <w:p>
            <w:pPr>
              <w:ind w:left="180"/>
              <w:spacing w:after="0"/>
              <w:rPr>
                <w:sz w:val="20"/>
                <w:szCs w:val="20"/>
                <w:color w:val="auto"/>
              </w:rPr>
            </w:pPr>
            <w:r>
              <w:rPr>
                <w:rFonts w:ascii="Arial" w:cs="Arial" w:eastAsia="Arial" w:hAnsi="Arial"/>
                <w:sz w:val="16"/>
                <w:szCs w:val="16"/>
                <w:color w:val="242424"/>
              </w:rPr>
              <w:t>Amortization of acquisition-related intangible assets</w:t>
            </w:r>
          </w:p>
        </w:tc>
        <w:tc>
          <w:tcPr>
            <w:tcW w:w="220" w:type="dxa"/>
            <w:vAlign w:val="bottom"/>
          </w:tcPr>
          <w:p>
            <w:pPr>
              <w:spacing w:after="0"/>
              <w:rPr>
                <w:sz w:val="18"/>
                <w:szCs w:val="18"/>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242424"/>
              </w:rPr>
              <w:t>5,403</w:t>
            </w:r>
          </w:p>
        </w:tc>
        <w:tc>
          <w:tcPr>
            <w:tcW w:w="240" w:type="dxa"/>
            <w:vAlign w:val="bottom"/>
          </w:tcPr>
          <w:p>
            <w:pPr>
              <w:spacing w:after="0"/>
              <w:rPr>
                <w:sz w:val="18"/>
                <w:szCs w:val="18"/>
                <w:color w:val="auto"/>
              </w:rPr>
            </w:pPr>
          </w:p>
        </w:tc>
        <w:tc>
          <w:tcPr>
            <w:tcW w:w="1620" w:type="dxa"/>
            <w:vAlign w:val="bottom"/>
          </w:tcPr>
          <w:p>
            <w:pPr>
              <w:jc w:val="right"/>
              <w:ind w:right="61"/>
              <w:spacing w:after="0"/>
              <w:rPr>
                <w:sz w:val="20"/>
                <w:szCs w:val="20"/>
                <w:color w:val="auto"/>
              </w:rPr>
            </w:pPr>
            <w:r>
              <w:rPr>
                <w:rFonts w:ascii="Arial" w:cs="Arial" w:eastAsia="Arial" w:hAnsi="Arial"/>
                <w:sz w:val="16"/>
                <w:szCs w:val="16"/>
                <w:color w:val="242424"/>
              </w:rPr>
              <w:t>6,220</w:t>
            </w:r>
          </w:p>
        </w:tc>
        <w:tc>
          <w:tcPr>
            <w:tcW w:w="220" w:type="dxa"/>
            <w:vAlign w:val="bottom"/>
          </w:tcPr>
          <w:p>
            <w:pPr>
              <w:spacing w:after="0"/>
              <w:rPr>
                <w:sz w:val="18"/>
                <w:szCs w:val="18"/>
                <w:color w:val="auto"/>
              </w:rPr>
            </w:pPr>
          </w:p>
        </w:tc>
        <w:tc>
          <w:tcPr>
            <w:tcW w:w="1680" w:type="dxa"/>
            <w:vAlign w:val="bottom"/>
          </w:tcPr>
          <w:p>
            <w:pPr>
              <w:jc w:val="right"/>
              <w:ind w:right="61"/>
              <w:spacing w:after="0"/>
              <w:rPr>
                <w:sz w:val="20"/>
                <w:szCs w:val="20"/>
                <w:color w:val="auto"/>
              </w:rPr>
            </w:pPr>
            <w:r>
              <w:rPr>
                <w:rFonts w:ascii="Arial" w:cs="Arial" w:eastAsia="Arial" w:hAnsi="Arial"/>
                <w:sz w:val="16"/>
                <w:szCs w:val="16"/>
                <w:color w:val="242424"/>
              </w:rPr>
              <w:t>5,212</w:t>
            </w:r>
          </w:p>
        </w:tc>
        <w:tc>
          <w:tcPr>
            <w:tcW w:w="0" w:type="dxa"/>
            <w:vAlign w:val="bottom"/>
          </w:tcPr>
          <w:p>
            <w:pPr>
              <w:spacing w:after="0"/>
              <w:rPr>
                <w:sz w:val="1"/>
                <w:szCs w:val="1"/>
                <w:color w:val="auto"/>
              </w:rPr>
            </w:pPr>
          </w:p>
        </w:tc>
      </w:tr>
      <w:tr>
        <w:trPr>
          <w:trHeight w:val="212"/>
        </w:trPr>
        <w:tc>
          <w:tcPr>
            <w:tcW w:w="5480" w:type="dxa"/>
            <w:vAlign w:val="bottom"/>
          </w:tcPr>
          <w:p>
            <w:pPr>
              <w:ind w:left="180"/>
              <w:spacing w:after="0"/>
              <w:rPr>
                <w:sz w:val="20"/>
                <w:szCs w:val="20"/>
                <w:color w:val="auto"/>
              </w:rPr>
            </w:pPr>
            <w:r>
              <w:rPr>
                <w:rFonts w:ascii="Arial" w:cs="Arial" w:eastAsia="Arial" w:hAnsi="Arial"/>
                <w:sz w:val="16"/>
                <w:szCs w:val="16"/>
                <w:color w:val="242424"/>
              </w:rPr>
              <w:t>Stock-based compensation expense</w:t>
            </w:r>
          </w:p>
        </w:tc>
        <w:tc>
          <w:tcPr>
            <w:tcW w:w="220" w:type="dxa"/>
            <w:vAlign w:val="bottom"/>
          </w:tcPr>
          <w:p>
            <w:pPr>
              <w:spacing w:after="0"/>
              <w:rPr>
                <w:sz w:val="18"/>
                <w:szCs w:val="18"/>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242424"/>
              </w:rPr>
              <w:t>1,704</w:t>
            </w:r>
          </w:p>
        </w:tc>
        <w:tc>
          <w:tcPr>
            <w:tcW w:w="240" w:type="dxa"/>
            <w:vAlign w:val="bottom"/>
          </w:tcPr>
          <w:p>
            <w:pPr>
              <w:spacing w:after="0"/>
              <w:rPr>
                <w:sz w:val="18"/>
                <w:szCs w:val="18"/>
                <w:color w:val="auto"/>
              </w:rPr>
            </w:pPr>
          </w:p>
        </w:tc>
        <w:tc>
          <w:tcPr>
            <w:tcW w:w="1620" w:type="dxa"/>
            <w:vAlign w:val="bottom"/>
          </w:tcPr>
          <w:p>
            <w:pPr>
              <w:jc w:val="right"/>
              <w:ind w:right="61"/>
              <w:spacing w:after="0"/>
              <w:rPr>
                <w:sz w:val="20"/>
                <w:szCs w:val="20"/>
                <w:color w:val="auto"/>
              </w:rPr>
            </w:pPr>
            <w:r>
              <w:rPr>
                <w:rFonts w:ascii="Arial" w:cs="Arial" w:eastAsia="Arial" w:hAnsi="Arial"/>
                <w:sz w:val="16"/>
                <w:szCs w:val="16"/>
                <w:color w:val="242424"/>
              </w:rPr>
              <w:t>1,976</w:t>
            </w:r>
          </w:p>
        </w:tc>
        <w:tc>
          <w:tcPr>
            <w:tcW w:w="220" w:type="dxa"/>
            <w:vAlign w:val="bottom"/>
          </w:tcPr>
          <w:p>
            <w:pPr>
              <w:spacing w:after="0"/>
              <w:rPr>
                <w:sz w:val="18"/>
                <w:szCs w:val="18"/>
                <w:color w:val="auto"/>
              </w:rPr>
            </w:pPr>
          </w:p>
        </w:tc>
        <w:tc>
          <w:tcPr>
            <w:tcW w:w="1680" w:type="dxa"/>
            <w:vAlign w:val="bottom"/>
          </w:tcPr>
          <w:p>
            <w:pPr>
              <w:jc w:val="right"/>
              <w:ind w:right="61"/>
              <w:spacing w:after="0"/>
              <w:rPr>
                <w:sz w:val="20"/>
                <w:szCs w:val="20"/>
                <w:color w:val="auto"/>
              </w:rPr>
            </w:pPr>
            <w:r>
              <w:rPr>
                <w:rFonts w:ascii="Arial" w:cs="Arial" w:eastAsia="Arial" w:hAnsi="Arial"/>
                <w:sz w:val="16"/>
                <w:szCs w:val="16"/>
                <w:color w:val="242424"/>
              </w:rPr>
              <w:t>2,185</w:t>
            </w:r>
          </w:p>
        </w:tc>
        <w:tc>
          <w:tcPr>
            <w:tcW w:w="0" w:type="dxa"/>
            <w:vAlign w:val="bottom"/>
          </w:tcPr>
          <w:p>
            <w:pPr>
              <w:spacing w:after="0"/>
              <w:rPr>
                <w:sz w:val="1"/>
                <w:szCs w:val="1"/>
                <w:color w:val="auto"/>
              </w:rPr>
            </w:pPr>
          </w:p>
        </w:tc>
      </w:tr>
      <w:tr>
        <w:trPr>
          <w:trHeight w:val="212"/>
        </w:trPr>
        <w:tc>
          <w:tcPr>
            <w:tcW w:w="5480" w:type="dxa"/>
            <w:vAlign w:val="bottom"/>
          </w:tcPr>
          <w:p>
            <w:pPr>
              <w:ind w:left="180"/>
              <w:spacing w:after="0"/>
              <w:rPr>
                <w:sz w:val="20"/>
                <w:szCs w:val="20"/>
                <w:color w:val="auto"/>
              </w:rPr>
            </w:pPr>
            <w:r>
              <w:rPr>
                <w:rFonts w:ascii="Arial" w:cs="Arial" w:eastAsia="Arial" w:hAnsi="Arial"/>
                <w:sz w:val="16"/>
                <w:szCs w:val="16"/>
                <w:color w:val="242424"/>
              </w:rPr>
              <w:t>Restructuring, impairment and disposal charges</w:t>
            </w:r>
          </w:p>
        </w:tc>
        <w:tc>
          <w:tcPr>
            <w:tcW w:w="220" w:type="dxa"/>
            <w:vAlign w:val="bottom"/>
          </w:tcPr>
          <w:p>
            <w:pPr>
              <w:spacing w:after="0"/>
              <w:rPr>
                <w:sz w:val="18"/>
                <w:szCs w:val="18"/>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242424"/>
              </w:rPr>
              <w:t>165</w:t>
            </w:r>
          </w:p>
        </w:tc>
        <w:tc>
          <w:tcPr>
            <w:tcW w:w="240" w:type="dxa"/>
            <w:vAlign w:val="bottom"/>
          </w:tcPr>
          <w:p>
            <w:pPr>
              <w:spacing w:after="0"/>
              <w:rPr>
                <w:sz w:val="18"/>
                <w:szCs w:val="18"/>
                <w:color w:val="auto"/>
              </w:rPr>
            </w:pPr>
          </w:p>
        </w:tc>
        <w:tc>
          <w:tcPr>
            <w:tcW w:w="1620" w:type="dxa"/>
            <w:vAlign w:val="bottom"/>
          </w:tcPr>
          <w:p>
            <w:pPr>
              <w:jc w:val="right"/>
              <w:ind w:right="61"/>
              <w:spacing w:after="0"/>
              <w:rPr>
                <w:sz w:val="20"/>
                <w:szCs w:val="20"/>
                <w:color w:val="auto"/>
              </w:rPr>
            </w:pPr>
            <w:r>
              <w:rPr>
                <w:rFonts w:ascii="Arial" w:cs="Arial" w:eastAsia="Arial" w:hAnsi="Arial"/>
                <w:sz w:val="16"/>
                <w:szCs w:val="16"/>
                <w:color w:val="242424"/>
              </w:rPr>
              <w:t>233</w:t>
            </w:r>
          </w:p>
        </w:tc>
        <w:tc>
          <w:tcPr>
            <w:tcW w:w="220" w:type="dxa"/>
            <w:vAlign w:val="bottom"/>
          </w:tcPr>
          <w:p>
            <w:pPr>
              <w:spacing w:after="0"/>
              <w:rPr>
                <w:sz w:val="18"/>
                <w:szCs w:val="18"/>
                <w:color w:val="auto"/>
              </w:rPr>
            </w:pPr>
          </w:p>
        </w:tc>
        <w:tc>
          <w:tcPr>
            <w:tcW w:w="1680" w:type="dxa"/>
            <w:vAlign w:val="bottom"/>
          </w:tcPr>
          <w:p>
            <w:pPr>
              <w:jc w:val="right"/>
              <w:ind w:right="61"/>
              <w:spacing w:after="0"/>
              <w:rPr>
                <w:sz w:val="20"/>
                <w:szCs w:val="20"/>
                <w:color w:val="auto"/>
              </w:rPr>
            </w:pPr>
            <w:r>
              <w:rPr>
                <w:rFonts w:ascii="Arial" w:cs="Arial" w:eastAsia="Arial" w:hAnsi="Arial"/>
                <w:sz w:val="16"/>
                <w:szCs w:val="16"/>
                <w:color w:val="242424"/>
              </w:rPr>
              <w:t>813</w:t>
            </w:r>
          </w:p>
        </w:tc>
        <w:tc>
          <w:tcPr>
            <w:tcW w:w="0" w:type="dxa"/>
            <w:vAlign w:val="bottom"/>
          </w:tcPr>
          <w:p>
            <w:pPr>
              <w:spacing w:after="0"/>
              <w:rPr>
                <w:sz w:val="1"/>
                <w:szCs w:val="1"/>
                <w:color w:val="auto"/>
              </w:rPr>
            </w:pPr>
          </w:p>
        </w:tc>
      </w:tr>
      <w:tr>
        <w:trPr>
          <w:trHeight w:val="212"/>
        </w:trPr>
        <w:tc>
          <w:tcPr>
            <w:tcW w:w="5480" w:type="dxa"/>
            <w:vAlign w:val="bottom"/>
          </w:tcPr>
          <w:p>
            <w:pPr>
              <w:ind w:left="180"/>
              <w:spacing w:after="0"/>
              <w:rPr>
                <w:sz w:val="20"/>
                <w:szCs w:val="20"/>
                <w:color w:val="auto"/>
              </w:rPr>
            </w:pPr>
            <w:r>
              <w:rPr>
                <w:rFonts w:ascii="Arial" w:cs="Arial" w:eastAsia="Arial" w:hAnsi="Arial"/>
                <w:sz w:val="16"/>
                <w:szCs w:val="16"/>
                <w:color w:val="242424"/>
              </w:rPr>
              <w:t>Litigation settlements</w:t>
            </w:r>
          </w:p>
        </w:tc>
        <w:tc>
          <w:tcPr>
            <w:tcW w:w="220" w:type="dxa"/>
            <w:vAlign w:val="bottom"/>
          </w:tcPr>
          <w:p>
            <w:pPr>
              <w:spacing w:after="0"/>
              <w:rPr>
                <w:sz w:val="18"/>
                <w:szCs w:val="18"/>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242424"/>
              </w:rPr>
              <w:t>1</w:t>
            </w:r>
          </w:p>
        </w:tc>
        <w:tc>
          <w:tcPr>
            <w:tcW w:w="240" w:type="dxa"/>
            <w:vAlign w:val="bottom"/>
          </w:tcPr>
          <w:p>
            <w:pPr>
              <w:spacing w:after="0"/>
              <w:rPr>
                <w:sz w:val="18"/>
                <w:szCs w:val="18"/>
                <w:color w:val="auto"/>
              </w:rPr>
            </w:pPr>
          </w:p>
        </w:tc>
        <w:tc>
          <w:tcPr>
            <w:tcW w:w="1620" w:type="dxa"/>
            <w:vAlign w:val="bottom"/>
          </w:tcPr>
          <w:p>
            <w:pPr>
              <w:jc w:val="right"/>
              <w:ind w:right="61"/>
              <w:spacing w:after="0"/>
              <w:rPr>
                <w:sz w:val="20"/>
                <w:szCs w:val="20"/>
                <w:color w:val="auto"/>
              </w:rPr>
            </w:pPr>
            <w:r>
              <w:rPr>
                <w:rFonts w:ascii="Arial" w:cs="Arial" w:eastAsia="Arial" w:hAnsi="Arial"/>
                <w:sz w:val="16"/>
                <w:szCs w:val="16"/>
                <w:color w:val="242424"/>
              </w:rPr>
              <w:t>63</w:t>
            </w:r>
          </w:p>
        </w:tc>
        <w:tc>
          <w:tcPr>
            <w:tcW w:w="220" w:type="dxa"/>
            <w:vAlign w:val="bottom"/>
          </w:tcPr>
          <w:p>
            <w:pPr>
              <w:spacing w:after="0"/>
              <w:rPr>
                <w:sz w:val="18"/>
                <w:szCs w:val="18"/>
                <w:color w:val="auto"/>
              </w:rPr>
            </w:pPr>
          </w:p>
        </w:tc>
        <w:tc>
          <w:tcPr>
            <w:tcW w:w="1680" w:type="dxa"/>
            <w:vAlign w:val="bottom"/>
          </w:tcPr>
          <w:p>
            <w:pPr>
              <w:jc w:val="right"/>
              <w:ind w:right="61"/>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2"/>
        </w:trPr>
        <w:tc>
          <w:tcPr>
            <w:tcW w:w="5480" w:type="dxa"/>
            <w:vAlign w:val="bottom"/>
          </w:tcPr>
          <w:p>
            <w:pPr>
              <w:ind w:left="180"/>
              <w:spacing w:after="0"/>
              <w:rPr>
                <w:sz w:val="20"/>
                <w:szCs w:val="20"/>
                <w:color w:val="auto"/>
              </w:rPr>
            </w:pPr>
            <w:r>
              <w:rPr>
                <w:rFonts w:ascii="Arial" w:cs="Arial" w:eastAsia="Arial" w:hAnsi="Arial"/>
                <w:sz w:val="16"/>
                <w:szCs w:val="16"/>
                <w:color w:val="242424"/>
              </w:rPr>
              <w:t>Acquisition-related costs</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242424"/>
              </w:rPr>
              <w:t>120</w:t>
            </w:r>
          </w:p>
        </w:tc>
        <w:tc>
          <w:tcPr>
            <w:tcW w:w="240" w:type="dxa"/>
            <w:vAlign w:val="bottom"/>
          </w:tcPr>
          <w:p>
            <w:pPr>
              <w:spacing w:after="0"/>
              <w:rPr>
                <w:sz w:val="18"/>
                <w:szCs w:val="18"/>
                <w:color w:val="auto"/>
              </w:rPr>
            </w:pPr>
          </w:p>
        </w:tc>
        <w:tc>
          <w:tcPr>
            <w:tcW w:w="1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242424"/>
              </w:rPr>
              <w:t>422</w:t>
            </w: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242424"/>
              </w:rPr>
              <w:t>275</w:t>
            </w: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Arial" w:cs="Arial" w:eastAsia="Arial" w:hAnsi="Arial"/>
                <w:sz w:val="16"/>
                <w:szCs w:val="16"/>
                <w:color w:val="242424"/>
              </w:rPr>
              <w:t>Operating income on non-GAAP basis</w:t>
            </w:r>
          </w:p>
        </w:tc>
        <w:tc>
          <w:tcPr>
            <w:tcW w:w="220" w:type="dxa"/>
            <w:vAlign w:val="bottom"/>
          </w:tcPr>
          <w:p>
            <w:pPr>
              <w:jc w:val="right"/>
              <w:spacing w:after="0"/>
              <w:rPr>
                <w:sz w:val="20"/>
                <w:szCs w:val="20"/>
                <w:color w:val="auto"/>
              </w:rPr>
            </w:pPr>
            <w:r>
              <w:rPr>
                <w:rFonts w:ascii="Arial" w:cs="Arial" w:eastAsia="Arial" w:hAnsi="Arial"/>
                <w:sz w:val="16"/>
                <w:szCs w:val="16"/>
                <w:color w:val="242424"/>
              </w:rPr>
              <w:t>$</w:t>
            </w: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242424"/>
              </w:rPr>
              <w:t>15,912</w:t>
            </w:r>
          </w:p>
        </w:tc>
        <w:tc>
          <w:tcPr>
            <w:tcW w:w="240" w:type="dxa"/>
            <w:vAlign w:val="bottom"/>
          </w:tcPr>
          <w:p>
            <w:pPr>
              <w:jc w:val="right"/>
              <w:spacing w:after="0"/>
              <w:rPr>
                <w:sz w:val="20"/>
                <w:szCs w:val="20"/>
                <w:color w:val="auto"/>
              </w:rPr>
            </w:pPr>
            <w:r>
              <w:rPr>
                <w:rFonts w:ascii="Arial" w:cs="Arial" w:eastAsia="Arial" w:hAnsi="Arial"/>
                <w:sz w:val="16"/>
                <w:szCs w:val="16"/>
                <w:color w:val="242424"/>
              </w:rPr>
              <w:t>$</w:t>
            </w:r>
          </w:p>
        </w:tc>
        <w:tc>
          <w:tcPr>
            <w:tcW w:w="1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242424"/>
              </w:rPr>
              <w:t>12,939</w:t>
            </w:r>
          </w:p>
        </w:tc>
        <w:tc>
          <w:tcPr>
            <w:tcW w:w="220" w:type="dxa"/>
            <w:vAlign w:val="bottom"/>
          </w:tcPr>
          <w:p>
            <w:pPr>
              <w:jc w:val="right"/>
              <w:ind w:right="1"/>
              <w:spacing w:after="0"/>
              <w:rPr>
                <w:sz w:val="20"/>
                <w:szCs w:val="20"/>
                <w:color w:val="auto"/>
              </w:rPr>
            </w:pPr>
            <w:r>
              <w:rPr>
                <w:rFonts w:ascii="Arial" w:cs="Arial" w:eastAsia="Arial" w:hAnsi="Arial"/>
                <w:sz w:val="16"/>
                <w:szCs w:val="16"/>
                <w:color w:val="242424"/>
              </w:rPr>
              <w:t>$</w:t>
            </w:r>
          </w:p>
        </w:tc>
        <w:tc>
          <w:tcPr>
            <w:tcW w:w="16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242424"/>
              </w:rPr>
              <w:t>11,929</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
              <w:spacing w:after="0"/>
              <w:rPr>
                <w:sz w:val="20"/>
                <w:szCs w:val="20"/>
                <w:color w:val="auto"/>
              </w:rPr>
            </w:pPr>
            <w:r>
              <w:rPr>
                <w:rFonts w:ascii="Arial" w:cs="Arial" w:eastAsia="Arial" w:hAnsi="Arial"/>
                <w:sz w:val="16"/>
                <w:szCs w:val="16"/>
                <w:color w:val="242424"/>
              </w:rPr>
              <w:t>Operating income on non-GAAP basis</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242424"/>
              </w:rPr>
              <w:t>$</w:t>
            </w: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242424"/>
              </w:rPr>
              <w:t>$</w:t>
            </w: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48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242424"/>
              </w:rPr>
              <w:t>15,912</w:t>
            </w:r>
          </w:p>
        </w:tc>
        <w:tc>
          <w:tcPr>
            <w:tcW w:w="240" w:type="dxa"/>
            <w:vAlign w:val="bottom"/>
            <w:vMerge w:val="continue"/>
          </w:tcPr>
          <w:p>
            <w:pPr>
              <w:spacing w:after="0"/>
              <w:rPr>
                <w:sz w:val="24"/>
                <w:szCs w:val="24"/>
                <w:color w:val="auto"/>
              </w:rPr>
            </w:pPr>
          </w:p>
        </w:tc>
        <w:tc>
          <w:tcPr>
            <w:tcW w:w="1620" w:type="dxa"/>
            <w:vAlign w:val="bottom"/>
          </w:tcPr>
          <w:p>
            <w:pPr>
              <w:jc w:val="right"/>
              <w:ind w:right="61"/>
              <w:spacing w:after="0"/>
              <w:rPr>
                <w:sz w:val="20"/>
                <w:szCs w:val="20"/>
                <w:color w:val="auto"/>
              </w:rPr>
            </w:pPr>
            <w:r>
              <w:rPr>
                <w:rFonts w:ascii="Arial" w:cs="Arial" w:eastAsia="Arial" w:hAnsi="Arial"/>
                <w:sz w:val="16"/>
                <w:szCs w:val="16"/>
                <w:color w:val="242424"/>
              </w:rPr>
              <w:t>12,939</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180"/>
              <w:spacing w:after="0"/>
              <w:rPr>
                <w:sz w:val="20"/>
                <w:szCs w:val="20"/>
                <w:color w:val="auto"/>
              </w:rPr>
            </w:pPr>
            <w:r>
              <w:rPr>
                <w:rFonts w:ascii="Arial" w:cs="Arial" w:eastAsia="Arial" w:hAnsi="Arial"/>
                <w:sz w:val="16"/>
                <w:szCs w:val="16"/>
                <w:color w:val="242424"/>
              </w:rPr>
              <w:t>Provisions or accruals for anticipated payouts under APB Plan</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242424"/>
              </w:rPr>
              <w:t>764</w:t>
            </w:r>
          </w:p>
        </w:tc>
        <w:tc>
          <w:tcPr>
            <w:tcW w:w="240" w:type="dxa"/>
            <w:vAlign w:val="bottom"/>
          </w:tcPr>
          <w:p>
            <w:pPr>
              <w:spacing w:after="0"/>
              <w:rPr>
                <w:sz w:val="18"/>
                <w:szCs w:val="18"/>
                <w:color w:val="auto"/>
              </w:rPr>
            </w:pPr>
          </w:p>
        </w:tc>
        <w:tc>
          <w:tcPr>
            <w:tcW w:w="1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242424"/>
              </w:rPr>
              <w:t>549</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80" w:type="dxa"/>
            <w:vAlign w:val="bottom"/>
          </w:tcPr>
          <w:p>
            <w:pPr>
              <w:ind w:left="20"/>
              <w:spacing w:after="0"/>
              <w:rPr>
                <w:sz w:val="20"/>
                <w:szCs w:val="20"/>
                <w:color w:val="auto"/>
              </w:rPr>
            </w:pPr>
            <w:r>
              <w:rPr>
                <w:rFonts w:ascii="Arial" w:cs="Arial" w:eastAsia="Arial" w:hAnsi="Arial"/>
                <w:sz w:val="16"/>
                <w:szCs w:val="16"/>
                <w:color w:val="242424"/>
              </w:rPr>
              <w:t>Adjusted Operating income on non-GAAP basis</w:t>
            </w:r>
          </w:p>
        </w:tc>
        <w:tc>
          <w:tcPr>
            <w:tcW w:w="220" w:type="dxa"/>
            <w:vAlign w:val="bottom"/>
          </w:tcPr>
          <w:p>
            <w:pPr>
              <w:jc w:val="right"/>
              <w:spacing w:after="0"/>
              <w:rPr>
                <w:sz w:val="20"/>
                <w:szCs w:val="20"/>
                <w:color w:val="auto"/>
              </w:rPr>
            </w:pPr>
            <w:r>
              <w:rPr>
                <w:rFonts w:ascii="Arial" w:cs="Arial" w:eastAsia="Arial" w:hAnsi="Arial"/>
                <w:sz w:val="16"/>
                <w:szCs w:val="16"/>
                <w:color w:val="242424"/>
              </w:rPr>
              <w:t>$</w:t>
            </w:r>
          </w:p>
        </w:tc>
        <w:tc>
          <w:tcPr>
            <w:tcW w:w="1320" w:type="dxa"/>
            <w:vAlign w:val="bottom"/>
          </w:tcPr>
          <w:p>
            <w:pPr>
              <w:jc w:val="right"/>
              <w:ind w:right="61"/>
              <w:spacing w:after="0"/>
              <w:rPr>
                <w:sz w:val="20"/>
                <w:szCs w:val="20"/>
                <w:color w:val="auto"/>
              </w:rPr>
            </w:pPr>
            <w:r>
              <w:rPr>
                <w:rFonts w:ascii="Arial" w:cs="Arial" w:eastAsia="Arial" w:hAnsi="Arial"/>
                <w:sz w:val="16"/>
                <w:szCs w:val="16"/>
                <w:color w:val="242424"/>
              </w:rPr>
              <w:t>16,676</w:t>
            </w:r>
          </w:p>
        </w:tc>
        <w:tc>
          <w:tcPr>
            <w:tcW w:w="240" w:type="dxa"/>
            <w:vAlign w:val="bottom"/>
          </w:tcPr>
          <w:p>
            <w:pPr>
              <w:jc w:val="right"/>
              <w:spacing w:after="0"/>
              <w:rPr>
                <w:sz w:val="20"/>
                <w:szCs w:val="20"/>
                <w:color w:val="auto"/>
              </w:rPr>
            </w:pPr>
            <w:r>
              <w:rPr>
                <w:rFonts w:ascii="Arial" w:cs="Arial" w:eastAsia="Arial" w:hAnsi="Arial"/>
                <w:sz w:val="16"/>
                <w:szCs w:val="16"/>
                <w:color w:val="242424"/>
              </w:rPr>
              <w:t>$</w:t>
            </w:r>
          </w:p>
        </w:tc>
        <w:tc>
          <w:tcPr>
            <w:tcW w:w="1620" w:type="dxa"/>
            <w:vAlign w:val="bottom"/>
          </w:tcPr>
          <w:p>
            <w:pPr>
              <w:jc w:val="right"/>
              <w:ind w:right="61"/>
              <w:spacing w:after="0"/>
              <w:rPr>
                <w:sz w:val="20"/>
                <w:szCs w:val="20"/>
                <w:color w:val="auto"/>
              </w:rPr>
            </w:pPr>
            <w:r>
              <w:rPr>
                <w:rFonts w:ascii="Arial" w:cs="Arial" w:eastAsia="Arial" w:hAnsi="Arial"/>
                <w:sz w:val="16"/>
                <w:szCs w:val="16"/>
                <w:color w:val="242424"/>
              </w:rPr>
              <w:t>13,488</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5480" w:type="dxa"/>
            <w:vAlign w:val="bottom"/>
          </w:tcPr>
          <w:p>
            <w:pPr>
              <w:ind w:left="20"/>
              <w:spacing w:after="0"/>
              <w:rPr>
                <w:sz w:val="20"/>
                <w:szCs w:val="20"/>
                <w:color w:val="auto"/>
              </w:rPr>
            </w:pPr>
            <w:r>
              <w:rPr>
                <w:rFonts w:ascii="Arial" w:cs="Arial" w:eastAsia="Arial" w:hAnsi="Arial"/>
                <w:sz w:val="16"/>
                <w:szCs w:val="16"/>
                <w:color w:val="242424"/>
              </w:rPr>
              <w:t>Net cash provided by operating activities</w:t>
            </w:r>
          </w:p>
        </w:tc>
        <w:tc>
          <w:tcPr>
            <w:tcW w:w="220" w:type="dxa"/>
            <w:vAlign w:val="bottom"/>
          </w:tcPr>
          <w:p>
            <w:pPr>
              <w:jc w:val="right"/>
              <w:spacing w:after="0"/>
              <w:rPr>
                <w:sz w:val="20"/>
                <w:szCs w:val="20"/>
                <w:color w:val="auto"/>
              </w:rPr>
            </w:pPr>
            <w:r>
              <w:rPr>
                <w:rFonts w:ascii="Arial" w:cs="Arial" w:eastAsia="Arial" w:hAnsi="Arial"/>
                <w:sz w:val="16"/>
                <w:szCs w:val="16"/>
                <w:color w:val="242424"/>
              </w:rPr>
              <w:t>$</w:t>
            </w:r>
          </w:p>
        </w:tc>
        <w:tc>
          <w:tcPr>
            <w:tcW w:w="1320" w:type="dxa"/>
            <w:vAlign w:val="bottom"/>
          </w:tcPr>
          <w:p>
            <w:pPr>
              <w:jc w:val="right"/>
              <w:ind w:right="61"/>
              <w:spacing w:after="0"/>
              <w:rPr>
                <w:sz w:val="20"/>
                <w:szCs w:val="20"/>
                <w:color w:val="auto"/>
              </w:rPr>
            </w:pPr>
            <w:r>
              <w:rPr>
                <w:rFonts w:ascii="Arial" w:cs="Arial" w:eastAsia="Arial" w:hAnsi="Arial"/>
                <w:sz w:val="16"/>
                <w:szCs w:val="16"/>
                <w:color w:val="242424"/>
              </w:rPr>
              <w:t>13,761</w:t>
            </w:r>
          </w:p>
        </w:tc>
        <w:tc>
          <w:tcPr>
            <w:tcW w:w="240" w:type="dxa"/>
            <w:vAlign w:val="bottom"/>
          </w:tcPr>
          <w:p>
            <w:pPr>
              <w:jc w:val="right"/>
              <w:spacing w:after="0"/>
              <w:rPr>
                <w:sz w:val="20"/>
                <w:szCs w:val="20"/>
                <w:color w:val="auto"/>
              </w:rPr>
            </w:pPr>
            <w:r>
              <w:rPr>
                <w:rFonts w:ascii="Arial" w:cs="Arial" w:eastAsia="Arial" w:hAnsi="Arial"/>
                <w:sz w:val="16"/>
                <w:szCs w:val="16"/>
                <w:color w:val="242424"/>
              </w:rPr>
              <w:t>$</w:t>
            </w:r>
          </w:p>
        </w:tc>
        <w:tc>
          <w:tcPr>
            <w:tcW w:w="1620" w:type="dxa"/>
            <w:vAlign w:val="bottom"/>
          </w:tcPr>
          <w:p>
            <w:pPr>
              <w:jc w:val="right"/>
              <w:ind w:right="61"/>
              <w:spacing w:after="0"/>
              <w:rPr>
                <w:sz w:val="20"/>
                <w:szCs w:val="20"/>
                <w:color w:val="auto"/>
              </w:rPr>
            </w:pPr>
            <w:r>
              <w:rPr>
                <w:rFonts w:ascii="Arial" w:cs="Arial" w:eastAsia="Arial" w:hAnsi="Arial"/>
                <w:sz w:val="16"/>
                <w:szCs w:val="16"/>
                <w:color w:val="242424"/>
              </w:rPr>
              <w:t>12,061</w:t>
            </w:r>
          </w:p>
        </w:tc>
        <w:tc>
          <w:tcPr>
            <w:tcW w:w="220" w:type="dxa"/>
            <w:vAlign w:val="bottom"/>
          </w:tcPr>
          <w:p>
            <w:pPr>
              <w:jc w:val="right"/>
              <w:ind w:right="1"/>
              <w:spacing w:after="0"/>
              <w:rPr>
                <w:sz w:val="20"/>
                <w:szCs w:val="20"/>
                <w:color w:val="auto"/>
              </w:rPr>
            </w:pPr>
            <w:r>
              <w:rPr>
                <w:rFonts w:ascii="Arial" w:cs="Arial" w:eastAsia="Arial" w:hAnsi="Arial"/>
                <w:sz w:val="16"/>
                <w:szCs w:val="16"/>
                <w:color w:val="242424"/>
              </w:rPr>
              <w:t>$</w:t>
            </w:r>
          </w:p>
        </w:tc>
        <w:tc>
          <w:tcPr>
            <w:tcW w:w="1680" w:type="dxa"/>
            <w:vAlign w:val="bottom"/>
          </w:tcPr>
          <w:p>
            <w:pPr>
              <w:jc w:val="right"/>
              <w:ind w:right="61"/>
              <w:spacing w:after="0"/>
              <w:rPr>
                <w:sz w:val="20"/>
                <w:szCs w:val="20"/>
                <w:color w:val="auto"/>
              </w:rPr>
            </w:pPr>
            <w:r>
              <w:rPr>
                <w:rFonts w:ascii="Arial" w:cs="Arial" w:eastAsia="Arial" w:hAnsi="Arial"/>
                <w:sz w:val="16"/>
                <w:szCs w:val="16"/>
                <w:color w:val="242424"/>
              </w:rPr>
              <w:t>9,697</w:t>
            </w:r>
          </w:p>
        </w:tc>
        <w:tc>
          <w:tcPr>
            <w:tcW w:w="0" w:type="dxa"/>
            <w:vAlign w:val="bottom"/>
          </w:tcPr>
          <w:p>
            <w:pPr>
              <w:spacing w:after="0"/>
              <w:rPr>
                <w:sz w:val="1"/>
                <w:szCs w:val="1"/>
                <w:color w:val="auto"/>
              </w:rPr>
            </w:pPr>
          </w:p>
        </w:tc>
      </w:tr>
      <w:tr>
        <w:trPr>
          <w:trHeight w:val="212"/>
        </w:trPr>
        <w:tc>
          <w:tcPr>
            <w:tcW w:w="5480" w:type="dxa"/>
            <w:vAlign w:val="bottom"/>
          </w:tcPr>
          <w:p>
            <w:pPr>
              <w:ind w:left="180"/>
              <w:spacing w:after="0"/>
              <w:rPr>
                <w:sz w:val="20"/>
                <w:szCs w:val="20"/>
                <w:color w:val="auto"/>
              </w:rPr>
            </w:pPr>
            <w:r>
              <w:rPr>
                <w:rFonts w:ascii="Arial" w:cs="Arial" w:eastAsia="Arial" w:hAnsi="Arial"/>
                <w:sz w:val="16"/>
                <w:szCs w:val="16"/>
                <w:color w:val="242424"/>
              </w:rPr>
              <w:t>Purchases of property, plant and equipment</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242424"/>
              </w:rPr>
              <w:t>(440)</w:t>
            </w:r>
          </w:p>
        </w:tc>
        <w:tc>
          <w:tcPr>
            <w:tcW w:w="240" w:type="dxa"/>
            <w:vAlign w:val="bottom"/>
          </w:tcPr>
          <w:p>
            <w:pPr>
              <w:spacing w:after="0"/>
              <w:rPr>
                <w:sz w:val="18"/>
                <w:szCs w:val="18"/>
                <w:color w:val="auto"/>
              </w:rPr>
            </w:pPr>
          </w:p>
        </w:tc>
        <w:tc>
          <w:tcPr>
            <w:tcW w:w="1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242424"/>
              </w:rPr>
              <w:t>(463)</w:t>
            </w: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242424"/>
              </w:rPr>
              <w:t>(432)</w:t>
            </w: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Arial" w:cs="Arial" w:eastAsia="Arial" w:hAnsi="Arial"/>
                <w:sz w:val="16"/>
                <w:szCs w:val="16"/>
                <w:color w:val="242424"/>
              </w:rPr>
              <w:t>Free cash flow</w:t>
            </w:r>
          </w:p>
        </w:tc>
        <w:tc>
          <w:tcPr>
            <w:tcW w:w="220" w:type="dxa"/>
            <w:vAlign w:val="bottom"/>
          </w:tcPr>
          <w:p>
            <w:pPr>
              <w:jc w:val="right"/>
              <w:spacing w:after="0"/>
              <w:rPr>
                <w:sz w:val="20"/>
                <w:szCs w:val="20"/>
                <w:color w:val="auto"/>
              </w:rPr>
            </w:pPr>
            <w:r>
              <w:rPr>
                <w:rFonts w:ascii="Arial" w:cs="Arial" w:eastAsia="Arial" w:hAnsi="Arial"/>
                <w:sz w:val="16"/>
                <w:szCs w:val="16"/>
                <w:color w:val="242424"/>
              </w:rPr>
              <w:t>$</w:t>
            </w: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242424"/>
              </w:rPr>
              <w:t>13,321</w:t>
            </w:r>
          </w:p>
        </w:tc>
        <w:tc>
          <w:tcPr>
            <w:tcW w:w="240" w:type="dxa"/>
            <w:vAlign w:val="bottom"/>
          </w:tcPr>
          <w:p>
            <w:pPr>
              <w:jc w:val="right"/>
              <w:spacing w:after="0"/>
              <w:rPr>
                <w:sz w:val="20"/>
                <w:szCs w:val="20"/>
                <w:color w:val="auto"/>
              </w:rPr>
            </w:pPr>
            <w:r>
              <w:rPr>
                <w:rFonts w:ascii="Arial" w:cs="Arial" w:eastAsia="Arial" w:hAnsi="Arial"/>
                <w:sz w:val="16"/>
                <w:szCs w:val="16"/>
                <w:color w:val="242424"/>
              </w:rPr>
              <w:t>$</w:t>
            </w:r>
          </w:p>
        </w:tc>
        <w:tc>
          <w:tcPr>
            <w:tcW w:w="1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242424"/>
              </w:rPr>
              <w:t>11,598</w:t>
            </w:r>
          </w:p>
        </w:tc>
        <w:tc>
          <w:tcPr>
            <w:tcW w:w="220" w:type="dxa"/>
            <w:vAlign w:val="bottom"/>
          </w:tcPr>
          <w:p>
            <w:pPr>
              <w:jc w:val="right"/>
              <w:ind w:right="1"/>
              <w:spacing w:after="0"/>
              <w:rPr>
                <w:sz w:val="20"/>
                <w:szCs w:val="20"/>
                <w:color w:val="auto"/>
              </w:rPr>
            </w:pPr>
            <w:r>
              <w:rPr>
                <w:rFonts w:ascii="Arial" w:cs="Arial" w:eastAsia="Arial" w:hAnsi="Arial"/>
                <w:sz w:val="16"/>
                <w:szCs w:val="16"/>
                <w:color w:val="242424"/>
              </w:rPr>
              <w:t>$</w:t>
            </w:r>
          </w:p>
        </w:tc>
        <w:tc>
          <w:tcPr>
            <w:tcW w:w="16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242424"/>
              </w:rPr>
              <w:t>9,265</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-2624455</wp:posOffset>
            </wp:positionV>
            <wp:extent cx="3365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242424"/>
        </w:rPr>
        <w:t>Use of Non-GAAP Financial Measures</w:t>
      </w:r>
    </w:p>
    <w:p>
      <w:pPr>
        <w:spacing w:after="0" w:line="13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242424"/>
        </w:rPr>
        <w:t>Non-GAAP results exclude amortization of acquisition-related intangible assets, stock-based compensation expense, restructuring, impairment and disposal charges, acquisition-related costs, including integration costs, purchase accounting effect on inventory, litigation settlements, loss on debt extinguishment, gains (losses) on investments, income (loss) from distinguished operations, non-GAAP tax reconciliation, and other adjustments. We believe this non-GAAP financial information provides additional insight into our on-going performance. Therefore, we provide this information to investors for a more consistent basis of comparison and to help them evaluate the results of our on-going operations and enable more meaningful period to period comparisons.</w:t>
      </w:r>
    </w:p>
    <w:p>
      <w:pPr>
        <w:spacing w:after="0" w:line="105" w:lineRule="exact"/>
        <w:rPr>
          <w:sz w:val="20"/>
          <w:szCs w:val="20"/>
          <w:color w:val="auto"/>
        </w:rPr>
      </w:pPr>
    </w:p>
    <w:p>
      <w:pPr>
        <w:spacing w:after="0" w:line="246" w:lineRule="auto"/>
        <w:rPr>
          <w:sz w:val="20"/>
          <w:szCs w:val="20"/>
          <w:color w:val="auto"/>
        </w:rPr>
      </w:pPr>
      <w:r>
        <w:rPr>
          <w:rFonts w:ascii="Arial" w:cs="Arial" w:eastAsia="Arial" w:hAnsi="Arial"/>
          <w:sz w:val="18"/>
          <w:szCs w:val="18"/>
          <w:color w:val="242424"/>
        </w:rPr>
        <w:t>Management does not believe that these items are reflective of our underlying performance. Internally, these non-GAAP measures are significant measures used by management for purposes of evaluating our core operating performance, establishing internal budgets, calculating return on investment for development programs and growth initiatives, comparing performance with internal forecasts and targeted business models, strategic planning, evaluating and valuing potential acquisition candidates and how their operations compare to our operations, and benchmarking performance externally against our competitors. The exclusion of these and other similar items from our GAAP financial results should not be interpreted as implying that these items are non-recurring, infrequent or unusual. The forgoing reconciliation includes a reconciliation of free cash flow to the most comparable GAAP cash flow measure, “Net cash provided by operating activities.” Free cash flow measures have limitations as they omit certain components of the overall cash flow statement and do not represent the residual cash flow available for discretionary expenditures. Investors should not consider presentation of free cash flow measures as implying that stockholders have any right to such cash. Our free cash flow may not be calculated in a manner comparable to similarly named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42424"/>
        </w:rPr>
        <w:t>A-1</w:t>
      </w:r>
    </w:p>
    <w:p>
      <w:pPr>
        <w:sectPr>
          <w:pgSz w:w="11900" w:h="16838" w:orient="portrait"/>
          <w:cols w:equalWidth="0" w:num="1">
            <w:col w:w="11240"/>
          </w:cols>
          <w:pgMar w:left="320" w:top="340"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color w:val="CC092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2424"/>
        </w:rPr>
        <w:t>DIRECTIONS TO BROADCOM INC.</w:t>
      </w:r>
    </w:p>
    <w:p>
      <w:pPr>
        <w:spacing w:after="0" w:line="164"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242424"/>
        </w:rPr>
        <w:t>2022 Annual Meeting</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242424"/>
        </w:rPr>
        <w:t>Our offices located at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2424"/>
        </w:rPr>
        <w:t>1320 Ridder Park Drive, San Jose, California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42424"/>
        </w:rPr>
        <w:t>Coming North on US-880:</w:t>
      </w:r>
    </w:p>
    <w:p>
      <w:pPr>
        <w:spacing w:after="0" w:line="111" w:lineRule="exact"/>
        <w:rPr>
          <w:sz w:val="20"/>
          <w:szCs w:val="20"/>
          <w:color w:val="auto"/>
        </w:rPr>
      </w:pPr>
    </w:p>
    <w:p>
      <w:pPr>
        <w:ind w:left="380" w:hanging="334"/>
        <w:spacing w:after="0"/>
        <w:tabs>
          <w:tab w:leader="none" w:pos="380" w:val="left"/>
        </w:tabs>
        <w:numPr>
          <w:ilvl w:val="0"/>
          <w:numId w:val="102"/>
        </w:numPr>
        <w:rPr>
          <w:rFonts w:ascii="Arial" w:cs="Arial" w:eastAsia="Arial" w:hAnsi="Arial"/>
          <w:sz w:val="18"/>
          <w:szCs w:val="18"/>
          <w:color w:val="242424"/>
        </w:rPr>
      </w:pPr>
      <w:r>
        <w:rPr>
          <w:rFonts w:ascii="Arial" w:cs="Arial" w:eastAsia="Arial" w:hAnsi="Arial"/>
          <w:sz w:val="18"/>
          <w:szCs w:val="18"/>
          <w:color w:val="242424"/>
        </w:rPr>
        <w:t xml:space="preserve">Take </w:t>
      </w:r>
      <w:r>
        <w:rPr>
          <w:rFonts w:ascii="Arial" w:cs="Arial" w:eastAsia="Arial" w:hAnsi="Arial"/>
          <w:sz w:val="18"/>
          <w:szCs w:val="18"/>
          <w:b w:val="1"/>
          <w:bCs w:val="1"/>
          <w:color w:val="242424"/>
        </w:rPr>
        <w:t>Brokaw Road</w:t>
      </w:r>
      <w:r>
        <w:rPr>
          <w:rFonts w:ascii="Arial" w:cs="Arial" w:eastAsia="Arial" w:hAnsi="Arial"/>
          <w:sz w:val="18"/>
          <w:szCs w:val="18"/>
          <w:color w:val="242424"/>
        </w:rPr>
        <w:t xml:space="preserve"> exit and turn right onto </w:t>
      </w:r>
      <w:r>
        <w:rPr>
          <w:rFonts w:ascii="Arial" w:cs="Arial" w:eastAsia="Arial" w:hAnsi="Arial"/>
          <w:sz w:val="18"/>
          <w:szCs w:val="18"/>
          <w:b w:val="1"/>
          <w:bCs w:val="1"/>
          <w:color w:val="242424"/>
        </w:rPr>
        <w:t>Brokaw Road</w:t>
      </w:r>
      <w:r>
        <w:rPr>
          <w:rFonts w:ascii="Arial" w:cs="Arial" w:eastAsia="Arial" w:hAnsi="Arial"/>
          <w:sz w:val="18"/>
          <w:szCs w:val="18"/>
          <w:color w:val="242424"/>
        </w:rPr>
        <w:t xml:space="preserve"> and move into the left lane</w:t>
      </w:r>
      <w:r>
        <w:rPr>
          <w:rFonts w:ascii="Arial" w:cs="Arial" w:eastAsia="Arial" w:hAnsi="Arial"/>
          <w:sz w:val="18"/>
          <w:szCs w:val="18"/>
          <w:b w:val="1"/>
          <w:bCs w:val="1"/>
          <w:color w:val="242424"/>
        </w:rPr>
        <w:t>.</w:t>
      </w:r>
    </w:p>
    <w:p>
      <w:pPr>
        <w:spacing w:after="0" w:line="111" w:lineRule="exact"/>
        <w:rPr>
          <w:rFonts w:ascii="Arial" w:cs="Arial" w:eastAsia="Arial" w:hAnsi="Arial"/>
          <w:sz w:val="18"/>
          <w:szCs w:val="18"/>
          <w:color w:val="242424"/>
        </w:rPr>
      </w:pPr>
    </w:p>
    <w:p>
      <w:pPr>
        <w:ind w:left="380" w:hanging="334"/>
        <w:spacing w:after="0"/>
        <w:tabs>
          <w:tab w:leader="none" w:pos="380" w:val="left"/>
        </w:tabs>
        <w:numPr>
          <w:ilvl w:val="0"/>
          <w:numId w:val="102"/>
        </w:numPr>
        <w:rPr>
          <w:rFonts w:ascii="Arial" w:cs="Arial" w:eastAsia="Arial" w:hAnsi="Arial"/>
          <w:sz w:val="18"/>
          <w:szCs w:val="18"/>
          <w:color w:val="242424"/>
        </w:rPr>
      </w:pPr>
      <w:r>
        <w:rPr>
          <w:rFonts w:ascii="Arial" w:cs="Arial" w:eastAsia="Arial" w:hAnsi="Arial"/>
          <w:sz w:val="18"/>
          <w:szCs w:val="18"/>
          <w:color w:val="242424"/>
        </w:rPr>
        <w:t xml:space="preserve">Turn left onto </w:t>
      </w:r>
      <w:r>
        <w:rPr>
          <w:rFonts w:ascii="Arial" w:cs="Arial" w:eastAsia="Arial" w:hAnsi="Arial"/>
          <w:sz w:val="18"/>
          <w:szCs w:val="18"/>
          <w:b w:val="1"/>
          <w:bCs w:val="1"/>
          <w:color w:val="242424"/>
        </w:rPr>
        <w:t>Ridder Park Drive.</w:t>
      </w:r>
    </w:p>
    <w:p>
      <w:pPr>
        <w:spacing w:after="0" w:line="111" w:lineRule="exact"/>
        <w:rPr>
          <w:rFonts w:ascii="Arial" w:cs="Arial" w:eastAsia="Arial" w:hAnsi="Arial"/>
          <w:sz w:val="18"/>
          <w:szCs w:val="18"/>
          <w:color w:val="242424"/>
        </w:rPr>
      </w:pPr>
    </w:p>
    <w:p>
      <w:pPr>
        <w:ind w:left="380" w:hanging="334"/>
        <w:spacing w:after="0"/>
        <w:tabs>
          <w:tab w:leader="none" w:pos="380" w:val="left"/>
        </w:tabs>
        <w:numPr>
          <w:ilvl w:val="0"/>
          <w:numId w:val="102"/>
        </w:numPr>
        <w:rPr>
          <w:rFonts w:ascii="Arial" w:cs="Arial" w:eastAsia="Arial" w:hAnsi="Arial"/>
          <w:sz w:val="18"/>
          <w:szCs w:val="18"/>
          <w:color w:val="242424"/>
        </w:rPr>
      </w:pPr>
      <w:r>
        <w:rPr>
          <w:rFonts w:ascii="Arial" w:cs="Arial" w:eastAsia="Arial" w:hAnsi="Arial"/>
          <w:sz w:val="18"/>
          <w:szCs w:val="18"/>
          <w:color w:val="242424"/>
        </w:rPr>
        <w:t xml:space="preserve">Turn into the </w:t>
      </w:r>
      <w:r>
        <w:rPr>
          <w:rFonts w:ascii="Arial" w:cs="Arial" w:eastAsia="Arial" w:hAnsi="Arial"/>
          <w:sz w:val="18"/>
          <w:szCs w:val="18"/>
          <w:b w:val="1"/>
          <w:bCs w:val="1"/>
          <w:color w:val="242424"/>
        </w:rPr>
        <w:t>Broadcom campus</w:t>
      </w:r>
      <w:r>
        <w:rPr>
          <w:rFonts w:ascii="Arial" w:cs="Arial" w:eastAsia="Arial" w:hAnsi="Arial"/>
          <w:sz w:val="18"/>
          <w:szCs w:val="18"/>
          <w:color w:val="242424"/>
        </w:rPr>
        <w:t>, which is the second building on the right, at the main entrance sign.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242424"/>
        </w:rPr>
        <w:t>Coming South on US-101:</w:t>
      </w:r>
    </w:p>
    <w:p>
      <w:pPr>
        <w:spacing w:after="0" w:line="111" w:lineRule="exact"/>
        <w:rPr>
          <w:sz w:val="20"/>
          <w:szCs w:val="20"/>
          <w:color w:val="auto"/>
        </w:rPr>
      </w:pPr>
    </w:p>
    <w:p>
      <w:pPr>
        <w:ind w:left="380" w:hanging="334"/>
        <w:spacing w:after="0"/>
        <w:tabs>
          <w:tab w:leader="none" w:pos="380" w:val="left"/>
        </w:tabs>
        <w:numPr>
          <w:ilvl w:val="0"/>
          <w:numId w:val="103"/>
        </w:numPr>
        <w:rPr>
          <w:rFonts w:ascii="Arial" w:cs="Arial" w:eastAsia="Arial" w:hAnsi="Arial"/>
          <w:sz w:val="18"/>
          <w:szCs w:val="18"/>
          <w:color w:val="242424"/>
        </w:rPr>
      </w:pPr>
      <w:r>
        <w:rPr>
          <w:rFonts w:ascii="Arial" w:cs="Arial" w:eastAsia="Arial" w:hAnsi="Arial"/>
          <w:sz w:val="18"/>
          <w:szCs w:val="18"/>
          <w:color w:val="242424"/>
        </w:rPr>
        <w:t xml:space="preserve">Exit onto </w:t>
      </w:r>
      <w:r>
        <w:rPr>
          <w:rFonts w:ascii="Arial" w:cs="Arial" w:eastAsia="Arial" w:hAnsi="Arial"/>
          <w:sz w:val="18"/>
          <w:szCs w:val="18"/>
          <w:b w:val="1"/>
          <w:bCs w:val="1"/>
          <w:color w:val="242424"/>
        </w:rPr>
        <w:t>US-880 North</w:t>
      </w:r>
      <w:r>
        <w:rPr>
          <w:rFonts w:ascii="Arial" w:cs="Arial" w:eastAsia="Arial" w:hAnsi="Arial"/>
          <w:sz w:val="18"/>
          <w:szCs w:val="18"/>
          <w:color w:val="242424"/>
        </w:rPr>
        <w:t>.</w:t>
      </w:r>
    </w:p>
    <w:p>
      <w:pPr>
        <w:spacing w:after="0" w:line="111" w:lineRule="exact"/>
        <w:rPr>
          <w:rFonts w:ascii="Arial" w:cs="Arial" w:eastAsia="Arial" w:hAnsi="Arial"/>
          <w:sz w:val="18"/>
          <w:szCs w:val="18"/>
          <w:color w:val="242424"/>
        </w:rPr>
      </w:pPr>
    </w:p>
    <w:p>
      <w:pPr>
        <w:ind w:left="380" w:hanging="334"/>
        <w:spacing w:after="0"/>
        <w:tabs>
          <w:tab w:leader="none" w:pos="380" w:val="left"/>
        </w:tabs>
        <w:numPr>
          <w:ilvl w:val="0"/>
          <w:numId w:val="103"/>
        </w:numPr>
        <w:rPr>
          <w:rFonts w:ascii="Arial" w:cs="Arial" w:eastAsia="Arial" w:hAnsi="Arial"/>
          <w:sz w:val="18"/>
          <w:szCs w:val="18"/>
          <w:color w:val="242424"/>
        </w:rPr>
      </w:pPr>
      <w:r>
        <w:rPr>
          <w:rFonts w:ascii="Arial" w:cs="Arial" w:eastAsia="Arial" w:hAnsi="Arial"/>
          <w:sz w:val="18"/>
          <w:szCs w:val="18"/>
          <w:color w:val="242424"/>
        </w:rPr>
        <w:t xml:space="preserve">Take </w:t>
      </w:r>
      <w:r>
        <w:rPr>
          <w:rFonts w:ascii="Arial" w:cs="Arial" w:eastAsia="Arial" w:hAnsi="Arial"/>
          <w:sz w:val="18"/>
          <w:szCs w:val="18"/>
          <w:b w:val="1"/>
          <w:bCs w:val="1"/>
          <w:color w:val="242424"/>
        </w:rPr>
        <w:t>Brokaw Road</w:t>
      </w:r>
      <w:r>
        <w:rPr>
          <w:rFonts w:ascii="Arial" w:cs="Arial" w:eastAsia="Arial" w:hAnsi="Arial"/>
          <w:sz w:val="18"/>
          <w:szCs w:val="18"/>
          <w:color w:val="242424"/>
        </w:rPr>
        <w:t xml:space="preserve"> exit and turn right onto </w:t>
      </w:r>
      <w:r>
        <w:rPr>
          <w:rFonts w:ascii="Arial" w:cs="Arial" w:eastAsia="Arial" w:hAnsi="Arial"/>
          <w:sz w:val="18"/>
          <w:szCs w:val="18"/>
          <w:b w:val="1"/>
          <w:bCs w:val="1"/>
          <w:color w:val="242424"/>
        </w:rPr>
        <w:t>Brokaw Road</w:t>
      </w:r>
      <w:r>
        <w:rPr>
          <w:rFonts w:ascii="Arial" w:cs="Arial" w:eastAsia="Arial" w:hAnsi="Arial"/>
          <w:sz w:val="18"/>
          <w:szCs w:val="18"/>
          <w:color w:val="242424"/>
        </w:rPr>
        <w:t xml:space="preserve"> and move into the left lane</w:t>
      </w:r>
      <w:r>
        <w:rPr>
          <w:rFonts w:ascii="Arial" w:cs="Arial" w:eastAsia="Arial" w:hAnsi="Arial"/>
          <w:sz w:val="18"/>
          <w:szCs w:val="18"/>
          <w:b w:val="1"/>
          <w:bCs w:val="1"/>
          <w:color w:val="242424"/>
        </w:rPr>
        <w:t>.</w:t>
      </w:r>
    </w:p>
    <w:p>
      <w:pPr>
        <w:spacing w:after="0" w:line="111" w:lineRule="exact"/>
        <w:rPr>
          <w:rFonts w:ascii="Arial" w:cs="Arial" w:eastAsia="Arial" w:hAnsi="Arial"/>
          <w:sz w:val="18"/>
          <w:szCs w:val="18"/>
          <w:color w:val="242424"/>
        </w:rPr>
      </w:pPr>
    </w:p>
    <w:p>
      <w:pPr>
        <w:ind w:left="380" w:hanging="334"/>
        <w:spacing w:after="0"/>
        <w:tabs>
          <w:tab w:leader="none" w:pos="380" w:val="left"/>
        </w:tabs>
        <w:numPr>
          <w:ilvl w:val="0"/>
          <w:numId w:val="103"/>
        </w:numPr>
        <w:rPr>
          <w:rFonts w:ascii="Arial" w:cs="Arial" w:eastAsia="Arial" w:hAnsi="Arial"/>
          <w:sz w:val="18"/>
          <w:szCs w:val="18"/>
          <w:color w:val="242424"/>
        </w:rPr>
      </w:pPr>
      <w:r>
        <w:rPr>
          <w:rFonts w:ascii="Arial" w:cs="Arial" w:eastAsia="Arial" w:hAnsi="Arial"/>
          <w:sz w:val="18"/>
          <w:szCs w:val="18"/>
          <w:color w:val="242424"/>
        </w:rPr>
        <w:t xml:space="preserve">Turn left onto </w:t>
      </w:r>
      <w:r>
        <w:rPr>
          <w:rFonts w:ascii="Arial" w:cs="Arial" w:eastAsia="Arial" w:hAnsi="Arial"/>
          <w:sz w:val="18"/>
          <w:szCs w:val="18"/>
          <w:b w:val="1"/>
          <w:bCs w:val="1"/>
          <w:color w:val="242424"/>
        </w:rPr>
        <w:t>Ridder Park Drive.</w:t>
      </w:r>
    </w:p>
    <w:p>
      <w:pPr>
        <w:spacing w:after="0" w:line="111" w:lineRule="exact"/>
        <w:rPr>
          <w:rFonts w:ascii="Arial" w:cs="Arial" w:eastAsia="Arial" w:hAnsi="Arial"/>
          <w:sz w:val="18"/>
          <w:szCs w:val="18"/>
          <w:color w:val="242424"/>
        </w:rPr>
      </w:pPr>
    </w:p>
    <w:p>
      <w:pPr>
        <w:ind w:left="380" w:hanging="334"/>
        <w:spacing w:after="0"/>
        <w:tabs>
          <w:tab w:leader="none" w:pos="380" w:val="left"/>
        </w:tabs>
        <w:numPr>
          <w:ilvl w:val="0"/>
          <w:numId w:val="103"/>
        </w:numPr>
        <w:rPr>
          <w:rFonts w:ascii="Arial" w:cs="Arial" w:eastAsia="Arial" w:hAnsi="Arial"/>
          <w:sz w:val="18"/>
          <w:szCs w:val="18"/>
          <w:color w:val="242424"/>
        </w:rPr>
      </w:pPr>
      <w:r>
        <w:rPr>
          <w:rFonts w:ascii="Arial" w:cs="Arial" w:eastAsia="Arial" w:hAnsi="Arial"/>
          <w:sz w:val="18"/>
          <w:szCs w:val="18"/>
          <w:color w:val="242424"/>
        </w:rPr>
        <w:t xml:space="preserve">Turn into the </w:t>
      </w:r>
      <w:r>
        <w:rPr>
          <w:rFonts w:ascii="Arial" w:cs="Arial" w:eastAsia="Arial" w:hAnsi="Arial"/>
          <w:sz w:val="18"/>
          <w:szCs w:val="18"/>
          <w:b w:val="1"/>
          <w:bCs w:val="1"/>
          <w:color w:val="242424"/>
        </w:rPr>
        <w:t>Broadcom campus</w:t>
      </w:r>
      <w:r>
        <w:rPr>
          <w:rFonts w:ascii="Arial" w:cs="Arial" w:eastAsia="Arial" w:hAnsi="Arial"/>
          <w:sz w:val="18"/>
          <w:szCs w:val="18"/>
          <w:color w:val="242424"/>
        </w:rPr>
        <w:t>, which is the second building on the right, at the main entrance sign.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242424"/>
        </w:rPr>
        <w:t>Coming South on I-880:</w:t>
      </w:r>
    </w:p>
    <w:p>
      <w:pPr>
        <w:spacing w:after="0" w:line="111" w:lineRule="exact"/>
        <w:rPr>
          <w:sz w:val="20"/>
          <w:szCs w:val="20"/>
          <w:color w:val="auto"/>
        </w:rPr>
      </w:pPr>
    </w:p>
    <w:p>
      <w:pPr>
        <w:ind w:left="380" w:hanging="334"/>
        <w:spacing w:after="0"/>
        <w:tabs>
          <w:tab w:leader="none" w:pos="380" w:val="left"/>
        </w:tabs>
        <w:numPr>
          <w:ilvl w:val="0"/>
          <w:numId w:val="104"/>
        </w:numPr>
        <w:rPr>
          <w:rFonts w:ascii="Arial" w:cs="Arial" w:eastAsia="Arial" w:hAnsi="Arial"/>
          <w:sz w:val="18"/>
          <w:szCs w:val="18"/>
          <w:color w:val="242424"/>
        </w:rPr>
      </w:pPr>
      <w:r>
        <w:rPr>
          <w:rFonts w:ascii="Arial" w:cs="Arial" w:eastAsia="Arial" w:hAnsi="Arial"/>
          <w:sz w:val="18"/>
          <w:szCs w:val="18"/>
          <w:color w:val="242424"/>
        </w:rPr>
        <w:t xml:space="preserve">Take </w:t>
      </w:r>
      <w:r>
        <w:rPr>
          <w:rFonts w:ascii="Arial" w:cs="Arial" w:eastAsia="Arial" w:hAnsi="Arial"/>
          <w:sz w:val="18"/>
          <w:szCs w:val="18"/>
          <w:b w:val="1"/>
          <w:bCs w:val="1"/>
          <w:color w:val="242424"/>
        </w:rPr>
        <w:t>Brokaw Road</w:t>
      </w:r>
      <w:r>
        <w:rPr>
          <w:rFonts w:ascii="Arial" w:cs="Arial" w:eastAsia="Arial" w:hAnsi="Arial"/>
          <w:sz w:val="18"/>
          <w:szCs w:val="18"/>
          <w:color w:val="242424"/>
        </w:rPr>
        <w:t xml:space="preserve"> exit and turn right onto </w:t>
      </w:r>
      <w:r>
        <w:rPr>
          <w:rFonts w:ascii="Arial" w:cs="Arial" w:eastAsia="Arial" w:hAnsi="Arial"/>
          <w:sz w:val="18"/>
          <w:szCs w:val="18"/>
          <w:b w:val="1"/>
          <w:bCs w:val="1"/>
          <w:color w:val="242424"/>
        </w:rPr>
        <w:t>Brokaw Road</w:t>
      </w:r>
      <w:r>
        <w:rPr>
          <w:rFonts w:ascii="Arial" w:cs="Arial" w:eastAsia="Arial" w:hAnsi="Arial"/>
          <w:sz w:val="18"/>
          <w:szCs w:val="18"/>
          <w:color w:val="242424"/>
        </w:rPr>
        <w:t xml:space="preserve"> and move into the left lane</w:t>
      </w:r>
      <w:r>
        <w:rPr>
          <w:rFonts w:ascii="Arial" w:cs="Arial" w:eastAsia="Arial" w:hAnsi="Arial"/>
          <w:sz w:val="18"/>
          <w:szCs w:val="18"/>
          <w:b w:val="1"/>
          <w:bCs w:val="1"/>
          <w:color w:val="242424"/>
        </w:rPr>
        <w:t>.</w:t>
      </w:r>
    </w:p>
    <w:p>
      <w:pPr>
        <w:spacing w:after="0" w:line="111" w:lineRule="exact"/>
        <w:rPr>
          <w:rFonts w:ascii="Arial" w:cs="Arial" w:eastAsia="Arial" w:hAnsi="Arial"/>
          <w:sz w:val="18"/>
          <w:szCs w:val="18"/>
          <w:color w:val="242424"/>
        </w:rPr>
      </w:pPr>
    </w:p>
    <w:p>
      <w:pPr>
        <w:ind w:left="380" w:hanging="334"/>
        <w:spacing w:after="0"/>
        <w:tabs>
          <w:tab w:leader="none" w:pos="380" w:val="left"/>
        </w:tabs>
        <w:numPr>
          <w:ilvl w:val="0"/>
          <w:numId w:val="104"/>
        </w:numPr>
        <w:rPr>
          <w:rFonts w:ascii="Arial" w:cs="Arial" w:eastAsia="Arial" w:hAnsi="Arial"/>
          <w:sz w:val="18"/>
          <w:szCs w:val="18"/>
          <w:color w:val="242424"/>
        </w:rPr>
      </w:pPr>
      <w:r>
        <w:rPr>
          <w:rFonts w:ascii="Arial" w:cs="Arial" w:eastAsia="Arial" w:hAnsi="Arial"/>
          <w:sz w:val="18"/>
          <w:szCs w:val="18"/>
          <w:color w:val="242424"/>
        </w:rPr>
        <w:t xml:space="preserve">Turn left onto </w:t>
      </w:r>
      <w:r>
        <w:rPr>
          <w:rFonts w:ascii="Arial" w:cs="Arial" w:eastAsia="Arial" w:hAnsi="Arial"/>
          <w:sz w:val="18"/>
          <w:szCs w:val="18"/>
          <w:b w:val="1"/>
          <w:bCs w:val="1"/>
          <w:color w:val="242424"/>
        </w:rPr>
        <w:t>Ridder Park Drive.</w:t>
      </w:r>
    </w:p>
    <w:p>
      <w:pPr>
        <w:spacing w:after="0" w:line="111" w:lineRule="exact"/>
        <w:rPr>
          <w:rFonts w:ascii="Arial" w:cs="Arial" w:eastAsia="Arial" w:hAnsi="Arial"/>
          <w:sz w:val="18"/>
          <w:szCs w:val="18"/>
          <w:color w:val="242424"/>
        </w:rPr>
      </w:pPr>
    </w:p>
    <w:p>
      <w:pPr>
        <w:ind w:left="380" w:hanging="334"/>
        <w:spacing w:after="0"/>
        <w:tabs>
          <w:tab w:leader="none" w:pos="380" w:val="left"/>
        </w:tabs>
        <w:numPr>
          <w:ilvl w:val="0"/>
          <w:numId w:val="104"/>
        </w:numPr>
        <w:rPr>
          <w:rFonts w:ascii="Arial" w:cs="Arial" w:eastAsia="Arial" w:hAnsi="Arial"/>
          <w:sz w:val="18"/>
          <w:szCs w:val="18"/>
          <w:color w:val="242424"/>
        </w:rPr>
      </w:pPr>
      <w:r>
        <w:rPr>
          <w:rFonts w:ascii="Arial" w:cs="Arial" w:eastAsia="Arial" w:hAnsi="Arial"/>
          <w:sz w:val="18"/>
          <w:szCs w:val="18"/>
          <w:color w:val="242424"/>
        </w:rPr>
        <w:t xml:space="preserve">Turn into the </w:t>
      </w:r>
      <w:r>
        <w:rPr>
          <w:rFonts w:ascii="Arial" w:cs="Arial" w:eastAsia="Arial" w:hAnsi="Arial"/>
          <w:sz w:val="18"/>
          <w:szCs w:val="18"/>
          <w:b w:val="1"/>
          <w:bCs w:val="1"/>
          <w:color w:val="242424"/>
        </w:rPr>
        <w:t>Broadcom campus</w:t>
      </w:r>
      <w:r>
        <w:rPr>
          <w:rFonts w:ascii="Arial" w:cs="Arial" w:eastAsia="Arial" w:hAnsi="Arial"/>
          <w:sz w:val="18"/>
          <w:szCs w:val="18"/>
          <w:color w:val="242424"/>
        </w:rPr>
        <w:t>, which is the second building on the right, at the main entrance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370840</wp:posOffset>
            </wp:positionV>
            <wp:extent cx="3803015" cy="3583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03015" cy="3583940"/>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242424"/>
        </w:rPr>
        <w:t>B-1</w:t>
      </w:r>
    </w:p>
    <w:p>
      <w:pPr>
        <w:sectPr>
          <w:pgSz w:w="11900" w:h="16838" w:orient="portrait"/>
          <w:cols w:equalWidth="0" w:num="1">
            <w:col w:w="11220"/>
          </w:cols>
          <w:pgMar w:left="320" w:top="340" w:right="359" w:bottom="1440" w:gutter="0" w:footer="0" w:header="0"/>
          <w:type w:val="continuous"/>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543560</wp:posOffset>
            </wp:positionV>
            <wp:extent cx="6209030" cy="80016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6209030" cy="8001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543560</wp:posOffset>
            </wp:positionV>
            <wp:extent cx="6209030" cy="69748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6209030" cy="6974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lvl w:ilvl="1">
      <w:lvlJc w:val="left"/>
      <w:lvlText w:val="(%2)"/>
      <w:numFmt w:val="decimal"/>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2"/>
      <w:numFmt w:val="bullet"/>
      <w:start w:val="1"/>
    </w:lvl>
  </w:abstractNum>
  <w:abstractNum w:abstractNumId="5">
    <w:nsid w:val="23F9C13C"/>
    <w:multiLevelType w:val="hybridMultilevel"/>
    <w:lvl w:ilvl="0">
      <w:lvlJc w:val="left"/>
      <w:lvlText w:val="ü"/>
      <w:numFmt w:val="bullet"/>
      <w:start w:val="1"/>
    </w:lvl>
  </w:abstractNum>
  <w:abstractNum w:abstractNumId="6">
    <w:nsid w:val="649BB77C"/>
    <w:multiLevelType w:val="hybridMultilevel"/>
    <w:lvl w:ilvl="0">
      <w:lvlJc w:val="left"/>
      <w:lvlText w:val="ü"/>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4"/>
      <w:numFmt w:val="bullet"/>
      <w:start w:val="1"/>
    </w:lvl>
  </w:abstractNum>
  <w:abstractNum w:abstractNumId="11">
    <w:nsid w:val="235BA861"/>
    <w:multiLevelType w:val="hybridMultilevel"/>
    <w:lvl w:ilvl="0">
      <w:lvlJc w:val="left"/>
      <w:lvlText w:val="ü"/>
      <w:numFmt w:val="bullet"/>
      <w:start w:val="1"/>
    </w:lvl>
  </w:abstractNum>
  <w:abstractNum w:abstractNumId="12">
    <w:nsid w:val="47398C89"/>
    <w:multiLevelType w:val="hybridMultilevel"/>
    <w:lvl w:ilvl="0">
      <w:lvlJc w:val="left"/>
      <w:lvlText w:val="X"/>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6"/>
      <w:numFmt w:val="bullet"/>
      <w:start w:val="1"/>
    </w:lvl>
  </w:abstractNum>
  <w:abstractNum w:abstractNumId="15">
    <w:nsid w:val="741226BB"/>
    <w:multiLevelType w:val="hybridMultilevel"/>
    <w:lvl w:ilvl="0">
      <w:lvlJc w:val="left"/>
      <w:lvlText w:val="8"/>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1"/>
      <w:numFmt w:val="decimal"/>
      <w:start w:val="10"/>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1"/>
      <w:numFmt w:val="decimal"/>
      <w:start w:val="12"/>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1"/>
      <w:numFmt w:val="decimal"/>
      <w:start w:val="14"/>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1"/>
      <w:numFmt w:val="decimal"/>
      <w:start w:val="16"/>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1"/>
      <w:numFmt w:val="decimal"/>
      <w:start w:val="18"/>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1"/>
      <w:numFmt w:val="decimal"/>
      <w:start w:val="20"/>
    </w:lvl>
  </w:abstractNum>
  <w:abstractNum w:abstractNumId="37">
    <w:nsid w:val="799D0247"/>
    <w:multiLevelType w:val="hybridMultilevel"/>
    <w:lvl w:ilvl="0">
      <w:lvlJc w:val="left"/>
      <w:lvlText w:val="%1"/>
      <w:numFmt w:val="decimal"/>
      <w:start w:val="22"/>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1"/>
      <w:numFmt w:val="decimal"/>
      <w:start w:val="24"/>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1"/>
      <w:numFmt w:val="decimal"/>
      <w:start w:val="26"/>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1"/>
      <w:numFmt w:val="decimal"/>
      <w:start w:val="28"/>
    </w:lvl>
  </w:abstractNum>
  <w:abstractNum w:abstractNumId="48">
    <w:nsid w:val="BF72B14"/>
    <w:multiLevelType w:val="hybridMultilevel"/>
    <w:lvl w:ilvl="0">
      <w:lvlJc w:val="left"/>
      <w:lvlText w:val="ü"/>
      <w:numFmt w:val="bullet"/>
      <w:start w:val="1"/>
    </w:lvl>
  </w:abstractNum>
  <w:abstractNum w:abstractNumId="49">
    <w:nsid w:val="11447B73"/>
    <w:multiLevelType w:val="hybridMultilevel"/>
    <w:lvl w:ilvl="0">
      <w:lvlJc w:val="left"/>
      <w:lvlText w:val="X"/>
      <w:numFmt w:val="bullet"/>
      <w:start w:val="1"/>
    </w:lvl>
  </w:abstractNum>
  <w:abstractNum w:abstractNumId="50">
    <w:nsid w:val="42963E5A"/>
    <w:multiLevelType w:val="hybridMultilevel"/>
    <w:lvl w:ilvl="0">
      <w:lvlJc w:val="left"/>
      <w:lvlText w:val="ü"/>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1"/>
      <w:numFmt w:val="decimal"/>
      <w:start w:val="30"/>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1)"/>
      <w:numFmt w:val="decimal"/>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1"/>
      <w:numFmt w:val="decimal"/>
      <w:start w:val="32"/>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1"/>
      <w:numFmt w:val="decimal"/>
      <w:start w:val="34"/>
    </w:lvl>
  </w:abstractNum>
  <w:abstractNum w:abstractNumId="60">
    <w:nsid w:val="7FFFCA11"/>
    <w:multiLevelType w:val="hybridMultilevel"/>
    <w:lvl w:ilvl="0">
      <w:lvlJc w:val="left"/>
      <w:lvlText w:val="%1"/>
      <w:numFmt w:val="decimal"/>
      <w:start w:val="150"/>
    </w:lvl>
  </w:abstractNum>
  <w:abstractNum w:abstractNumId="61">
    <w:nsid w:val="1A27709E"/>
    <w:multiLevelType w:val="hybridMultilevel"/>
    <w:lvl w:ilvl="0">
      <w:lvlJc w:val="left"/>
      <w:lvlText w:val="%1"/>
      <w:numFmt w:val="decimal"/>
      <w:start w:val="150"/>
    </w:lvl>
  </w:abstractNum>
  <w:abstractNum w:abstractNumId="62">
    <w:nsid w:val="71EA1109"/>
    <w:multiLevelType w:val="hybridMultilevel"/>
    <w:lvl w:ilvl="0">
      <w:lvlJc w:val="left"/>
      <w:lvlText w:val="(%1)"/>
      <w:numFmt w:val="decimal"/>
      <w:start w:val="1"/>
    </w:lvl>
  </w:abstractNum>
  <w:abstractNum w:abstractNumId="63">
    <w:nsid w:val="100F59DC"/>
    <w:multiLevelType w:val="hybridMultilevel"/>
    <w:lvl w:ilvl="0">
      <w:lvlJc w:val="left"/>
      <w:lvlText w:val="%1"/>
      <w:numFmt w:val="decimal"/>
      <w:start w:val="36"/>
    </w:lvl>
  </w:abstractNum>
  <w:abstractNum w:abstractNumId="64">
    <w:nsid w:val="7FB7E0AA"/>
    <w:multiLevelType w:val="hybridMultilevel"/>
    <w:lvl w:ilvl="0">
      <w:lvlJc w:val="left"/>
      <w:lvlText w:val="(%1)"/>
      <w:numFmt w:val="decimal"/>
      <w:start w:val="1"/>
    </w:lvl>
  </w:abstractNum>
  <w:abstractNum w:abstractNumId="65">
    <w:nsid w:val="6EB5BD4"/>
    <w:multiLevelType w:val="hybridMultilevel"/>
    <w:lvl w:ilvl="0">
      <w:lvlJc w:val="left"/>
      <w:lvlText w:val="(%1)"/>
      <w:numFmt w:val="decimal"/>
      <w:start w:val="1"/>
    </w:lvl>
  </w:abstractNum>
  <w:abstractNum w:abstractNumId="66">
    <w:nsid w:val="6F6DD9AC"/>
    <w:multiLevelType w:val="hybridMultilevel"/>
    <w:lvl w:ilvl="0">
      <w:lvlJc w:val="left"/>
      <w:lvlText w:val="%1"/>
      <w:numFmt w:val="decimal"/>
      <w:start w:val="38"/>
    </w:lvl>
  </w:abstractNum>
  <w:abstractNum w:abstractNumId="67">
    <w:nsid w:val="94211F2"/>
    <w:multiLevelType w:val="hybridMultilevel"/>
    <w:lvl w:ilvl="0">
      <w:lvlJc w:val="left"/>
      <w:lvlText w:val="%1"/>
      <w:numFmt w:val="decimal"/>
      <w:start w:val="40"/>
    </w:lvl>
  </w:abstractNum>
  <w:abstractNum w:abstractNumId="68">
    <w:nsid w:val="885E1B"/>
    <w:multiLevelType w:val="hybridMultilevel"/>
    <w:lvl w:ilvl="0">
      <w:lvlJc w:val="left"/>
      <w:lvlText w:val="%1"/>
      <w:numFmt w:val="decimal"/>
      <w:start w:val="42"/>
    </w:lvl>
  </w:abstractNum>
  <w:abstractNum w:abstractNumId="69">
    <w:nsid w:val="76272110"/>
    <w:multiLevelType w:val="hybridMultilevel"/>
    <w:lvl w:ilvl="0">
      <w:lvlJc w:val="left"/>
      <w:lvlText w:val="%1"/>
      <w:numFmt w:val="decimal"/>
      <w:start w:val="44"/>
    </w:lvl>
  </w:abstractNum>
  <w:abstractNum w:abstractNumId="70">
    <w:nsid w:val="4C04A8AF"/>
    <w:multiLevelType w:val="hybridMultilevel"/>
    <w:lvl w:ilvl="0">
      <w:lvlJc w:val="left"/>
      <w:lvlText w:val="(%1)"/>
      <w:numFmt w:val="decimal"/>
      <w:start w:val="1"/>
    </w:lvl>
  </w:abstractNum>
  <w:abstractNum w:abstractNumId="71">
    <w:nsid w:val="1716703B"/>
    <w:multiLevelType w:val="hybridMultilevel"/>
    <w:lvl w:ilvl="0">
      <w:lvlJc w:val="left"/>
      <w:lvlText w:val="(%1)"/>
      <w:numFmt w:val="decimal"/>
      <w:start w:val="1"/>
    </w:lvl>
  </w:abstractNum>
  <w:abstractNum w:abstractNumId="72">
    <w:nsid w:val="14E17E33"/>
    <w:multiLevelType w:val="hybridMultilevel"/>
    <w:lvl w:ilvl="0">
      <w:lvlJc w:val="left"/>
      <w:lvlText w:val="%1"/>
      <w:numFmt w:val="decimal"/>
      <w:start w:val="46"/>
    </w:lvl>
  </w:abstractNum>
  <w:abstractNum w:abstractNumId="73">
    <w:nsid w:val="3222E7CD"/>
    <w:multiLevelType w:val="hybridMultilevel"/>
    <w:lvl w:ilvl="0">
      <w:lvlJc w:val="left"/>
      <w:lvlText w:val="(%1)"/>
      <w:numFmt w:val="decimal"/>
      <w:start w:val="1"/>
    </w:lvl>
  </w:abstractNum>
  <w:abstractNum w:abstractNumId="74">
    <w:nsid w:val="74DE0EE3"/>
    <w:multiLevelType w:val="hybridMultilevel"/>
    <w:lvl w:ilvl="0">
      <w:lvlJc w:val="left"/>
      <w:lvlText w:val="(%1)"/>
      <w:numFmt w:val="decimal"/>
      <w:start w:val="6"/>
    </w:lvl>
  </w:abstractNum>
  <w:abstractNum w:abstractNumId="75">
    <w:nsid w:val="68EBC550"/>
    <w:multiLevelType w:val="hybridMultilevel"/>
    <w:lvl w:ilvl="0">
      <w:lvlJc w:val="left"/>
      <w:lvlText w:val="%1"/>
      <w:numFmt w:val="decimal"/>
      <w:start w:val="48"/>
    </w:lvl>
  </w:abstractNum>
  <w:abstractNum w:abstractNumId="76">
    <w:nsid w:val="2DF6D648"/>
    <w:multiLevelType w:val="hybridMultilevel"/>
    <w:lvl w:ilvl="0">
      <w:lvlJc w:val="left"/>
      <w:lvlText w:val="(%1)"/>
      <w:numFmt w:val="decimal"/>
      <w:start w:val="1"/>
    </w:lvl>
  </w:abstractNum>
  <w:abstractNum w:abstractNumId="77">
    <w:nsid w:val="46B7D447"/>
    <w:multiLevelType w:val="hybridMultilevel"/>
    <w:lvl w:ilvl="0">
      <w:lvlJc w:val="left"/>
      <w:lvlText w:val="(%1)"/>
      <w:numFmt w:val="decimal"/>
      <w:start w:val="1"/>
    </w:lvl>
  </w:abstractNum>
  <w:abstractNum w:abstractNumId="78">
    <w:nsid w:val="4A2AC315"/>
    <w:multiLevelType w:val="hybridMultilevel"/>
    <w:lvl w:ilvl="0">
      <w:lvlJc w:val="left"/>
      <w:lvlText w:val="(%1)"/>
      <w:numFmt w:val="decimal"/>
      <w:start w:val="1"/>
    </w:lvl>
  </w:abstractNum>
  <w:abstractNum w:abstractNumId="79">
    <w:nsid w:val="39EE015C"/>
    <w:multiLevelType w:val="hybridMultilevel"/>
    <w:lvl w:ilvl="0">
      <w:lvlJc w:val="left"/>
      <w:lvlText w:val="(%1)"/>
      <w:numFmt w:val="upperLetter"/>
      <w:start w:val="5"/>
    </w:lvl>
  </w:abstractNum>
  <w:abstractNum w:abstractNumId="80">
    <w:nsid w:val="57FC4FBB"/>
    <w:multiLevelType w:val="hybridMultilevel"/>
    <w:lvl w:ilvl="0">
      <w:lvlJc w:val="left"/>
      <w:lvlText w:val="(%1)"/>
      <w:numFmt w:val="upperLetter"/>
      <w:start w:val="1"/>
    </w:lvl>
  </w:abstractNum>
  <w:abstractNum w:abstractNumId="81">
    <w:nsid w:val="CC1016F"/>
    <w:multiLevelType w:val="hybridMultilevel"/>
    <w:lvl w:ilvl="0">
      <w:lvlJc w:val="left"/>
      <w:lvlText w:val="%1"/>
      <w:numFmt w:val="decimal"/>
      <w:start w:val="50"/>
    </w:lvl>
  </w:abstractNum>
  <w:abstractNum w:abstractNumId="82">
    <w:nsid w:val="43F18422"/>
    <w:multiLevelType w:val="hybridMultilevel"/>
    <w:lvl w:ilvl="0">
      <w:lvlJc w:val="left"/>
      <w:lvlText w:val="(%1)"/>
      <w:numFmt w:val="decimal"/>
      <w:start w:val="1"/>
    </w:lvl>
  </w:abstractNum>
  <w:abstractNum w:abstractNumId="83">
    <w:nsid w:val="60EF0119"/>
    <w:multiLevelType w:val="hybridMultilevel"/>
    <w:lvl w:ilvl="0">
      <w:lvlJc w:val="left"/>
      <w:lvlText w:val="(%1)"/>
      <w:numFmt w:val="decimal"/>
      <w:start w:val="1"/>
    </w:lvl>
  </w:abstractNum>
  <w:abstractNum w:abstractNumId="84">
    <w:nsid w:val="26F324BA"/>
    <w:multiLevelType w:val="hybridMultilevel"/>
    <w:lvl w:ilvl="0">
      <w:lvlJc w:val="left"/>
      <w:lvlText w:val="(%1)"/>
      <w:numFmt w:val="decimal"/>
      <w:start w:val="1"/>
    </w:lvl>
  </w:abstractNum>
  <w:abstractNum w:abstractNumId="85">
    <w:nsid w:val="7F01579B"/>
    <w:multiLevelType w:val="hybridMultilevel"/>
    <w:lvl w:ilvl="0">
      <w:lvlJc w:val="left"/>
      <w:lvlText w:val="%1"/>
      <w:numFmt w:val="decimal"/>
      <w:start w:val="52"/>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1)"/>
      <w:numFmt w:val="decimal"/>
      <w:start w:val="1"/>
    </w:lvl>
  </w:abstractNum>
  <w:abstractNum w:abstractNumId="88">
    <w:nsid w:val="5FB8370B"/>
    <w:multiLevelType w:val="hybridMultilevel"/>
    <w:lvl w:ilvl="0">
      <w:lvlJc w:val="left"/>
      <w:lvlText w:val="%1"/>
      <w:numFmt w:val="decimal"/>
      <w:start w:val="54"/>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1)"/>
      <w:numFmt w:val="decimal"/>
      <w:start w:val="1"/>
    </w:lvl>
  </w:abstractNum>
  <w:abstractNum w:abstractNumId="92">
    <w:nsid w:val="6AA78F7F"/>
    <w:multiLevelType w:val="hybridMultilevel"/>
    <w:lvl w:ilvl="0">
      <w:lvlJc w:val="left"/>
      <w:lvlText w:val="%1"/>
      <w:numFmt w:val="decimal"/>
      <w:start w:val="56"/>
    </w:lvl>
  </w:abstractNum>
  <w:abstractNum w:abstractNumId="93">
    <w:nsid w:val="7672BD23"/>
    <w:multiLevelType w:val="hybridMultilevel"/>
    <w:lvl w:ilvl="0">
      <w:lvlJc w:val="left"/>
      <w:lvlText w:val="•"/>
      <w:numFmt w:val="bullet"/>
      <w:start w:val="1"/>
    </w:lvl>
  </w:abstractNum>
  <w:abstractNum w:abstractNumId="94">
    <w:nsid w:val="6FC75AF8"/>
    <w:multiLevelType w:val="hybridMultilevel"/>
    <w:lvl w:ilvl="0">
      <w:lvlJc w:val="left"/>
      <w:lvlText w:val="%1"/>
      <w:numFmt w:val="decimal"/>
      <w:start w:val="58"/>
    </w:lvl>
  </w:abstractNum>
  <w:abstractNum w:abstractNumId="95">
    <w:nsid w:val="6A5F7029"/>
    <w:multiLevelType w:val="hybridMultilevel"/>
    <w:lvl w:ilvl="0">
      <w:lvlJc w:val="left"/>
      <w:lvlText w:val="•"/>
      <w:numFmt w:val="bullet"/>
      <w:start w:val="1"/>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1"/>
      <w:numFmt w:val="decimal"/>
      <w:start w:val="60"/>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1"/>
      <w:numFmt w:val="decimal"/>
      <w:start w:val="62"/>
    </w:lvl>
  </w:abstractNum>
  <w:abstractNum w:abstractNumId="101">
    <w:nsid w:val="3FA62ACA"/>
    <w:multiLevelType w:val="hybridMultilevel"/>
    <w:lvl w:ilvl="0">
      <w:lvlJc w:val="left"/>
      <w:lvlText w:val="%1."/>
      <w:numFmt w:val="decimal"/>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2022-02-18T15:11:50Z</dcterms:created>
  <dcterms:modified xsi:type="dcterms:W3CDTF">2022-02-18T15:11:50Z</dcterms:modified>
</cp:coreProperties>
</file>