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8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 w:lineRule="exact"/>
        <w:rPr>
          <w:sz w:val="24"/>
          <w:szCs w:val="24"/>
          <w:color w:val="auto"/>
        </w:rPr>
      </w:pPr>
    </w:p>
    <w:p>
      <w:pPr>
        <w:ind w:left="420" w:right="220" w:hanging="311"/>
        <w:spacing w:after="0" w:line="247" w:lineRule="auto"/>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February 1, 2026</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420" w:right="220" w:hanging="311"/>
        <w:spacing w:after="0" w:line="247" w:lineRule="auto"/>
        <w:tabs>
          <w:tab w:leader="none" w:pos="4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180"/>
          </w:cols>
          <w:pgMar w:left="320" w:top="1263" w:right="399" w:bottom="1440" w:gutter="0" w:footer="0" w:header="0"/>
        </w:sectPr>
      </w:pPr>
    </w:p>
    <w:p>
      <w:pPr>
        <w:spacing w:after="0" w:line="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1642745</wp:posOffset>
            </wp:positionH>
            <wp:positionV relativeFrom="paragraph">
              <wp:posOffset>-7620</wp:posOffset>
            </wp:positionV>
            <wp:extent cx="635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Delaware</w:t>
      </w:r>
    </w:p>
    <w:p>
      <w:pPr>
        <w:spacing w:after="0" w:line="108" w:lineRule="exact"/>
        <w:rPr>
          <w:sz w:val="24"/>
          <w:szCs w:val="24"/>
          <w:color w:val="auto"/>
        </w:rPr>
      </w:pPr>
    </w:p>
    <w:p>
      <w:pPr>
        <w:jc w:val="both"/>
        <w:ind w:left="220" w:right="380" w:firstLine="45"/>
        <w:spacing w:after="0" w:line="250" w:lineRule="auto"/>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137160</wp:posOffset>
            </wp:positionH>
            <wp:positionV relativeFrom="paragraph">
              <wp:posOffset>-7620</wp:posOffset>
            </wp:positionV>
            <wp:extent cx="635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00" cy="8255"/>
                    </a:xfrm>
                    <a:prstGeom prst="rect">
                      <a:avLst/>
                    </a:prstGeom>
                    <a:noFill/>
                  </pic:spPr>
                </pic:pic>
              </a:graphicData>
            </a:graphic>
          </wp:anchor>
        </w:drawing>
      </w:r>
    </w:p>
    <w:p>
      <w:pPr>
        <w:spacing w:after="0" w:line="55" w:lineRule="exact"/>
        <w:rPr>
          <w:sz w:val="24"/>
          <w:szCs w:val="24"/>
          <w:color w:val="auto"/>
        </w:rPr>
      </w:pPr>
    </w:p>
    <w:p>
      <w:pPr>
        <w:jc w:val="center"/>
        <w:ind w:right="3400"/>
        <w:spacing w:after="0"/>
        <w:rPr>
          <w:sz w:val="20"/>
          <w:szCs w:val="20"/>
          <w:color w:val="auto"/>
        </w:rPr>
      </w:pPr>
      <w:r>
        <w:rPr>
          <w:rFonts w:ascii="Arial" w:cs="Arial" w:eastAsia="Arial" w:hAnsi="Arial"/>
          <w:sz w:val="29"/>
          <w:szCs w:val="29"/>
          <w:b w:val="1"/>
          <w:bCs w:val="1"/>
          <w:color w:val="auto"/>
        </w:rPr>
        <w:t>Broadcom Inc.</w:t>
      </w:r>
    </w:p>
    <w:p>
      <w:pPr>
        <w:spacing w:after="0" w:line="65"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11" w:lineRule="exact"/>
        <w:rPr>
          <w:sz w:val="24"/>
          <w:szCs w:val="24"/>
          <w:color w:val="auto"/>
        </w:rPr>
      </w:pPr>
    </w:p>
    <w:p>
      <w:pPr>
        <w:ind w:left="1640"/>
        <w:spacing w:after="0"/>
        <w:tabs>
          <w:tab w:leader="none" w:pos="5820" w:val="left"/>
        </w:tabs>
        <w:rPr>
          <w:sz w:val="20"/>
          <w:szCs w:val="20"/>
          <w:color w:val="auto"/>
        </w:rPr>
      </w:pPr>
      <w:r>
        <w:rPr>
          <w:rFonts w:ascii="Arial" w:cs="Arial" w:eastAsia="Arial" w:hAnsi="Arial"/>
          <w:sz w:val="18"/>
          <w:szCs w:val="18"/>
          <w:b w:val="1"/>
          <w:bCs w:val="1"/>
          <w:color w:val="auto"/>
        </w:rPr>
        <w:t>001-38449</w:t>
      </w:r>
      <w:r>
        <w:rPr>
          <w:sz w:val="20"/>
          <w:szCs w:val="20"/>
          <w:color w:val="auto"/>
        </w:rPr>
        <w:tab/>
      </w:r>
      <w:r>
        <w:rPr>
          <w:rFonts w:ascii="Arial" w:cs="Arial" w:eastAsia="Arial" w:hAnsi="Arial"/>
          <w:sz w:val="17"/>
          <w:szCs w:val="17"/>
          <w:b w:val="1"/>
          <w:bCs w:val="1"/>
          <w:color w:val="auto"/>
        </w:rPr>
        <w:t>35-2617337</w:t>
      </w:r>
    </w:p>
    <w:p>
      <w:pPr>
        <w:spacing w:after="0" w:line="21" w:lineRule="exact"/>
        <w:rPr>
          <w:sz w:val="24"/>
          <w:szCs w:val="24"/>
          <w:color w:val="auto"/>
        </w:rPr>
      </w:pPr>
    </w:p>
    <w:p>
      <w:pPr>
        <w:ind w:left="1040"/>
        <w:spacing w:after="0"/>
        <w:tabs>
          <w:tab w:leader="none" w:pos="5680" w:val="left"/>
        </w:tabs>
        <w:rPr>
          <w:sz w:val="20"/>
          <w:szCs w:val="20"/>
          <w:color w:val="auto"/>
        </w:rPr>
      </w:pPr>
      <w:r>
        <w:rPr>
          <w:rFonts w:ascii="Arial" w:cs="Arial" w:eastAsia="Arial" w:hAnsi="Arial"/>
          <w:sz w:val="16"/>
          <w:szCs w:val="16"/>
          <w:b w:val="1"/>
          <w:bCs w:val="1"/>
          <w:color w:val="auto"/>
        </w:rPr>
        <w:t>(Commission File Number)</w:t>
      </w:r>
      <w:r>
        <w:rPr>
          <w:sz w:val="20"/>
          <w:szCs w:val="20"/>
          <w:color w:val="auto"/>
        </w:rPr>
        <w:tab/>
      </w:r>
      <w:r>
        <w:rPr>
          <w:rFonts w:ascii="Arial" w:cs="Arial" w:eastAsia="Arial" w:hAnsi="Arial"/>
          <w:sz w:val="16"/>
          <w:szCs w:val="16"/>
          <w:b w:val="1"/>
          <w:bCs w:val="1"/>
          <w:color w:val="auto"/>
        </w:rPr>
        <w:t>(I.R.S. Employer</w:t>
      </w:r>
    </w:p>
    <w:p>
      <w:pPr>
        <w:jc w:val="right"/>
        <w:ind w:right="540"/>
        <w:spacing w:after="0"/>
        <w:rPr>
          <w:sz w:val="20"/>
          <w:szCs w:val="20"/>
          <w:color w:val="auto"/>
        </w:rPr>
      </w:pPr>
      <w:r>
        <w:rPr>
          <w:rFonts w:ascii="Arial" w:cs="Arial" w:eastAsia="Arial" w:hAnsi="Arial"/>
          <w:sz w:val="16"/>
          <w:szCs w:val="16"/>
          <w:b w:val="1"/>
          <w:bCs w:val="1"/>
          <w:color w:val="auto"/>
        </w:rPr>
        <w:t>Identification No.)</w:t>
      </w:r>
    </w:p>
    <w:p>
      <w:pPr>
        <w:spacing w:after="0" w:line="103" w:lineRule="exact"/>
        <w:rPr>
          <w:sz w:val="24"/>
          <w:szCs w:val="24"/>
          <w:color w:val="auto"/>
        </w:rPr>
      </w:pPr>
    </w:p>
    <w:p>
      <w:pPr>
        <w:sectPr>
          <w:pgSz w:w="11900" w:h="16838" w:orient="portrait"/>
          <w:cols w:equalWidth="0" w:num="2">
            <w:col w:w="2920" w:space="720"/>
            <w:col w:w="7540"/>
          </w:cols>
          <w:pgMar w:left="320" w:top="1263" w:right="399" w:bottom="1440" w:gutter="0" w:footer="0" w:header="0"/>
          <w:type w:val="continuous"/>
        </w:sectPr>
      </w:pPr>
    </w:p>
    <w:p>
      <w:pPr>
        <w:jc w:val="center"/>
        <w:ind w:right="-239"/>
        <w:spacing w:after="0"/>
        <w:rPr>
          <w:sz w:val="20"/>
          <w:szCs w:val="20"/>
          <w:color w:val="auto"/>
        </w:rPr>
      </w:pPr>
      <w:r>
        <w:rPr>
          <w:rFonts w:ascii="Arial" w:cs="Arial" w:eastAsia="Arial" w:hAnsi="Arial"/>
          <w:sz w:val="18"/>
          <w:szCs w:val="18"/>
          <w:b w:val="1"/>
          <w:bCs w:val="1"/>
          <w:color w:val="auto"/>
        </w:rPr>
        <w:t>3421 Hillview Ave</w:t>
      </w:r>
    </w:p>
    <w:p>
      <w:pPr>
        <w:spacing w:after="0" w:line="2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Palo Alto, CA 94304</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(650) 427-6000</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(Address, including zip code, of principal executive offices and</w:t>
      </w:r>
    </w:p>
    <w:p>
      <w:pPr>
        <w:jc w:val="center"/>
        <w:ind w:right="-23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13" w:lineRule="exact"/>
        <w:rPr>
          <w:sz w:val="24"/>
          <w:szCs w:val="24"/>
          <w:color w:val="auto"/>
        </w:rPr>
      </w:pPr>
    </w:p>
    <w:p>
      <w:pPr>
        <w:ind w:left="1620"/>
        <w:spacing w:after="0"/>
        <w:tabs>
          <w:tab w:leader="none" w:pos="5000" w:val="left"/>
          <w:tab w:leader="none" w:pos="7220" w:val="left"/>
        </w:tabs>
        <w:rPr>
          <w:sz w:val="20"/>
          <w:szCs w:val="20"/>
          <w:color w:val="auto"/>
        </w:rPr>
      </w:pPr>
      <w:r>
        <w:rPr>
          <w:rFonts w:ascii="Arial" w:cs="Arial" w:eastAsia="Arial" w:hAnsi="Arial"/>
          <w:sz w:val="16"/>
          <w:szCs w:val="16"/>
          <w:b w:val="1"/>
          <w:bCs w:val="1"/>
          <w:color w:val="auto"/>
        </w:rPr>
        <w:t>Title of Each Class</w:t>
      </w:r>
      <w:r>
        <w:rPr>
          <w:sz w:val="20"/>
          <w:szCs w:val="20"/>
          <w:color w:val="auto"/>
        </w:rPr>
        <w:tab/>
      </w:r>
      <w:r>
        <w:rPr>
          <w:rFonts w:ascii="Arial" w:cs="Arial" w:eastAsia="Arial" w:hAnsi="Arial"/>
          <w:sz w:val="16"/>
          <w:szCs w:val="16"/>
          <w:b w:val="1"/>
          <w:bCs w:val="1"/>
          <w:color w:val="auto"/>
        </w:rPr>
        <w:t>Trading Symbol(s)</w:t>
      </w:r>
      <w:r>
        <w:rPr>
          <w:sz w:val="20"/>
          <w:szCs w:val="20"/>
          <w:color w:val="auto"/>
        </w:rPr>
        <w:tab/>
      </w:r>
      <w:r>
        <w:rPr>
          <w:rFonts w:ascii="Arial" w:cs="Arial" w:eastAsia="Arial" w:hAnsi="Arial"/>
          <w:sz w:val="16"/>
          <w:szCs w:val="16"/>
          <w:b w:val="1"/>
          <w:bCs w:val="1"/>
          <w:color w:val="auto"/>
        </w:rPr>
        <w:t>Name of Each Exchange on Which Registered</w:t>
      </w:r>
    </w:p>
    <w:p>
      <w:pPr>
        <w:spacing w:after="0" w:line="39" w:lineRule="exact"/>
        <w:rPr>
          <w:sz w:val="24"/>
          <w:szCs w:val="24"/>
          <w:color w:val="auto"/>
        </w:rPr>
      </w:pPr>
    </w:p>
    <w:p>
      <w:pPr>
        <w:ind w:left="1000"/>
        <w:spacing w:after="0"/>
        <w:tabs>
          <w:tab w:leader="none" w:pos="5460" w:val="left"/>
          <w:tab w:leader="none" w:pos="7580" w:val="left"/>
        </w:tabs>
        <w:rPr>
          <w:sz w:val="20"/>
          <w:szCs w:val="20"/>
          <w:color w:val="auto"/>
        </w:rPr>
      </w:pPr>
      <w:r>
        <w:rPr>
          <w:rFonts w:ascii="Arial" w:cs="Arial" w:eastAsia="Arial" w:hAnsi="Arial"/>
          <w:sz w:val="18"/>
          <w:szCs w:val="18"/>
          <w:color w:val="auto"/>
        </w:rPr>
        <w:t>Common Stock, $0.001 par value</w:t>
      </w:r>
      <w:r>
        <w:rPr>
          <w:sz w:val="20"/>
          <w:szCs w:val="20"/>
          <w:color w:val="auto"/>
        </w:rPr>
        <w:tab/>
      </w:r>
      <w:r>
        <w:rPr>
          <w:rFonts w:ascii="Arial" w:cs="Arial" w:eastAsia="Arial" w:hAnsi="Arial"/>
          <w:sz w:val="18"/>
          <w:szCs w:val="18"/>
          <w:color w:val="auto"/>
        </w:rPr>
        <w:t>AVGO</w:t>
      </w:r>
      <w:r>
        <w:rPr>
          <w:sz w:val="20"/>
          <w:szCs w:val="20"/>
          <w:color w:val="auto"/>
        </w:rPr>
        <w:tab/>
      </w:r>
      <w:r>
        <w:rPr>
          <w:rFonts w:ascii="Arial" w:cs="Arial" w:eastAsia="Arial" w:hAnsi="Arial"/>
          <w:sz w:val="17"/>
          <w:szCs w:val="17"/>
          <w:color w:val="auto"/>
        </w:rPr>
        <w:t>The NASDAQ Global Select Market</w:t>
      </w:r>
    </w:p>
    <w:p>
      <w:pPr>
        <w:spacing w:after="0" w:line="241"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ind w:right="200"/>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ind w:right="280"/>
        <w:spacing w:after="0" w:line="26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9"/>
        </w:trPr>
        <w:tc>
          <w:tcPr>
            <w:tcW w:w="1540" w:type="dxa"/>
            <w:vAlign w:val="bottom"/>
          </w:tcPr>
          <w:p>
            <w:pPr>
              <w:spacing w:after="0" w:line="189" w:lineRule="exact"/>
              <w:rPr>
                <w:sz w:val="20"/>
                <w:szCs w:val="20"/>
                <w:color w:val="auto"/>
              </w:rPr>
            </w:pPr>
            <w:r>
              <w:rPr>
                <w:rFonts w:ascii="Arial" w:cs="Arial" w:eastAsia="Arial" w:hAnsi="Arial"/>
                <w:sz w:val="18"/>
                <w:szCs w:val="18"/>
                <w:color w:val="auto"/>
              </w:rPr>
              <w:t>Large accelerated</w:t>
            </w:r>
          </w:p>
        </w:tc>
        <w:tc>
          <w:tcPr>
            <w:tcW w:w="48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vMerge w:val="restart"/>
          </w:tcPr>
          <w:p>
            <w:pPr>
              <w:ind w:left="220"/>
              <w:spacing w:after="0"/>
              <w:rPr>
                <w:sz w:val="20"/>
                <w:szCs w:val="20"/>
                <w:color w:val="auto"/>
              </w:rPr>
            </w:pPr>
            <w:r>
              <w:rPr>
                <w:rFonts w:ascii="Arial" w:cs="Arial" w:eastAsia="Arial" w:hAnsi="Arial"/>
                <w:sz w:val="18"/>
                <w:szCs w:val="18"/>
                <w:color w:val="auto"/>
              </w:rPr>
              <w:t>Accelerated filer</w:t>
            </w:r>
          </w:p>
        </w:tc>
        <w:tc>
          <w:tcPr>
            <w:tcW w:w="54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00" w:type="dxa"/>
            <w:vAlign w:val="bottom"/>
          </w:tcPr>
          <w:p>
            <w:pPr>
              <w:ind w:left="200"/>
              <w:spacing w:after="0" w:line="189" w:lineRule="exact"/>
              <w:rPr>
                <w:sz w:val="20"/>
                <w:szCs w:val="20"/>
                <w:color w:val="auto"/>
              </w:rPr>
            </w:pPr>
            <w:r>
              <w:rPr>
                <w:rFonts w:ascii="Arial" w:cs="Arial" w:eastAsia="Arial" w:hAnsi="Arial"/>
                <w:sz w:val="18"/>
                <w:szCs w:val="18"/>
                <w:color w:val="auto"/>
              </w:rPr>
              <w:t>Non-accelerated</w:t>
            </w:r>
          </w:p>
        </w:tc>
        <w:tc>
          <w:tcPr>
            <w:tcW w:w="5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Pr>
          <w:p>
            <w:pPr>
              <w:ind w:left="220"/>
              <w:spacing w:after="0" w:line="189" w:lineRule="exact"/>
              <w:rPr>
                <w:sz w:val="20"/>
                <w:szCs w:val="20"/>
                <w:color w:val="auto"/>
              </w:rPr>
            </w:pPr>
            <w:r>
              <w:rPr>
                <w:rFonts w:ascii="Arial" w:cs="Arial" w:eastAsia="Arial" w:hAnsi="Arial"/>
                <w:sz w:val="18"/>
                <w:szCs w:val="18"/>
                <w:color w:val="auto"/>
              </w:rPr>
              <w:t>Smaller reporting</w:t>
            </w:r>
          </w:p>
        </w:tc>
        <w:tc>
          <w:tcPr>
            <w:tcW w:w="5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700" w:type="dxa"/>
            <w:vAlign w:val="bottom"/>
          </w:tcPr>
          <w:p>
            <w:pPr>
              <w:ind w:left="200"/>
              <w:spacing w:after="0" w:line="189" w:lineRule="exact"/>
              <w:rPr>
                <w:sz w:val="20"/>
                <w:szCs w:val="20"/>
                <w:color w:val="auto"/>
              </w:rPr>
            </w:pPr>
            <w:r>
              <w:rPr>
                <w:rFonts w:ascii="Arial" w:cs="Arial" w:eastAsia="Arial" w:hAnsi="Arial"/>
                <w:sz w:val="18"/>
                <w:szCs w:val="18"/>
                <w:color w:val="auto"/>
              </w:rPr>
              <w:t>Emerging growth</w:t>
            </w:r>
          </w:p>
        </w:tc>
        <w:tc>
          <w:tcPr>
            <w:tcW w:w="3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63"/>
        </w:trPr>
        <w:tc>
          <w:tcPr>
            <w:tcW w:w="1540" w:type="dxa"/>
            <w:vAlign w:val="bottom"/>
          </w:tcPr>
          <w:p>
            <w:pPr>
              <w:spacing w:after="0"/>
              <w:rPr>
                <w:sz w:val="20"/>
                <w:szCs w:val="20"/>
                <w:color w:val="auto"/>
              </w:rPr>
            </w:pPr>
            <w:r>
              <w:rPr>
                <w:rFonts w:ascii="Arial" w:cs="Arial" w:eastAsia="Arial" w:hAnsi="Arial"/>
                <w:sz w:val="18"/>
                <w:szCs w:val="18"/>
                <w:color w:val="auto"/>
              </w:rPr>
              <w:t>filer</w:t>
            </w:r>
          </w:p>
        </w:tc>
        <w:tc>
          <w:tcPr>
            <w:tcW w:w="480" w:type="dxa"/>
            <w:vAlign w:val="bottom"/>
            <w:vMerge w:val="continue"/>
          </w:tcPr>
          <w:p>
            <w:pPr>
              <w:spacing w:after="0"/>
              <w:rPr>
                <w:sz w:val="22"/>
                <w:szCs w:val="22"/>
                <w:color w:val="auto"/>
              </w:rPr>
            </w:pPr>
          </w:p>
        </w:tc>
        <w:tc>
          <w:tcPr>
            <w:tcW w:w="1680" w:type="dxa"/>
            <w:vAlign w:val="bottom"/>
            <w:vMerge w:val="continue"/>
          </w:tcPr>
          <w:p>
            <w:pPr>
              <w:spacing w:after="0"/>
              <w:rPr>
                <w:sz w:val="22"/>
                <w:szCs w:val="22"/>
                <w:color w:val="auto"/>
              </w:rPr>
            </w:pPr>
          </w:p>
        </w:tc>
        <w:tc>
          <w:tcPr>
            <w:tcW w:w="540" w:type="dxa"/>
            <w:vAlign w:val="bottom"/>
            <w:vMerge w:val="continue"/>
          </w:tcPr>
          <w:p>
            <w:pPr>
              <w:spacing w:after="0"/>
              <w:rPr>
                <w:sz w:val="22"/>
                <w:szCs w:val="22"/>
                <w:color w:val="auto"/>
              </w:rPr>
            </w:pPr>
          </w:p>
        </w:tc>
        <w:tc>
          <w:tcPr>
            <w:tcW w:w="1700" w:type="dxa"/>
            <w:vAlign w:val="bottom"/>
          </w:tcPr>
          <w:p>
            <w:pPr>
              <w:ind w:left="200"/>
              <w:spacing w:after="0"/>
              <w:rPr>
                <w:sz w:val="20"/>
                <w:szCs w:val="20"/>
                <w:color w:val="auto"/>
              </w:rPr>
            </w:pPr>
            <w:r>
              <w:rPr>
                <w:rFonts w:ascii="Arial" w:cs="Arial" w:eastAsia="Arial" w:hAnsi="Arial"/>
                <w:sz w:val="18"/>
                <w:szCs w:val="18"/>
                <w:color w:val="auto"/>
              </w:rPr>
              <w:t>filer</w:t>
            </w:r>
          </w:p>
        </w:tc>
        <w:tc>
          <w:tcPr>
            <w:tcW w:w="520" w:type="dxa"/>
            <w:vAlign w:val="bottom"/>
            <w:vMerge w:val="continue"/>
          </w:tcPr>
          <w:p>
            <w:pPr>
              <w:spacing w:after="0"/>
              <w:rPr>
                <w:sz w:val="22"/>
                <w:szCs w:val="22"/>
                <w:color w:val="auto"/>
              </w:rPr>
            </w:pPr>
          </w:p>
        </w:tc>
        <w:tc>
          <w:tcPr>
            <w:tcW w:w="1720" w:type="dxa"/>
            <w:vAlign w:val="bottom"/>
          </w:tcPr>
          <w:p>
            <w:pPr>
              <w:ind w:left="220"/>
              <w:spacing w:after="0"/>
              <w:rPr>
                <w:sz w:val="20"/>
                <w:szCs w:val="20"/>
                <w:color w:val="auto"/>
              </w:rPr>
            </w:pPr>
            <w:r>
              <w:rPr>
                <w:rFonts w:ascii="Arial" w:cs="Arial" w:eastAsia="Arial" w:hAnsi="Arial"/>
                <w:sz w:val="18"/>
                <w:szCs w:val="18"/>
                <w:color w:val="auto"/>
              </w:rPr>
              <w:t>company</w:t>
            </w:r>
          </w:p>
        </w:tc>
        <w:tc>
          <w:tcPr>
            <w:tcW w:w="520" w:type="dxa"/>
            <w:vAlign w:val="bottom"/>
            <w:vMerge w:val="continue"/>
          </w:tcPr>
          <w:p>
            <w:pPr>
              <w:spacing w:after="0"/>
              <w:rPr>
                <w:sz w:val="22"/>
                <w:szCs w:val="22"/>
                <w:color w:val="auto"/>
              </w:rPr>
            </w:pPr>
          </w:p>
        </w:tc>
        <w:tc>
          <w:tcPr>
            <w:tcW w:w="1700" w:type="dxa"/>
            <w:vAlign w:val="bottom"/>
          </w:tcPr>
          <w:p>
            <w:pPr>
              <w:ind w:left="200"/>
              <w:spacing w:after="0"/>
              <w:rPr>
                <w:sz w:val="20"/>
                <w:szCs w:val="20"/>
                <w:color w:val="auto"/>
              </w:rPr>
            </w:pPr>
            <w:r>
              <w:rPr>
                <w:rFonts w:ascii="Arial" w:cs="Arial" w:eastAsia="Arial" w:hAnsi="Arial"/>
                <w:sz w:val="18"/>
                <w:szCs w:val="18"/>
                <w:color w:val="auto"/>
              </w:rPr>
              <w:t>company</w:t>
            </w:r>
          </w:p>
        </w:tc>
        <w:tc>
          <w:tcPr>
            <w:tcW w:w="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 w:lineRule="exact"/>
        <w:rPr>
          <w:sz w:val="24"/>
          <w:szCs w:val="24"/>
          <w:color w:val="auto"/>
        </w:rPr>
      </w:pPr>
    </w:p>
    <w:p>
      <w:pPr>
        <w:spacing w:after="0" w:line="207" w:lineRule="exact"/>
        <w:tabs>
          <w:tab w:leader="none" w:pos="9160" w:val="left"/>
          <w:tab w:leader="none" w:pos="98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27, 2026, there were 4,734,668,184 shares of our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3" w:right="3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BROADCOM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February 1, 2026</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220" w:type="dxa"/>
            <w:vAlign w:val="bottom"/>
            <w:tcBorders>
              <w:bottom w:val="single" w:sz="8" w:color="CCEEFF"/>
            </w:tcBorders>
          </w:tcPr>
          <w:p>
            <w:pPr>
              <w:spacing w:after="0"/>
              <w:rPr>
                <w:sz w:val="17"/>
                <w:szCs w:val="17"/>
                <w:color w:val="auto"/>
              </w:rPr>
            </w:pPr>
          </w:p>
        </w:tc>
        <w:tc>
          <w:tcPr>
            <w:tcW w:w="19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Page</w:t>
            </w:r>
          </w:p>
        </w:tc>
      </w:tr>
      <w:tr>
        <w:trPr>
          <w:trHeight w:val="184"/>
        </w:trPr>
        <w:tc>
          <w:tcPr>
            <w:tcW w:w="20" w:type="dxa"/>
            <w:vAlign w:val="bottom"/>
            <w:shd w:val="clear" w:color="auto" w:fill="CCEEFF"/>
          </w:tcPr>
          <w:p>
            <w:pPr>
              <w:spacing w:after="0"/>
              <w:rPr>
                <w:sz w:val="15"/>
                <w:szCs w:val="15"/>
                <w:color w:val="auto"/>
              </w:rPr>
            </w:pPr>
          </w:p>
        </w:tc>
        <w:tc>
          <w:tcPr>
            <w:tcW w:w="3140" w:type="dxa"/>
            <w:vAlign w:val="bottom"/>
            <w:gridSpan w:val="11"/>
            <w:shd w:val="clear" w:color="auto" w:fill="CCEEFF"/>
          </w:tcPr>
          <w:p>
            <w:pPr>
              <w:spacing w:after="0" w:line="183" w:lineRule="exact"/>
              <w:rPr>
                <w:sz w:val="20"/>
                <w:szCs w:val="20"/>
                <w:color w:val="auto"/>
              </w:rPr>
            </w:pPr>
            <w:r>
              <w:rPr>
                <w:rFonts w:ascii="Arial" w:cs="Arial" w:eastAsia="Arial" w:hAnsi="Arial"/>
                <w:sz w:val="18"/>
                <w:szCs w:val="18"/>
                <w:b w:val="1"/>
                <w:bCs w:val="1"/>
                <w:color w:val="0000FF"/>
                <w:w w:val="98"/>
              </w:rPr>
              <w:t>PART I — FINANCIAL INFORMATION</w:t>
            </w:r>
          </w:p>
        </w:tc>
        <w:tc>
          <w:tcPr>
            <w:tcW w:w="6560" w:type="dxa"/>
            <w:vAlign w:val="bottom"/>
            <w:gridSpan w:val="5"/>
            <w:shd w:val="clear" w:color="auto" w:fill="CCEEFF"/>
          </w:tcPr>
          <w:p>
            <w:pPr>
              <w:spacing w:after="0"/>
              <w:rPr>
                <w:sz w:val="15"/>
                <w:szCs w:val="15"/>
                <w:color w:val="auto"/>
              </w:rPr>
            </w:pPr>
          </w:p>
        </w:tc>
        <w:tc>
          <w:tcPr>
            <w:tcW w:w="1400" w:type="dxa"/>
            <w:vAlign w:val="bottom"/>
            <w:gridSpan w:val="2"/>
            <w:shd w:val="clear" w:color="auto" w:fill="CCEEFF"/>
          </w:tcPr>
          <w:p>
            <w:pPr>
              <w:spacing w:after="0"/>
              <w:rPr>
                <w:sz w:val="15"/>
                <w:szCs w:val="15"/>
                <w:color w:val="auto"/>
              </w:rPr>
            </w:pPr>
          </w:p>
        </w:tc>
        <w:tc>
          <w:tcPr>
            <w:tcW w:w="12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8"/>
                <w:szCs w:val="18"/>
                <w:color w:val="0000FF"/>
                <w:w w:val="79"/>
              </w:rPr>
              <w:t>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700" w:type="dxa"/>
            <w:vAlign w:val="bottom"/>
            <w:gridSpan w:val="16"/>
          </w:tcPr>
          <w:p>
            <w:pPr>
              <w:ind w:left="120"/>
              <w:spacing w:after="0" w:line="189" w:lineRule="exact"/>
              <w:rPr>
                <w:sz w:val="20"/>
                <w:szCs w:val="20"/>
                <w:color w:val="auto"/>
              </w:rPr>
            </w:pPr>
            <w:r>
              <w:rPr>
                <w:rFonts w:ascii="Arial" w:cs="Arial" w:eastAsia="Arial" w:hAnsi="Arial"/>
                <w:sz w:val="18"/>
                <w:szCs w:val="18"/>
                <w:color w:val="0000FF"/>
              </w:rPr>
              <w:t>Item 1. Condensed Consolidated Financial Statements — Unaudited</w:t>
            </w:r>
          </w:p>
        </w:tc>
        <w:tc>
          <w:tcPr>
            <w:tcW w:w="15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1</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58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15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22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20" w:type="dxa"/>
            <w:vAlign w:val="bottom"/>
            <w:tcBorders>
              <w:top w:val="single" w:sz="8" w:color="0000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80" w:type="dxa"/>
            <w:vAlign w:val="bottom"/>
            <w:gridSpan w:val="14"/>
          </w:tcPr>
          <w:p>
            <w:pPr>
              <w:spacing w:after="0" w:line="189" w:lineRule="exact"/>
              <w:rPr>
                <w:sz w:val="20"/>
                <w:szCs w:val="20"/>
                <w:color w:val="auto"/>
              </w:rPr>
            </w:pPr>
            <w:r>
              <w:rPr>
                <w:rFonts w:ascii="Arial" w:cs="Arial" w:eastAsia="Arial" w:hAnsi="Arial"/>
                <w:sz w:val="18"/>
                <w:szCs w:val="18"/>
                <w:color w:val="0000FF"/>
              </w:rPr>
              <w:t>Item 3. Quantitative and Qualitative Disclosures About Market Risk</w:t>
            </w:r>
          </w:p>
        </w:tc>
        <w:tc>
          <w:tcPr>
            <w:tcW w:w="19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89"/>
              </w:rPr>
              <w:t>29</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Item 4. Controls and Procedures</w:t>
            </w:r>
          </w:p>
        </w:tc>
        <w:tc>
          <w:tcPr>
            <w:tcW w:w="6980" w:type="dxa"/>
            <w:vAlign w:val="bottom"/>
            <w:gridSpan w:val="7"/>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89"/>
              </w:rPr>
              <w:t>29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700" w:type="dxa"/>
            <w:vAlign w:val="bottom"/>
            <w:gridSpan w:val="16"/>
          </w:tcPr>
          <w:p>
            <w:pPr>
              <w:spacing w:after="0" w:line="189" w:lineRule="exact"/>
              <w:rPr>
                <w:sz w:val="20"/>
                <w:szCs w:val="20"/>
                <w:color w:val="auto"/>
              </w:rPr>
            </w:pPr>
            <w:r>
              <w:rPr>
                <w:rFonts w:ascii="Arial" w:cs="Arial" w:eastAsia="Arial" w:hAnsi="Arial"/>
                <w:sz w:val="18"/>
                <w:szCs w:val="18"/>
                <w:b w:val="1"/>
                <w:bCs w:val="1"/>
                <w:color w:val="0000FF"/>
              </w:rPr>
              <w:t>PART II — OTHER INFORMATION</w:t>
            </w:r>
          </w:p>
        </w:tc>
        <w:tc>
          <w:tcPr>
            <w:tcW w:w="15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29</w:t>
            </w: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0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0000FF"/>
                <w:w w:val="99"/>
              </w:rPr>
              <w:t>Item 1. Legal Proceedings</w:t>
            </w:r>
          </w:p>
        </w:tc>
        <w:tc>
          <w:tcPr>
            <w:tcW w:w="7480" w:type="dxa"/>
            <w:vAlign w:val="bottom"/>
            <w:gridSpan w:val="9"/>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89"/>
              </w:rPr>
              <w:t>29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6"/>
          </w:tcPr>
          <w:p>
            <w:pPr>
              <w:spacing w:after="0" w:line="189" w:lineRule="exact"/>
              <w:rPr>
                <w:sz w:val="20"/>
                <w:szCs w:val="20"/>
                <w:color w:val="auto"/>
              </w:rPr>
            </w:pPr>
            <w:r>
              <w:rPr>
                <w:rFonts w:ascii="Arial" w:cs="Arial" w:eastAsia="Arial" w:hAnsi="Arial"/>
                <w:sz w:val="18"/>
                <w:szCs w:val="18"/>
                <w:color w:val="0000FF"/>
              </w:rPr>
              <w:t>Item 1A. Risk Factors</w:t>
            </w:r>
          </w:p>
        </w:tc>
        <w:tc>
          <w:tcPr>
            <w:tcW w:w="7480" w:type="dxa"/>
            <w:vAlign w:val="bottom"/>
            <w:gridSpan w:val="9"/>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89"/>
              </w:rPr>
              <w:t>29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6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w w:val="99"/>
              </w:rPr>
              <w:t>Item 2. Unregistered Sales of Equity Securities and Use of Proceeds</w:t>
            </w:r>
          </w:p>
        </w:tc>
        <w:tc>
          <w:tcPr>
            <w:tcW w:w="4120" w:type="dxa"/>
            <w:vAlign w:val="bottom"/>
            <w:gridSpan w:val="2"/>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89"/>
              </w:rPr>
              <w:t>47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line="189" w:lineRule="exact"/>
              <w:rPr>
                <w:sz w:val="20"/>
                <w:szCs w:val="20"/>
                <w:color w:val="auto"/>
              </w:rPr>
            </w:pPr>
            <w:r>
              <w:rPr>
                <w:rFonts w:ascii="Arial" w:cs="Arial" w:eastAsia="Arial" w:hAnsi="Arial"/>
                <w:sz w:val="18"/>
                <w:szCs w:val="18"/>
                <w:color w:val="0000FF"/>
              </w:rPr>
              <w:t>Item 3.</w:t>
            </w:r>
          </w:p>
        </w:tc>
        <w:tc>
          <w:tcPr>
            <w:tcW w:w="4880" w:type="dxa"/>
            <w:vAlign w:val="bottom"/>
            <w:gridSpan w:val="12"/>
          </w:tcPr>
          <w:p>
            <w:pPr>
              <w:ind w:left="20"/>
              <w:spacing w:after="0" w:line="189" w:lineRule="exact"/>
              <w:rPr>
                <w:sz w:val="20"/>
                <w:szCs w:val="20"/>
                <w:color w:val="auto"/>
              </w:rPr>
            </w:pPr>
            <w:r>
              <w:rPr>
                <w:rFonts w:ascii="Arial" w:cs="Arial" w:eastAsia="Arial" w:hAnsi="Arial"/>
                <w:sz w:val="18"/>
                <w:szCs w:val="18"/>
                <w:color w:val="0000FF"/>
              </w:rPr>
              <w:t>Defaults Upon Senior Securities</w:t>
            </w:r>
          </w:p>
        </w:tc>
        <w:tc>
          <w:tcPr>
            <w:tcW w:w="4120" w:type="dxa"/>
            <w:vAlign w:val="bottom"/>
            <w:gridSpan w:val="2"/>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89"/>
              </w:rPr>
              <w:t>47</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rPr>
              <w:t>Item 4.</w:t>
            </w:r>
          </w:p>
        </w:tc>
        <w:tc>
          <w:tcPr>
            <w:tcW w:w="1960" w:type="dxa"/>
            <w:vAlign w:val="bottom"/>
            <w:gridSpan w:val="6"/>
            <w:shd w:val="clear" w:color="auto" w:fill="CCEEFF"/>
          </w:tcPr>
          <w:p>
            <w:pPr>
              <w:ind w:left="20"/>
              <w:spacing w:after="0" w:line="189" w:lineRule="exact"/>
              <w:rPr>
                <w:sz w:val="20"/>
                <w:szCs w:val="20"/>
                <w:color w:val="auto"/>
              </w:rPr>
            </w:pPr>
            <w:r>
              <w:rPr>
                <w:rFonts w:ascii="Arial" w:cs="Arial" w:eastAsia="Arial" w:hAnsi="Arial"/>
                <w:sz w:val="18"/>
                <w:szCs w:val="18"/>
                <w:color w:val="0000FF"/>
                <w:w w:val="99"/>
              </w:rPr>
              <w:t>Mine Safety Disclosures</w:t>
            </w:r>
          </w:p>
        </w:tc>
        <w:tc>
          <w:tcPr>
            <w:tcW w:w="7040" w:type="dxa"/>
            <w:vAlign w:val="bottom"/>
            <w:gridSpan w:val="8"/>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89"/>
              </w:rPr>
              <w:t>47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line="189" w:lineRule="exact"/>
              <w:rPr>
                <w:sz w:val="20"/>
                <w:szCs w:val="20"/>
                <w:color w:val="auto"/>
              </w:rPr>
            </w:pPr>
            <w:r>
              <w:rPr>
                <w:rFonts w:ascii="Arial" w:cs="Arial" w:eastAsia="Arial" w:hAnsi="Arial"/>
                <w:sz w:val="18"/>
                <w:szCs w:val="18"/>
                <w:color w:val="0000FF"/>
              </w:rPr>
              <w:t>Item 5.</w:t>
            </w:r>
          </w:p>
        </w:tc>
        <w:tc>
          <w:tcPr>
            <w:tcW w:w="1960" w:type="dxa"/>
            <w:vAlign w:val="bottom"/>
            <w:gridSpan w:val="6"/>
          </w:tcPr>
          <w:p>
            <w:pPr>
              <w:ind w:left="20"/>
              <w:spacing w:after="0" w:line="189" w:lineRule="exact"/>
              <w:rPr>
                <w:sz w:val="20"/>
                <w:szCs w:val="20"/>
                <w:color w:val="auto"/>
              </w:rPr>
            </w:pPr>
            <w:r>
              <w:rPr>
                <w:rFonts w:ascii="Arial" w:cs="Arial" w:eastAsia="Arial" w:hAnsi="Arial"/>
                <w:sz w:val="18"/>
                <w:szCs w:val="18"/>
                <w:color w:val="0000FF"/>
              </w:rPr>
              <w:t>Other Information</w:t>
            </w:r>
          </w:p>
        </w:tc>
        <w:tc>
          <w:tcPr>
            <w:tcW w:w="7040" w:type="dxa"/>
            <w:vAlign w:val="bottom"/>
            <w:gridSpan w:val="8"/>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89"/>
              </w:rPr>
              <w:t>47</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rPr>
              <w:t>Item 6.</w:t>
            </w:r>
          </w:p>
        </w:tc>
        <w:tc>
          <w:tcPr>
            <w:tcW w:w="6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0000FF"/>
                <w:w w:val="98"/>
              </w:rPr>
              <w:t>Exhibits</w:t>
            </w:r>
          </w:p>
        </w:tc>
        <w:tc>
          <w:tcPr>
            <w:tcW w:w="8340" w:type="dxa"/>
            <w:vAlign w:val="bottom"/>
            <w:gridSpan w:val="12"/>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89"/>
              </w:rPr>
              <w:t>48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700" w:type="dxa"/>
            <w:vAlign w:val="bottom"/>
            <w:gridSpan w:val="16"/>
          </w:tcPr>
          <w:p>
            <w:pPr>
              <w:spacing w:after="0" w:line="189" w:lineRule="exact"/>
              <w:rPr>
                <w:sz w:val="20"/>
                <w:szCs w:val="20"/>
                <w:color w:val="auto"/>
              </w:rPr>
            </w:pPr>
            <w:r>
              <w:rPr>
                <w:rFonts w:ascii="Arial" w:cs="Arial" w:eastAsia="Arial" w:hAnsi="Arial"/>
                <w:sz w:val="18"/>
                <w:szCs w:val="18"/>
                <w:color w:val="0000FF"/>
              </w:rPr>
              <w:t>SIGNATURES</w:t>
            </w:r>
          </w:p>
        </w:tc>
        <w:tc>
          <w:tcPr>
            <w:tcW w:w="15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49</w:t>
            </w:r>
          </w:p>
        </w:tc>
      </w:tr>
      <w:tr>
        <w:trPr>
          <w:trHeight w:val="1283"/>
        </w:trPr>
        <w:tc>
          <w:tcPr>
            <w:tcW w:w="2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 Unaudited</w:t>
      </w:r>
    </w:p>
    <w:p>
      <w:pPr>
        <w:spacing w:after="0" w:line="1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BROADCOM INC.</w:t>
      </w:r>
    </w:p>
    <w:p>
      <w:pPr>
        <w:spacing w:after="0" w:line="117"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INDEX TO CONDENSED CONSOLIDATED FINANCIAL STATEMENTS — 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Borders>
              <w:bottom w:val="single" w:sz="8" w:color="CCEEFF"/>
            </w:tcBorders>
          </w:tcPr>
          <w:p>
            <w:pPr>
              <w:spacing w:after="0"/>
              <w:rPr>
                <w:sz w:val="17"/>
                <w:szCs w:val="17"/>
                <w:color w:val="auto"/>
              </w:rPr>
            </w:pPr>
          </w:p>
        </w:tc>
        <w:tc>
          <w:tcPr>
            <w:tcW w:w="44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Page</w:t>
            </w:r>
          </w:p>
        </w:tc>
      </w:tr>
      <w:tr>
        <w:trPr>
          <w:trHeight w:val="184"/>
        </w:trPr>
        <w:tc>
          <w:tcPr>
            <w:tcW w:w="20" w:type="dxa"/>
            <w:vAlign w:val="bottom"/>
            <w:shd w:val="clear" w:color="auto" w:fill="CCEEFF"/>
          </w:tcPr>
          <w:p>
            <w:pPr>
              <w:spacing w:after="0"/>
              <w:rPr>
                <w:sz w:val="15"/>
                <w:szCs w:val="15"/>
                <w:color w:val="auto"/>
              </w:rPr>
            </w:pPr>
          </w:p>
        </w:tc>
        <w:tc>
          <w:tcPr>
            <w:tcW w:w="4440" w:type="dxa"/>
            <w:vAlign w:val="bottom"/>
            <w:shd w:val="clear" w:color="auto" w:fill="CCEEFF"/>
          </w:tcPr>
          <w:p>
            <w:pPr>
              <w:spacing w:after="0" w:line="183" w:lineRule="exact"/>
              <w:rPr>
                <w:sz w:val="20"/>
                <w:szCs w:val="20"/>
                <w:color w:val="auto"/>
              </w:rPr>
            </w:pPr>
            <w:r>
              <w:rPr>
                <w:rFonts w:ascii="Arial" w:cs="Arial" w:eastAsia="Arial" w:hAnsi="Arial"/>
                <w:sz w:val="18"/>
                <w:szCs w:val="18"/>
                <w:color w:val="0000FF"/>
                <w:w w:val="99"/>
              </w:rPr>
              <w:t>Condensed Consolidated Balance Sheets — Unaudited</w:t>
            </w:r>
          </w:p>
        </w:tc>
        <w:tc>
          <w:tcPr>
            <w:tcW w:w="5260" w:type="dxa"/>
            <w:vAlign w:val="bottom"/>
            <w:gridSpan w:val="5"/>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8"/>
                <w:szCs w:val="18"/>
                <w:color w:val="0000FF"/>
                <w:w w:val="79"/>
              </w:rPr>
              <w:t>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700" w:type="dxa"/>
            <w:vAlign w:val="bottom"/>
            <w:gridSpan w:val="6"/>
          </w:tcPr>
          <w:p>
            <w:pPr>
              <w:spacing w:after="0" w:line="189" w:lineRule="exact"/>
              <w:rPr>
                <w:sz w:val="20"/>
                <w:szCs w:val="20"/>
                <w:color w:val="auto"/>
              </w:rPr>
            </w:pPr>
            <w:r>
              <w:rPr>
                <w:rFonts w:ascii="Arial" w:cs="Arial" w:eastAsia="Arial" w:hAnsi="Arial"/>
                <w:sz w:val="18"/>
                <w:szCs w:val="18"/>
                <w:color w:val="0000FF"/>
              </w:rPr>
              <w:t>Condensed Consolidated Statements of Operations — Unaudited</w:t>
            </w:r>
          </w:p>
        </w:tc>
        <w:tc>
          <w:tcPr>
            <w:tcW w:w="15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rPr>
              <w:t>3</w:t>
            </w:r>
          </w:p>
        </w:tc>
      </w:tr>
      <w:tr>
        <w:trPr>
          <w:trHeight w:val="21"/>
        </w:trPr>
        <w:tc>
          <w:tcPr>
            <w:tcW w:w="20" w:type="dxa"/>
            <w:vAlign w:val="bottom"/>
          </w:tcPr>
          <w:p>
            <w:pPr>
              <w:spacing w:after="0" w:line="20" w:lineRule="exact"/>
              <w:rPr>
                <w:sz w:val="1"/>
                <w:szCs w:val="1"/>
                <w:color w:val="auto"/>
              </w:rPr>
            </w:pPr>
          </w:p>
        </w:tc>
        <w:tc>
          <w:tcPr>
            <w:tcW w:w="44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24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w w:val="99"/>
              </w:rPr>
              <w:t>Condensed Consolidated Statements of Comprehensive Income — Unaudited</w:t>
            </w:r>
          </w:p>
        </w:tc>
        <w:tc>
          <w:tcPr>
            <w:tcW w:w="34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79"/>
              </w:rPr>
              <w:t>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240" w:type="dxa"/>
            <w:vAlign w:val="bottom"/>
            <w:gridSpan w:val="5"/>
          </w:tcPr>
          <w:p>
            <w:pPr>
              <w:spacing w:after="0" w:line="189" w:lineRule="exact"/>
              <w:rPr>
                <w:sz w:val="20"/>
                <w:szCs w:val="20"/>
                <w:color w:val="auto"/>
              </w:rPr>
            </w:pPr>
            <w:r>
              <w:rPr>
                <w:rFonts w:ascii="Arial" w:cs="Arial" w:eastAsia="Arial" w:hAnsi="Arial"/>
                <w:sz w:val="18"/>
                <w:szCs w:val="18"/>
                <w:color w:val="0000FF"/>
              </w:rPr>
              <w:t>Condensed Consolidated Statements of Cash Flows — Unaudited</w:t>
            </w:r>
          </w:p>
        </w:tc>
        <w:tc>
          <w:tcPr>
            <w:tcW w:w="3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FF"/>
                <w:w w:val="79"/>
              </w:rPr>
              <w:t>5</w:t>
            </w:r>
          </w:p>
        </w:tc>
      </w:tr>
      <w:tr>
        <w:trPr>
          <w:trHeight w:val="21"/>
        </w:trPr>
        <w:tc>
          <w:tcPr>
            <w:tcW w:w="20" w:type="dxa"/>
            <w:vAlign w:val="bottom"/>
          </w:tcPr>
          <w:p>
            <w:pPr>
              <w:spacing w:after="0" w:line="20" w:lineRule="exact"/>
              <w:rPr>
                <w:sz w:val="1"/>
                <w:szCs w:val="1"/>
                <w:color w:val="auto"/>
              </w:rPr>
            </w:pPr>
          </w:p>
        </w:tc>
        <w:tc>
          <w:tcPr>
            <w:tcW w:w="44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70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Stockholders’ Equity — Unaudited</w:t>
            </w:r>
          </w:p>
        </w:tc>
        <w:tc>
          <w:tcPr>
            <w:tcW w:w="15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gridSpan w:val="4"/>
          </w:tcPr>
          <w:p>
            <w:pPr>
              <w:spacing w:after="0" w:line="189" w:lineRule="exact"/>
              <w:rPr>
                <w:sz w:val="20"/>
                <w:szCs w:val="20"/>
                <w:color w:val="auto"/>
              </w:rPr>
            </w:pPr>
            <w:r>
              <w:rPr>
                <w:rFonts w:ascii="Arial" w:cs="Arial" w:eastAsia="Arial" w:hAnsi="Arial"/>
                <w:sz w:val="18"/>
                <w:szCs w:val="18"/>
                <w:color w:val="0000FF"/>
              </w:rPr>
              <w:t>Notes to Unaudited Condensed Consolidated Financial Statements</w:t>
            </w:r>
          </w:p>
        </w:tc>
        <w:tc>
          <w:tcPr>
            <w:tcW w:w="3740" w:type="dxa"/>
            <w:vAlign w:val="bottom"/>
            <w:gridSpan w:val="2"/>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FF"/>
                <w:w w:val="79"/>
              </w:rPr>
              <w:t>8</w:t>
            </w:r>
          </w:p>
        </w:tc>
      </w:tr>
      <w:tr>
        <w:trPr>
          <w:trHeight w:val="20"/>
        </w:trPr>
        <w:tc>
          <w:tcPr>
            <w:tcW w:w="20" w:type="dxa"/>
            <w:vAlign w:val="bottom"/>
          </w:tcPr>
          <w:p>
            <w:pPr>
              <w:spacing w:after="0" w:line="20" w:lineRule="exact"/>
              <w:rPr>
                <w:sz w:val="1"/>
                <w:szCs w:val="1"/>
                <w:color w:val="auto"/>
              </w:rPr>
            </w:pPr>
          </w:p>
        </w:tc>
        <w:tc>
          <w:tcPr>
            <w:tcW w:w="4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BROADCOM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ind w:left="200"/>
              <w:spacing w:after="0"/>
              <w:rPr>
                <w:sz w:val="20"/>
                <w:szCs w:val="20"/>
                <w:color w:val="auto"/>
              </w:rPr>
            </w:pPr>
            <w:r>
              <w:rPr>
                <w:rFonts w:ascii="Arial" w:cs="Arial" w:eastAsia="Arial" w:hAnsi="Arial"/>
                <w:sz w:val="14"/>
                <w:szCs w:val="14"/>
                <w:b w:val="1"/>
                <w:bCs w:val="1"/>
                <w:color w:val="auto"/>
              </w:rPr>
              <w:t>February 1,</w:t>
            </w:r>
          </w:p>
        </w:tc>
        <w:tc>
          <w:tcPr>
            <w:tcW w:w="280" w:type="dxa"/>
            <w:vAlign w:val="bottom"/>
          </w:tcPr>
          <w:p>
            <w:pPr>
              <w:spacing w:after="0"/>
              <w:rPr>
                <w:sz w:val="14"/>
                <w:szCs w:val="14"/>
                <w:color w:val="auto"/>
              </w:rPr>
            </w:pPr>
          </w:p>
        </w:tc>
        <w:tc>
          <w:tcPr>
            <w:tcW w:w="1480" w:type="dxa"/>
            <w:vAlign w:val="bottom"/>
          </w:tcPr>
          <w:p>
            <w:pPr>
              <w:jc w:val="right"/>
              <w:ind w:right="351"/>
              <w:spacing w:after="0"/>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85"/>
        </w:trPr>
        <w:tc>
          <w:tcPr>
            <w:tcW w:w="7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5"/>
        </w:trPr>
        <w:tc>
          <w:tcPr>
            <w:tcW w:w="7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4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(In millions, except par value)</w:t>
            </w:r>
          </w:p>
        </w:tc>
        <w:tc>
          <w:tcPr>
            <w:tcW w:w="0" w:type="dxa"/>
            <w:vAlign w:val="bottom"/>
          </w:tcPr>
          <w:p>
            <w:pPr>
              <w:spacing w:after="0"/>
              <w:rPr>
                <w:sz w:val="1"/>
                <w:szCs w:val="1"/>
                <w:color w:val="auto"/>
              </w:rPr>
            </w:pPr>
          </w:p>
        </w:tc>
      </w:tr>
      <w:tr>
        <w:trPr>
          <w:trHeight w:val="231"/>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16,178</w:t>
            </w: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Trade accounts receivable, net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7,145</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5,980</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31,573</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Long-term assets: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97,801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97,801</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32,273</w:t>
            </w:r>
          </w:p>
        </w:tc>
        <w:tc>
          <w:tcPr>
            <w:tcW w:w="0" w:type="dxa"/>
            <w:vAlign w:val="bottom"/>
          </w:tcPr>
          <w:p>
            <w:pPr>
              <w:spacing w:after="0"/>
              <w:rPr>
                <w:sz w:val="1"/>
                <w:szCs w:val="1"/>
                <w:color w:val="auto"/>
              </w:rPr>
            </w:pPr>
          </w:p>
        </w:tc>
      </w:tr>
      <w:tr>
        <w:trPr>
          <w:trHeight w:val="22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assets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6,915</w:t>
            </w:r>
          </w:p>
        </w:tc>
        <w:tc>
          <w:tcPr>
            <w:tcW w:w="0" w:type="dxa"/>
            <w:vAlign w:val="bottom"/>
          </w:tcPr>
          <w:p>
            <w:pPr>
              <w:spacing w:after="0"/>
              <w:rPr>
                <w:sz w:val="1"/>
                <w:szCs w:val="1"/>
                <w:color w:val="auto"/>
              </w:rPr>
            </w:pPr>
          </w:p>
        </w:tc>
      </w:tr>
      <w:tr>
        <w:trPr>
          <w:trHeight w:val="248"/>
        </w:trPr>
        <w:tc>
          <w:tcPr>
            <w:tcW w:w="7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171,092</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2,112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compensation and benefits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Short-term debt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0" w:type="dxa"/>
            <w:vAlign w:val="bottom"/>
          </w:tcPr>
          <w:p>
            <w:pPr>
              <w:spacing w:after="0"/>
              <w:rPr>
                <w:sz w:val="1"/>
                <w:szCs w:val="1"/>
                <w:color w:val="auto"/>
              </w:rPr>
            </w:pPr>
          </w:p>
        </w:tc>
      </w:tr>
      <w:tr>
        <w:trPr>
          <w:trHeight w:val="223"/>
        </w:trPr>
        <w:tc>
          <w:tcPr>
            <w:tcW w:w="75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16,859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18,514</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63,805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61,984</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9,302</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89,800</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10)</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$0.001 par value; 100 shares authorized; none issued and outstanding</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560" w:type="dxa"/>
            <w:vAlign w:val="bottom"/>
          </w:tcPr>
          <w:p>
            <w:pPr>
              <w:ind w:left="140"/>
              <w:spacing w:after="0" w:line="176" w:lineRule="exact"/>
              <w:rPr>
                <w:sz w:val="20"/>
                <w:szCs w:val="20"/>
                <w:color w:val="auto"/>
              </w:rPr>
            </w:pPr>
            <w:r>
              <w:rPr>
                <w:rFonts w:ascii="Arial" w:cs="Arial" w:eastAsia="Arial" w:hAnsi="Arial"/>
                <w:sz w:val="18"/>
                <w:szCs w:val="18"/>
                <w:color w:val="auto"/>
              </w:rPr>
              <w:t>Common stock, $0.001 par value; 29,000 shares authorized; 4,736 and 4,741 shares</w:t>
            </w:r>
          </w:p>
        </w:tc>
        <w:tc>
          <w:tcPr>
            <w:tcW w:w="30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7560" w:type="dxa"/>
            <w:vAlign w:val="bottom"/>
          </w:tcPr>
          <w:p>
            <w:pPr>
              <w:ind w:left="300"/>
              <w:spacing w:after="0"/>
              <w:rPr>
                <w:sz w:val="20"/>
                <w:szCs w:val="20"/>
                <w:color w:val="auto"/>
              </w:rPr>
            </w:pPr>
            <w:r>
              <w:rPr>
                <w:rFonts w:ascii="Arial" w:cs="Arial" w:eastAsia="Arial" w:hAnsi="Arial"/>
                <w:sz w:val="18"/>
                <w:szCs w:val="18"/>
                <w:color w:val="auto"/>
              </w:rPr>
              <w:t>issued and outstanding as of February 1, 2026 and November 2, 2025, respectively</w:t>
            </w:r>
          </w:p>
        </w:tc>
        <w:tc>
          <w:tcPr>
            <w:tcW w:w="30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71,308</w:t>
            </w: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9,761</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79,872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81,292</w:t>
            </w:r>
          </w:p>
        </w:tc>
        <w:tc>
          <w:tcPr>
            <w:tcW w:w="0" w:type="dxa"/>
            <w:vAlign w:val="bottom"/>
          </w:tcPr>
          <w:p>
            <w:pPr>
              <w:spacing w:after="0"/>
              <w:rPr>
                <w:sz w:val="1"/>
                <w:szCs w:val="1"/>
                <w:color w:val="auto"/>
              </w:rPr>
            </w:pPr>
          </w:p>
        </w:tc>
      </w:tr>
      <w:tr>
        <w:trPr>
          <w:trHeight w:val="248"/>
        </w:trPr>
        <w:tc>
          <w:tcPr>
            <w:tcW w:w="7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171,092</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BROADCOM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86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Fiscal Quarter Ended</w:t>
            </w:r>
          </w:p>
        </w:tc>
      </w:tr>
      <w:tr>
        <w:trPr>
          <w:trHeight w:val="147"/>
        </w:trPr>
        <w:tc>
          <w:tcPr>
            <w:tcW w:w="8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February 1,</w:t>
            </w:r>
          </w:p>
        </w:tc>
        <w:tc>
          <w:tcPr>
            <w:tcW w:w="160" w:type="dxa"/>
            <w:vAlign w:val="bottom"/>
          </w:tcPr>
          <w:p>
            <w:pPr>
              <w:spacing w:after="0"/>
              <w:rPr>
                <w:sz w:val="12"/>
                <w:szCs w:val="12"/>
                <w:color w:val="auto"/>
              </w:rPr>
            </w:pPr>
          </w:p>
        </w:tc>
        <w:tc>
          <w:tcPr>
            <w:tcW w:w="1040" w:type="dxa"/>
            <w:vAlign w:val="bottom"/>
          </w:tcPr>
          <w:p>
            <w:pPr>
              <w:jc w:val="right"/>
              <w:ind w:right="131"/>
              <w:spacing w:after="0" w:line="147" w:lineRule="exact"/>
              <w:rPr>
                <w:sz w:val="20"/>
                <w:szCs w:val="20"/>
                <w:color w:val="auto"/>
              </w:rPr>
            </w:pPr>
            <w:r>
              <w:rPr>
                <w:rFonts w:ascii="Arial" w:cs="Arial" w:eastAsia="Arial" w:hAnsi="Arial"/>
                <w:sz w:val="14"/>
                <w:szCs w:val="14"/>
                <w:b w:val="1"/>
                <w:bCs w:val="1"/>
                <w:color w:val="auto"/>
              </w:rPr>
              <w:t>February 2,</w:t>
            </w:r>
          </w:p>
        </w:tc>
      </w:tr>
      <w:tr>
        <w:trPr>
          <w:trHeight w:val="185"/>
        </w:trPr>
        <w:tc>
          <w:tcPr>
            <w:tcW w:w="8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2025</w:t>
            </w:r>
          </w:p>
        </w:tc>
      </w:tr>
      <w:tr>
        <w:trPr>
          <w:trHeight w:val="236"/>
        </w:trPr>
        <w:tc>
          <w:tcPr>
            <w:tcW w:w="8660" w:type="dxa"/>
            <w:vAlign w:val="bottom"/>
          </w:tcPr>
          <w:p>
            <w:pPr>
              <w:spacing w:after="0"/>
              <w:rPr>
                <w:sz w:val="20"/>
                <w:szCs w:val="20"/>
                <w:color w:val="auto"/>
              </w:rPr>
            </w:pPr>
          </w:p>
        </w:tc>
        <w:tc>
          <w:tcPr>
            <w:tcW w:w="25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r>
      <w:tr>
        <w:trPr>
          <w:trHeight w:val="230"/>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8660" w:type="dxa"/>
            <w:vAlign w:val="bottom"/>
          </w:tcPr>
          <w:p>
            <w:pPr>
              <w:ind w:left="140"/>
              <w:spacing w:after="0"/>
              <w:rPr>
                <w:sz w:val="20"/>
                <w:szCs w:val="20"/>
                <w:color w:val="auto"/>
              </w:rPr>
            </w:pPr>
            <w:r>
              <w:rPr>
                <w:rFonts w:ascii="Arial" w:cs="Arial" w:eastAsia="Arial" w:hAnsi="Arial"/>
                <w:sz w:val="18"/>
                <w:szCs w:val="18"/>
                <w:color w:val="auto"/>
              </w:rPr>
              <w:t>Products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14,130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10,143</w:t>
            </w:r>
          </w:p>
        </w:tc>
      </w:tr>
      <w:tr>
        <w:trPr>
          <w:trHeight w:val="229"/>
        </w:trPr>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Subscriptions and services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w:t>
            </w:r>
          </w:p>
        </w:tc>
      </w:tr>
      <w:tr>
        <w:trPr>
          <w:trHeight w:val="223"/>
        </w:trPr>
        <w:tc>
          <w:tcPr>
            <w:tcW w:w="8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net revenue</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14,916</w:t>
            </w:r>
          </w:p>
        </w:tc>
      </w:tr>
      <w:tr>
        <w:trPr>
          <w:trHeight w:val="209"/>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660" w:type="dxa"/>
            <w:vAlign w:val="bottom"/>
          </w:tcPr>
          <w:p>
            <w:pPr>
              <w:ind w:left="140"/>
              <w:spacing w:after="0"/>
              <w:rPr>
                <w:sz w:val="20"/>
                <w:szCs w:val="20"/>
                <w:color w:val="auto"/>
              </w:rPr>
            </w:pPr>
            <w:r>
              <w:rPr>
                <w:rFonts w:ascii="Arial" w:cs="Arial" w:eastAsia="Arial" w:hAnsi="Arial"/>
                <w:sz w:val="18"/>
                <w:szCs w:val="18"/>
                <w:color w:val="auto"/>
              </w:rPr>
              <w:t>Cost of products sold</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2,695</w:t>
            </w:r>
          </w:p>
        </w:tc>
      </w:tr>
      <w:tr>
        <w:trPr>
          <w:trHeight w:val="229"/>
        </w:trPr>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subscriptions and services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r>
      <w:tr>
        <w:trPr>
          <w:trHeight w:val="229"/>
        </w:trPr>
        <w:tc>
          <w:tcPr>
            <w:tcW w:w="8660" w:type="dxa"/>
            <w:vAlign w:val="bottom"/>
          </w:tcPr>
          <w:p>
            <w:pPr>
              <w:ind w:left="140"/>
              <w:spacing w:after="0"/>
              <w:rPr>
                <w:sz w:val="20"/>
                <w:szCs w:val="20"/>
                <w:color w:val="auto"/>
              </w:rPr>
            </w:pPr>
            <w:r>
              <w:rPr>
                <w:rFonts w:ascii="Arial" w:cs="Arial" w:eastAsia="Arial" w:hAnsi="Arial"/>
                <w:sz w:val="18"/>
                <w:szCs w:val="18"/>
                <w:color w:val="auto"/>
              </w:rPr>
              <w:t>Amortization of acquisition-related intangible assets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1,484</w:t>
            </w:r>
          </w:p>
        </w:tc>
      </w:tr>
      <w:tr>
        <w:trPr>
          <w:trHeight w:val="230"/>
        </w:trPr>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cost of revenue</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4,771</w:t>
            </w:r>
          </w:p>
        </w:tc>
      </w:tr>
      <w:tr>
        <w:trPr>
          <w:trHeight w:val="223"/>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10,145</w:t>
            </w:r>
          </w:p>
        </w:tc>
      </w:tr>
      <w:tr>
        <w:trPr>
          <w:trHeight w:val="229"/>
        </w:trPr>
        <w:tc>
          <w:tcPr>
            <w:tcW w:w="86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2,253</w:t>
            </w:r>
          </w:p>
        </w:tc>
      </w:tr>
      <w:tr>
        <w:trPr>
          <w:trHeight w:val="230"/>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29"/>
        </w:trPr>
        <w:tc>
          <w:tcPr>
            <w:tcW w:w="8660" w:type="dxa"/>
            <w:vAlign w:val="bottom"/>
          </w:tcPr>
          <w:p>
            <w:pPr>
              <w:ind w:left="20"/>
              <w:spacing w:after="0"/>
              <w:rPr>
                <w:sz w:val="20"/>
                <w:szCs w:val="20"/>
                <w:color w:val="auto"/>
              </w:rPr>
            </w:pPr>
            <w:r>
              <w:rPr>
                <w:rFonts w:ascii="Arial" w:cs="Arial" w:eastAsia="Arial" w:hAnsi="Arial"/>
                <w:sz w:val="18"/>
                <w:szCs w:val="18"/>
                <w:color w:val="auto"/>
              </w:rPr>
              <w:t>Amortization of acquisition-related intangible assets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29"/>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23"/>
        </w:trPr>
        <w:tc>
          <w:tcPr>
            <w:tcW w:w="8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3,885</w:t>
            </w:r>
          </w:p>
        </w:tc>
      </w:tr>
      <w:tr>
        <w:trPr>
          <w:trHeight w:val="223"/>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w:t>
            </w:r>
          </w:p>
        </w:tc>
      </w:tr>
      <w:tr>
        <w:trPr>
          <w:trHeight w:val="230"/>
        </w:trPr>
        <w:tc>
          <w:tcPr>
            <w:tcW w:w="8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(873)</w:t>
            </w:r>
          </w:p>
        </w:tc>
      </w:tr>
      <w:tr>
        <w:trPr>
          <w:trHeight w:val="229"/>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86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5,490</w:t>
            </w:r>
          </w:p>
        </w:tc>
      </w:tr>
      <w:tr>
        <w:trPr>
          <w:trHeight w:val="229"/>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196"/>
        </w:trPr>
        <w:tc>
          <w:tcPr>
            <w:tcW w:w="8660" w:type="dxa"/>
            <w:vAlign w:val="bottom"/>
          </w:tcPr>
          <w:p>
            <w:pPr>
              <w:ind w:left="20"/>
              <w:spacing w:after="0" w:line="196" w:lineRule="exact"/>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7,349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5,503</w:t>
            </w:r>
          </w:p>
        </w:tc>
      </w:tr>
      <w:tr>
        <w:trPr>
          <w:trHeight w:val="20"/>
        </w:trPr>
        <w:tc>
          <w:tcPr>
            <w:tcW w:w="8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8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866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8660" w:type="dxa"/>
            <w:vAlign w:val="bottom"/>
          </w:tcPr>
          <w:p>
            <w:pPr>
              <w:ind w:left="14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0"/>
        </w:trPr>
        <w:tc>
          <w:tcPr>
            <w:tcW w:w="8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29"/>
        </w:trPr>
        <w:tc>
          <w:tcPr>
            <w:tcW w:w="8660" w:type="dxa"/>
            <w:vAlign w:val="bottom"/>
          </w:tcPr>
          <w:p>
            <w:pPr>
              <w:ind w:left="20"/>
              <w:spacing w:after="0"/>
              <w:rPr>
                <w:sz w:val="20"/>
                <w:szCs w:val="20"/>
                <w:color w:val="auto"/>
              </w:rPr>
            </w:pPr>
            <w:r>
              <w:rPr>
                <w:rFonts w:ascii="Arial" w:cs="Arial" w:eastAsia="Arial" w:hAnsi="Arial"/>
                <w:sz w:val="18"/>
                <w:szCs w:val="18"/>
                <w:color w:val="auto"/>
              </w:rPr>
              <w:t>Weighted-average shares used in per share calculations: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w:t>
            </w:r>
          </w:p>
        </w:tc>
      </w:tr>
      <w:tr>
        <w:trPr>
          <w:trHeight w:val="239"/>
        </w:trPr>
        <w:tc>
          <w:tcPr>
            <w:tcW w:w="8660" w:type="dxa"/>
            <w:vAlign w:val="bottom"/>
          </w:tcPr>
          <w:p>
            <w:pPr>
              <w:ind w:left="14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4,836</w:t>
            </w:r>
          </w:p>
        </w:tc>
      </w:tr>
    </w:tbl>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BROADCOM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 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Fiscal Quarter Ended</w:t>
            </w:r>
          </w:p>
        </w:tc>
      </w:tr>
      <w:tr>
        <w:trPr>
          <w:trHeight w:val="147"/>
        </w:trPr>
        <w:tc>
          <w:tcPr>
            <w:tcW w:w="8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February 1,</w:t>
            </w:r>
          </w:p>
        </w:tc>
        <w:tc>
          <w:tcPr>
            <w:tcW w:w="180" w:type="dxa"/>
            <w:vAlign w:val="bottom"/>
          </w:tcPr>
          <w:p>
            <w:pPr>
              <w:spacing w:after="0"/>
              <w:rPr>
                <w:sz w:val="12"/>
                <w:szCs w:val="12"/>
                <w:color w:val="auto"/>
              </w:rPr>
            </w:pPr>
          </w:p>
        </w:tc>
        <w:tc>
          <w:tcPr>
            <w:tcW w:w="1040" w:type="dxa"/>
            <w:vAlign w:val="bottom"/>
          </w:tcPr>
          <w:p>
            <w:pPr>
              <w:jc w:val="right"/>
              <w:ind w:right="135"/>
              <w:spacing w:after="0" w:line="147" w:lineRule="exact"/>
              <w:rPr>
                <w:sz w:val="20"/>
                <w:szCs w:val="20"/>
                <w:color w:val="auto"/>
              </w:rPr>
            </w:pPr>
            <w:r>
              <w:rPr>
                <w:rFonts w:ascii="Arial" w:cs="Arial" w:eastAsia="Arial" w:hAnsi="Arial"/>
                <w:sz w:val="14"/>
                <w:szCs w:val="14"/>
                <w:b w:val="1"/>
                <w:bCs w:val="1"/>
                <w:color w:val="auto"/>
              </w:rPr>
              <w:t>February 2,</w:t>
            </w:r>
          </w:p>
        </w:tc>
      </w:tr>
      <w:tr>
        <w:trPr>
          <w:trHeight w:val="185"/>
        </w:trPr>
        <w:tc>
          <w:tcPr>
            <w:tcW w:w="8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2025</w:t>
            </w:r>
          </w:p>
        </w:tc>
      </w:tr>
      <w:tr>
        <w:trPr>
          <w:trHeight w:val="235"/>
        </w:trPr>
        <w:tc>
          <w:tcPr>
            <w:tcW w:w="8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4"/>
          </w:tcPr>
          <w:p>
            <w:pPr>
              <w:jc w:val="right"/>
              <w:ind w:right="775"/>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w:t>
            </w: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unrealized gain on derivative instruments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 in actuarial loss and prior service costs associated with defined benefit plans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 net of tax</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7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5,503</w:t>
            </w:r>
          </w:p>
        </w:tc>
      </w:tr>
      <w:tr>
        <w:trPr>
          <w:trHeight w:val="20"/>
        </w:trPr>
        <w:tc>
          <w:tcPr>
            <w:tcW w:w="8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BROADCOM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4"/>
                <w:szCs w:val="14"/>
                <w:b w:val="1"/>
                <w:bCs w:val="1"/>
                <w:color w:val="auto"/>
              </w:rPr>
              <w:t>Fiscal Quarter Ended</w:t>
            </w:r>
          </w:p>
        </w:tc>
      </w:tr>
      <w:tr>
        <w:trPr>
          <w:trHeight w:val="147"/>
        </w:trPr>
        <w:tc>
          <w:tcPr>
            <w:tcW w:w="7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February 1,</w:t>
            </w:r>
          </w:p>
        </w:tc>
        <w:tc>
          <w:tcPr>
            <w:tcW w:w="420" w:type="dxa"/>
            <w:vAlign w:val="bottom"/>
          </w:tcPr>
          <w:p>
            <w:pPr>
              <w:spacing w:after="0"/>
              <w:rPr>
                <w:sz w:val="12"/>
                <w:szCs w:val="12"/>
                <w:color w:val="auto"/>
              </w:rPr>
            </w:pPr>
          </w:p>
        </w:tc>
        <w:tc>
          <w:tcPr>
            <w:tcW w:w="1360" w:type="dxa"/>
            <w:vAlign w:val="bottom"/>
          </w:tcPr>
          <w:p>
            <w:pPr>
              <w:jc w:val="right"/>
              <w:ind w:right="411"/>
              <w:spacing w:after="0" w:line="147" w:lineRule="exact"/>
              <w:rPr>
                <w:sz w:val="20"/>
                <w:szCs w:val="20"/>
                <w:color w:val="auto"/>
              </w:rPr>
            </w:pPr>
            <w:r>
              <w:rPr>
                <w:rFonts w:ascii="Arial" w:cs="Arial" w:eastAsia="Arial" w:hAnsi="Arial"/>
                <w:sz w:val="14"/>
                <w:szCs w:val="14"/>
                <w:b w:val="1"/>
                <w:bCs w:val="1"/>
                <w:color w:val="auto"/>
              </w:rPr>
              <w:t>February 2,</w:t>
            </w:r>
          </w:p>
        </w:tc>
      </w:tr>
      <w:tr>
        <w:trPr>
          <w:trHeight w:val="185"/>
        </w:trPr>
        <w:tc>
          <w:tcPr>
            <w:tcW w:w="7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2025</w:t>
            </w:r>
          </w:p>
        </w:tc>
      </w:tr>
      <w:tr>
        <w:trPr>
          <w:trHeight w:val="236"/>
        </w:trPr>
        <w:tc>
          <w:tcPr>
            <w:tcW w:w="7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20"/>
                <w:szCs w:val="20"/>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7,349</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5,503</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Amortization of intangible and right-of-use assets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2,032</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1,280</w:t>
            </w: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taxes and other non-cash taxes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Loss on debt extinguishment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interest expense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 net of acquisitions and disposals: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Trade accounts receivable, net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compensation and benefits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Other current assets and current liabilities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assets and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r>
      <w:tr>
        <w:trPr>
          <w:trHeight w:val="22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6,113</w:t>
            </w:r>
          </w:p>
        </w:tc>
      </w:tr>
      <w:tr>
        <w:trPr>
          <w:trHeight w:val="20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investments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Sales of investments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Proceeds from long-term borrowings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4,474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2,986</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on debt obligations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(8,090)</w:t>
            </w: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Proceeds from commercial paper, net</w:t>
            </w:r>
          </w:p>
        </w:tc>
        <w:tc>
          <w:tcPr>
            <w:tcW w:w="3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3,980</w:t>
            </w: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of dividends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Repurchases of common stock - repurchase program</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repurchased for tax withholdings on vesting of equity awards</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r>
      <w:tr>
        <w:trPr>
          <w:trHeight w:val="230"/>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(5,980)</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9,348</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9,307</w:t>
            </w:r>
          </w:p>
        </w:tc>
      </w:tr>
      <w:tr>
        <w:trPr>
          <w:trHeight w:val="21"/>
        </w:trPr>
        <w:tc>
          <w:tcPr>
            <w:tcW w:w="7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BROADCOM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 OF STOCKHOLDERS’ EQUITY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Quarter Ended February 1, 2026</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840" w:type="dxa"/>
            <w:vAlign w:val="bottom"/>
            <w:vMerge w:val="restart"/>
          </w:tcPr>
          <w:p>
            <w:pPr>
              <w:jc w:val="center"/>
              <w:ind w:right="1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800" w:type="dxa"/>
            <w:vAlign w:val="bottom"/>
          </w:tcPr>
          <w:p>
            <w:pPr>
              <w:spacing w:after="0"/>
              <w:rPr>
                <w:sz w:val="12"/>
                <w:szCs w:val="12"/>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800" w:type="dxa"/>
            <w:vAlign w:val="bottom"/>
          </w:tcPr>
          <w:p>
            <w:pPr>
              <w:spacing w:after="0"/>
              <w:rPr>
                <w:sz w:val="10"/>
                <w:szCs w:val="10"/>
                <w:color w:val="auto"/>
              </w:rPr>
            </w:pPr>
          </w:p>
        </w:tc>
        <w:tc>
          <w:tcPr>
            <w:tcW w:w="1440" w:type="dxa"/>
            <w:vAlign w:val="bottom"/>
            <w:tcBorders>
              <w:bottom w:val="single" w:sz="8" w:color="auto"/>
            </w:tcBorders>
            <w:gridSpan w:val="3"/>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ind w:right="134"/>
              <w:spacing w:after="0" w:line="121"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ind w:left="60"/>
              <w:spacing w:after="0" w:line="121" w:lineRule="exact"/>
              <w:rPr>
                <w:sz w:val="20"/>
                <w:szCs w:val="20"/>
                <w:color w:val="auto"/>
              </w:rPr>
            </w:pPr>
            <w:r>
              <w:rPr>
                <w:rFonts w:ascii="Arial" w:cs="Arial" w:eastAsia="Arial" w:hAnsi="Arial"/>
                <w:sz w:val="13"/>
                <w:szCs w:val="13"/>
                <w:b w:val="1"/>
                <w:bCs w:val="1"/>
                <w:color w:val="auto"/>
              </w:rPr>
              <w:t>Retained</w:t>
            </w:r>
          </w:p>
        </w:tc>
        <w:tc>
          <w:tcPr>
            <w:tcW w:w="1300" w:type="dxa"/>
            <w:vAlign w:val="bottom"/>
            <w:gridSpan w:val="3"/>
          </w:tcPr>
          <w:p>
            <w:pPr>
              <w:jc w:val="center"/>
              <w:ind w:right="100"/>
              <w:spacing w:after="0" w:line="121" w:lineRule="exact"/>
              <w:rPr>
                <w:sz w:val="20"/>
                <w:szCs w:val="20"/>
                <w:color w:val="auto"/>
              </w:rPr>
            </w:pPr>
            <w:r>
              <w:rPr>
                <w:rFonts w:ascii="Arial" w:cs="Arial" w:eastAsia="Arial" w:hAnsi="Arial"/>
                <w:sz w:val="13"/>
                <w:szCs w:val="13"/>
                <w:b w:val="1"/>
                <w:bCs w:val="1"/>
                <w:color w:val="auto"/>
              </w:rPr>
              <w:t>Comprehensive</w:t>
            </w:r>
          </w:p>
        </w:tc>
        <w:tc>
          <w:tcPr>
            <w:tcW w:w="1060" w:type="dxa"/>
            <w:vAlign w:val="bottom"/>
            <w:gridSpan w:val="2"/>
          </w:tcPr>
          <w:p>
            <w:pPr>
              <w:jc w:val="center"/>
              <w:spacing w:after="0" w:line="121"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97"/>
        </w:trPr>
        <w:tc>
          <w:tcPr>
            <w:tcW w:w="4800" w:type="dxa"/>
            <w:vAlign w:val="bottom"/>
          </w:tcPr>
          <w:p>
            <w:pPr>
              <w:spacing w:after="0"/>
              <w:rPr>
                <w:sz w:val="17"/>
                <w:szCs w:val="17"/>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5"/>
        </w:trPr>
        <w:tc>
          <w:tcPr>
            <w:tcW w:w="4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November 2, 2025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81,292</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7,349</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Dividends to common stockholders</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0" w:type="dxa"/>
            <w:vAlign w:val="bottom"/>
          </w:tcPr>
          <w:p>
            <w:pPr>
              <w:spacing w:after="0"/>
              <w:rPr>
                <w:sz w:val="1"/>
                <w:szCs w:val="1"/>
                <w:color w:val="auto"/>
              </w:rPr>
            </w:pPr>
          </w:p>
        </w:tc>
      </w:tr>
      <w:tr>
        <w:trPr>
          <w:trHeight w:val="176"/>
        </w:trPr>
        <w:tc>
          <w:tcPr>
            <w:tcW w:w="4800" w:type="dxa"/>
            <w:vAlign w:val="bottom"/>
          </w:tcPr>
          <w:p>
            <w:pPr>
              <w:ind w:left="20"/>
              <w:spacing w:after="0" w:line="176" w:lineRule="exact"/>
              <w:rPr>
                <w:sz w:val="20"/>
                <w:szCs w:val="20"/>
                <w:color w:val="auto"/>
              </w:rPr>
            </w:pPr>
            <w:r>
              <w:rPr>
                <w:rFonts w:ascii="Arial" w:cs="Arial" w:eastAsia="Arial" w:hAnsi="Arial"/>
                <w:sz w:val="18"/>
                <w:szCs w:val="18"/>
                <w:color w:val="auto"/>
              </w:rPr>
              <w:t>Shares repurchased for tax withholdings on vesting of</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5"/>
                <w:szCs w:val="15"/>
                <w:color w:val="auto"/>
              </w:rPr>
            </w:pP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800" w:type="dxa"/>
            <w:vAlign w:val="bottom"/>
          </w:tcPr>
          <w:p>
            <w:pPr>
              <w:ind w:left="100"/>
              <w:spacing w:after="0"/>
              <w:rPr>
                <w:sz w:val="20"/>
                <w:szCs w:val="20"/>
                <w:color w:val="auto"/>
              </w:rPr>
            </w:pPr>
            <w:r>
              <w:rPr>
                <w:rFonts w:ascii="Arial" w:cs="Arial" w:eastAsia="Arial" w:hAnsi="Arial"/>
                <w:sz w:val="18"/>
                <w:szCs w:val="18"/>
                <w:color w:val="auto"/>
              </w:rPr>
              <w:t>equity awards</w:t>
            </w:r>
          </w:p>
        </w:tc>
        <w:tc>
          <w:tcPr>
            <w:tcW w:w="880" w:type="dxa"/>
            <w:vAlign w:val="bottom"/>
            <w:gridSpan w:val="2"/>
            <w:vMerge w:val="continue"/>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February 1, 2026</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79,872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BROADCOM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 OF STOCKHOLDERS’ EQUITY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Quarter Ended February 2, 2025</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478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4"/>
                <w:szCs w:val="4"/>
                <w:color w:val="auto"/>
              </w:rPr>
            </w:pPr>
          </w:p>
        </w:tc>
        <w:tc>
          <w:tcPr>
            <w:tcW w:w="1020" w:type="dxa"/>
            <w:vAlign w:val="bottom"/>
            <w:gridSpan w:val="2"/>
            <w:vMerge w:val="restart"/>
          </w:tcPr>
          <w:p>
            <w:pPr>
              <w:ind w:left="40"/>
              <w:spacing w:after="0" w:line="122" w:lineRule="exact"/>
              <w:rPr>
                <w:sz w:val="20"/>
                <w:szCs w:val="20"/>
                <w:color w:val="auto"/>
              </w:rPr>
            </w:pPr>
            <w:r>
              <w:rPr>
                <w:rFonts w:ascii="Arial" w:cs="Arial" w:eastAsia="Arial" w:hAnsi="Arial"/>
                <w:sz w:val="14"/>
                <w:szCs w:val="14"/>
                <w:b w:val="1"/>
                <w:bCs w:val="1"/>
                <w:color w:val="auto"/>
              </w:rPr>
              <w:t>Retained</w:t>
            </w:r>
          </w:p>
        </w:tc>
        <w:tc>
          <w:tcPr>
            <w:tcW w:w="1320" w:type="dxa"/>
            <w:vAlign w:val="bottom"/>
            <w:gridSpan w:val="3"/>
            <w:vMerge w:val="restart"/>
          </w:tcPr>
          <w:p>
            <w:pPr>
              <w:jc w:val="center"/>
              <w:ind w:right="120"/>
              <w:spacing w:after="0" w:line="122" w:lineRule="exact"/>
              <w:rPr>
                <w:sz w:val="20"/>
                <w:szCs w:val="20"/>
                <w:color w:val="auto"/>
              </w:rPr>
            </w:pPr>
            <w:r>
              <w:rPr>
                <w:rFonts w:ascii="Arial" w:cs="Arial" w:eastAsia="Arial" w:hAnsi="Arial"/>
                <w:sz w:val="14"/>
                <w:szCs w:val="14"/>
                <w:b w:val="1"/>
                <w:bCs w:val="1"/>
                <w:color w:val="auto"/>
              </w:rPr>
              <w:t>Comprehensive</w:t>
            </w:r>
          </w:p>
        </w:tc>
        <w:tc>
          <w:tcPr>
            <w:tcW w:w="110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4780" w:type="dxa"/>
            <w:vAlign w:val="bottom"/>
          </w:tcPr>
          <w:p>
            <w:pPr>
              <w:spacing w:after="0"/>
              <w:rPr>
                <w:sz w:val="4"/>
                <w:szCs w:val="4"/>
                <w:color w:val="auto"/>
              </w:rPr>
            </w:pPr>
          </w:p>
        </w:tc>
        <w:tc>
          <w:tcPr>
            <w:tcW w:w="7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4"/>
                <w:szCs w:val="4"/>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 Value</w:t>
            </w:r>
          </w:p>
        </w:tc>
        <w:tc>
          <w:tcPr>
            <w:tcW w:w="120" w:type="dxa"/>
            <w:vAlign w:val="bottom"/>
            <w:vMerge w:val="restart"/>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5"/>
        </w:trPr>
        <w:tc>
          <w:tcPr>
            <w:tcW w:w="4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November 3, 2024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67,678</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to common stockholders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Common stock issued</w:t>
            </w: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176"/>
        </w:trPr>
        <w:tc>
          <w:tcPr>
            <w:tcW w:w="4780" w:type="dxa"/>
            <w:vAlign w:val="bottom"/>
          </w:tcPr>
          <w:p>
            <w:pPr>
              <w:ind w:left="20"/>
              <w:spacing w:after="0" w:line="176" w:lineRule="exact"/>
              <w:rPr>
                <w:sz w:val="20"/>
                <w:szCs w:val="20"/>
                <w:color w:val="auto"/>
              </w:rPr>
            </w:pPr>
            <w:r>
              <w:rPr>
                <w:rFonts w:ascii="Arial" w:cs="Arial" w:eastAsia="Arial" w:hAnsi="Arial"/>
                <w:sz w:val="18"/>
                <w:szCs w:val="18"/>
                <w:color w:val="auto"/>
              </w:rPr>
              <w:t>Shares repurchased for tax withholdings on vesting of</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43"/>
        </w:trPr>
        <w:tc>
          <w:tcPr>
            <w:tcW w:w="4780" w:type="dxa"/>
            <w:vAlign w:val="bottom"/>
          </w:tcPr>
          <w:p>
            <w:pPr>
              <w:ind w:left="100"/>
              <w:spacing w:after="0"/>
              <w:rPr>
                <w:sz w:val="20"/>
                <w:szCs w:val="20"/>
                <w:color w:val="auto"/>
              </w:rPr>
            </w:pPr>
            <w:r>
              <w:rPr>
                <w:rFonts w:ascii="Arial" w:cs="Arial" w:eastAsia="Arial" w:hAnsi="Arial"/>
                <w:sz w:val="18"/>
                <w:szCs w:val="18"/>
                <w:color w:val="auto"/>
              </w:rPr>
              <w:t>equity awards</w:t>
            </w:r>
          </w:p>
        </w:tc>
        <w:tc>
          <w:tcPr>
            <w:tcW w:w="7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February 2, 2025</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69,789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BROADCOM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ind w:right="5140" w:firstLine="8"/>
        <w:spacing w:after="0" w:line="375" w:lineRule="auto"/>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Overview, Basis of Presentation and Significant Accounting Policies </w:t>
      </w:r>
      <w:r>
        <w:rPr>
          <w:rFonts w:ascii="Arial" w:cs="Arial" w:eastAsia="Arial" w:hAnsi="Arial"/>
          <w:sz w:val="18"/>
          <w:szCs w:val="18"/>
          <w:b w:val="1"/>
          <w:bCs w:val="1"/>
          <w:i w:val="1"/>
          <w:iCs w:val="1"/>
          <w:color w:val="auto"/>
        </w:rPr>
        <w:t>Overview</w:t>
      </w:r>
    </w:p>
    <w:p>
      <w:pPr>
        <w:spacing w:after="0" w:line="1"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Broadcom Inc. (“Broadcom”), a Delaware corporation, is a global technology leader that designs, develops and supplies a broad range of semiconductor and semiconductor-based solutions and infrastructure software solutions. Our semiconductor and semiconductor-based solutions include a broad portfolio of complex digital and mixed signal devices based on silicon wafers with complementary metal oxide semiconductor transistors, III-V based devices, network interface cards and other modules, switches, subsystems and, in some cases, racks. Our solutions are used in a wide array of environments, end products and applications, such as enterprise and artificial intelligence (“AI”) data centers, servers and networking and connectivity equipment, as well as storage systems, home connectivity devices, set-top boxes, broadband access, telecommunication equipment, wireless devices and base stations, factory automation, power generation and alternative energy systems, and electronic displays. Our infrastructure software solutions help enterprises simplify their information technology (“IT”) environments. Our customers rely on our infrastructure and security software solutions to modernize, optimize, and secure the most complex private cloud, hybrid cloud and edge environments. This enables scalability, agility, automation, insights, resiliency and security, making it easy for customers to run their mission-critical workloads. We also offer mission-critical fibre channel storage area networking (“FC SAN”) products and related software in the form of modules, switches and subsystems incorporating multiple semiconductor products. Unless stated otherwise or the context otherwise requires, references to “Broadcom,” “we,” “our,” and “us” mean Broadcom and its consolidated subsidiaries.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ind w:right="320" w:firstLine="405"/>
        <w:spacing w:after="0" w:line="287" w:lineRule="auto"/>
        <w:rPr>
          <w:sz w:val="20"/>
          <w:szCs w:val="20"/>
          <w:color w:val="auto"/>
        </w:rPr>
      </w:pPr>
      <w:r>
        <w:rPr>
          <w:rFonts w:ascii="Arial" w:cs="Arial" w:eastAsia="Arial" w:hAnsi="Arial"/>
          <w:sz w:val="18"/>
          <w:szCs w:val="18"/>
          <w:color w:val="auto"/>
        </w:rPr>
        <w:t>We operate on a 52- or 53-week fiscal year ending on the Sunday closest to October 31. Our fiscal years ending November 1, 2026 (“fiscal year 2026”) and November 2, 2025 (“fiscal year 2025”) are both 52-week fiscal years.</w:t>
      </w:r>
    </w:p>
    <w:p>
      <w:pPr>
        <w:spacing w:after="0" w:line="4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accompanying condensed consolidated financial statements include the accounts of Broadcom and its subsidiaries, and have been prepared in accordance with generally accepted accounting principles in the United States (“GAAP”) for interim financial information. The financial information included herein is unaudited, and reflects all adjustments which are, in the opinion of our management, of a normal recurring nature and necessary for a fair statement of the results for the periods presented. The November 2, 2025 condensed consolidated balance sheet data were derived from Broadcom’s audited consolidated financial statements included in its Annual Report on Form 10-K for fiscal year 2025 as filed with the Securities and Exchange Commission. All intercompany balances and transactions have been eliminated in consolidation. The operating results for the fiscal quarter ended February 1, 2026 are not necessarily indicative of the results that may be expected for fiscal year 2026, or for any other future period.</w:t>
      </w:r>
    </w:p>
    <w:p>
      <w:pPr>
        <w:spacing w:after="0" w:line="77" w:lineRule="exact"/>
        <w:rPr>
          <w:sz w:val="20"/>
          <w:szCs w:val="20"/>
          <w:color w:val="auto"/>
        </w:rPr>
      </w:pPr>
    </w:p>
    <w:p>
      <w:pPr>
        <w:ind w:right="40" w:firstLine="405"/>
        <w:spacing w:after="0" w:line="287" w:lineRule="auto"/>
        <w:rPr>
          <w:sz w:val="20"/>
          <w:szCs w:val="20"/>
          <w:color w:val="auto"/>
        </w:rPr>
      </w:pPr>
      <w:r>
        <w:rPr>
          <w:rFonts w:ascii="Arial" w:cs="Arial" w:eastAsia="Arial" w:hAnsi="Arial"/>
          <w:sz w:val="18"/>
          <w:szCs w:val="18"/>
          <w:color w:val="auto"/>
        </w:rPr>
        <w:t>Certain prior period amounts reported in our condensed consolidated statements of operations have been reclassified to conform to the current period presentation. See Note 2. “Revenue from Contracts with Customers” for additional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preparation of condensed consolidated financial statements in conformity with GAAP requires management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materially from these estimates, and such differences could affect the results of operations reported in future periods.</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from Contracts with Customers</w:t>
      </w:r>
    </w:p>
    <w:p>
      <w:pPr>
        <w:spacing w:after="0" w:line="117" w:lineRule="exact"/>
        <w:rPr>
          <w:sz w:val="20"/>
          <w:szCs w:val="20"/>
          <w:color w:val="auto"/>
        </w:rPr>
      </w:pPr>
    </w:p>
    <w:p>
      <w:pPr>
        <w:jc w:val="both"/>
        <w:ind w:right="40" w:firstLine="405"/>
        <w:spacing w:after="0" w:line="262" w:lineRule="auto"/>
        <w:rPr>
          <w:sz w:val="20"/>
          <w:szCs w:val="20"/>
          <w:color w:val="auto"/>
        </w:rPr>
      </w:pPr>
      <w:r>
        <w:rPr>
          <w:rFonts w:ascii="Arial" w:cs="Arial" w:eastAsia="Arial" w:hAnsi="Arial"/>
          <w:sz w:val="18"/>
          <w:szCs w:val="18"/>
          <w:color w:val="auto"/>
        </w:rPr>
        <w:t>We account for a contract with a customer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to Condensed Consolidated Statements of Operations</w:t>
      </w:r>
    </w:p>
    <w:p>
      <w:pPr>
        <w:spacing w:after="0" w:line="11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For software arrangements without termination for convenience provisions, we recognize revenue for the license portion of the agreements upfront upon transfer of control to the customer, referred to as upfront license revenue. In the fiscal quarter ended February 1, 2026, we included upfront license revenue of $1,755 million within products revenue, and the related costs, which were immaterial, in cost of products sold, in our condensed consolidated statements of operations. To conform to the current period presentation, we reclassified $1,972 million of upfront license revenue from subscriptions and services revenue to products revenue for the fiscal quarter ended February 2, 2025. We also reclassified the related costs for the upfront license revenue, which were immaterial.</w:t>
      </w:r>
    </w:p>
    <w:p>
      <w:pPr>
        <w:spacing w:after="0" w:line="7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 the revenue disaggregation tables by type and by region presented below, we included $1,061 million, $124 million and $570 million of upfront license revenue in products revenue within the Americas; Asia Pacific; and Europe, the Middle East and Africa regions, respectively, for the fiscal quarter ended February 1, 2026. To conform to the current period presentation, we reclassified $ 1,445 million, $64 million and $463 million of upfront license revenue from subscriptions and services revenue to products revenue within the Americas; Asia Pacific; and Europe, the Middle East and Africa regions, respectively, for the fiscal quarter ended February 2, 2025.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w:t>
      </w:r>
    </w:p>
    <w:p>
      <w:pPr>
        <w:spacing w:after="0" w:line="11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have considered (1) information that is regularly reviewed by our Chief Executive Officer, who has been identified as the chief operating decision maker (the “CODM”) as defined by the authoritative guidance on segment reporting, in evaluating financial performance and (2) disclosures presented outside of our financial statements in our earnings releases and used in investor presentations to disaggregate revenues. The principal category we use to disaggregate revenues is the nature of our products and subscriptions and services, as presented in our condensed consolidated statements of operations. In addition, revenues by reportable segment are presented in Note 9. “Segment Information.”</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revenue disaggregated by type and by region for the periods presented: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rPr>
              <w:t>Fiscal Quarter Ended February 1, 2026</w:t>
            </w: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Americas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Asia Pacific</w:t>
            </w:r>
          </w:p>
        </w:tc>
        <w:tc>
          <w:tcPr>
            <w:tcW w:w="10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4"/>
          </w:tcPr>
          <w:p>
            <w:pPr>
              <w:jc w:val="center"/>
              <w:ind w:right="120"/>
              <w:spacing w:after="0" w:line="147" w:lineRule="exact"/>
              <w:rPr>
                <w:sz w:val="20"/>
                <w:szCs w:val="20"/>
                <w:color w:val="auto"/>
              </w:rPr>
            </w:pPr>
            <w:r>
              <w:rPr>
                <w:rFonts w:ascii="Arial" w:cs="Arial" w:eastAsia="Arial" w:hAnsi="Arial"/>
                <w:sz w:val="14"/>
                <w:szCs w:val="14"/>
                <w:b w:val="1"/>
                <w:bCs w:val="1"/>
                <w:color w:val="auto"/>
              </w:rPr>
              <w:t>Europe, the Middle East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vMerge w:val="restart"/>
          </w:tcPr>
          <w:p>
            <w:pPr>
              <w:jc w:val="right"/>
              <w:ind w:right="63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55"/>
              <w:spacing w:after="0"/>
              <w:rPr>
                <w:sz w:val="20"/>
                <w:szCs w:val="20"/>
                <w:color w:val="auto"/>
              </w:rPr>
            </w:pPr>
            <w:r>
              <w:rPr>
                <w:rFonts w:ascii="Arial" w:cs="Arial" w:eastAsia="Arial" w:hAnsi="Arial"/>
                <w:sz w:val="14"/>
                <w:szCs w:val="14"/>
                <w:b w:val="1"/>
                <w:bCs w:val="1"/>
                <w:color w:val="auto"/>
              </w:rPr>
              <w:t>and Africa</w:t>
            </w:r>
          </w:p>
        </w:tc>
        <w:tc>
          <w:tcPr>
            <w:tcW w:w="12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5"/>
          </w:tcPr>
          <w:p>
            <w:pPr>
              <w:jc w:val="center"/>
              <w:ind w:left="919"/>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1220" w:type="dxa"/>
            <w:vAlign w:val="bottom"/>
            <w:gridSpan w:val="2"/>
            <w:shd w:val="clear" w:color="auto" w:fill="CCEEFF"/>
          </w:tcPr>
          <w:p>
            <w:pPr>
              <w:jc w:val="right"/>
              <w:ind w:right="102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2,164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Subscriptions and services</w:t>
            </w: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2,917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gridSpan w:val="2"/>
            <w:shd w:val="clear" w:color="auto" w:fill="CCEEFF"/>
          </w:tcPr>
          <w:p>
            <w:pPr>
              <w:jc w:val="right"/>
              <w:ind w:right="102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5,081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6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rPr>
              <w:t>Fiscal Quarter Ended February 2, 2025</w:t>
            </w: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Americas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Asia Pacific</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4"/>
          </w:tcPr>
          <w:p>
            <w:pPr>
              <w:jc w:val="center"/>
              <w:ind w:right="100"/>
              <w:spacing w:after="0" w:line="143" w:lineRule="exact"/>
              <w:rPr>
                <w:sz w:val="20"/>
                <w:szCs w:val="20"/>
                <w:color w:val="auto"/>
              </w:rPr>
            </w:pPr>
            <w:r>
              <w:rPr>
                <w:rFonts w:ascii="Arial" w:cs="Arial" w:eastAsia="Arial" w:hAnsi="Arial"/>
                <w:sz w:val="14"/>
                <w:szCs w:val="14"/>
                <w:b w:val="1"/>
                <w:bCs w:val="1"/>
                <w:color w:val="auto"/>
              </w:rPr>
              <w:t>Europe, the Middle East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vMerge w:val="restart"/>
          </w:tcPr>
          <w:p>
            <w:pPr>
              <w:jc w:val="right"/>
              <w:ind w:right="61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and Africa</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5"/>
          </w:tcPr>
          <w:p>
            <w:pPr>
              <w:jc w:val="center"/>
              <w:ind w:left="959"/>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1220" w:type="dxa"/>
            <w:vAlign w:val="bottom"/>
            <w:gridSpan w:val="2"/>
            <w:shd w:val="clear" w:color="auto" w:fill="CCEEFF"/>
          </w:tcPr>
          <w:p>
            <w:pPr>
              <w:jc w:val="right"/>
              <w:ind w:right="102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1,935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Subscriptions and services</w:t>
            </w:r>
          </w:p>
        </w:tc>
        <w:tc>
          <w:tcPr>
            <w:tcW w:w="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2,697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2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4,632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Although we recognize revenue for the majority of our products when title and control transfer in Penang, Malaysia, we disclose revenue by region based primarily on the geographic shipment location or delivery location specified by our distributors, original equipment manufacturer customers, contract manufacturers, channel partners, or software customers.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Contract assets and contract liabilities balances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February 1,</w:t>
            </w:r>
          </w:p>
        </w:tc>
        <w:tc>
          <w:tcPr>
            <w:tcW w:w="320" w:type="dxa"/>
            <w:vAlign w:val="bottom"/>
          </w:tcPr>
          <w:p>
            <w:pPr>
              <w:spacing w:after="0"/>
              <w:rPr>
                <w:sz w:val="14"/>
                <w:szCs w:val="14"/>
                <w:color w:val="auto"/>
              </w:rPr>
            </w:pPr>
          </w:p>
        </w:tc>
        <w:tc>
          <w:tcPr>
            <w:tcW w:w="1220" w:type="dxa"/>
            <w:vAlign w:val="bottom"/>
          </w:tcPr>
          <w:p>
            <w:pPr>
              <w:jc w:val="right"/>
              <w:ind w:right="259"/>
              <w:spacing w:after="0"/>
              <w:rPr>
                <w:sz w:val="20"/>
                <w:szCs w:val="20"/>
                <w:color w:val="auto"/>
              </w:rPr>
            </w:pPr>
            <w:r>
              <w:rPr>
                <w:rFonts w:ascii="Arial" w:cs="Arial" w:eastAsia="Arial" w:hAnsi="Arial"/>
                <w:sz w:val="14"/>
                <w:szCs w:val="14"/>
                <w:b w:val="1"/>
                <w:bCs w:val="1"/>
                <w:color w:val="auto"/>
              </w:rPr>
              <w:t>November 2,</w:t>
            </w:r>
          </w:p>
        </w:tc>
      </w:tr>
      <w:tr>
        <w:trPr>
          <w:trHeight w:val="185"/>
        </w:trPr>
        <w:tc>
          <w:tcPr>
            <w:tcW w:w="8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2025</w:t>
            </w:r>
          </w:p>
        </w:tc>
      </w:tr>
      <w:tr>
        <w:trPr>
          <w:trHeight w:val="235"/>
        </w:trPr>
        <w:tc>
          <w:tcPr>
            <w:tcW w:w="8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20"/>
                <w:szCs w:val="20"/>
                <w:color w:val="auto"/>
              </w:rPr>
            </w:pPr>
          </w:p>
        </w:tc>
      </w:tr>
      <w:tr>
        <w:trPr>
          <w:trHeight w:val="23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9,347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8,922</w:t>
            </w:r>
          </w:p>
        </w:tc>
      </w:tr>
      <w:tr>
        <w:trPr>
          <w:trHeight w:val="270"/>
        </w:trPr>
        <w:tc>
          <w:tcPr>
            <w:tcW w:w="8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12,855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w:t>
            </w:r>
          </w:p>
        </w:tc>
      </w:tr>
    </w:tbl>
    <w:p>
      <w:pPr>
        <w:spacing w:after="0" w:line="184"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auto"/>
        </w:rPr>
        <w:t>We fulfill our obligations under a contract with a customer by transferring products and services in exchange for consideration from the customer. We recognize a contract asset when revenue recognized on a contract exceeds the amount invoiced. A contract asset is a right to consideration that is conditional on something other than the passage of time. A contract asset becomes a receivable when invoiced upon the right to consideration becoming unconditional.</w:t>
      </w:r>
    </w:p>
    <w:p>
      <w:pPr>
        <w:spacing w:after="0" w:line="68" w:lineRule="exact"/>
        <w:rPr>
          <w:sz w:val="20"/>
          <w:szCs w:val="20"/>
          <w:color w:val="auto"/>
        </w:rPr>
      </w:pPr>
    </w:p>
    <w:p>
      <w:pPr>
        <w:ind w:right="120" w:firstLine="405"/>
        <w:spacing w:after="0" w:line="268" w:lineRule="auto"/>
        <w:rPr>
          <w:sz w:val="20"/>
          <w:szCs w:val="20"/>
          <w:color w:val="auto"/>
        </w:rPr>
      </w:pPr>
      <w:r>
        <w:rPr>
          <w:rFonts w:ascii="Arial" w:cs="Arial" w:eastAsia="Arial" w:hAnsi="Arial"/>
          <w:sz w:val="18"/>
          <w:szCs w:val="18"/>
          <w:color w:val="auto"/>
        </w:rPr>
        <w:t>We recognize a contract liability when billings on a contract exceed the revenue recognized and there is a future obligation to transfer products or services to a customer. Changes in our contract assets and contract liabilities primarily result from the timing difference between our performance and the customer’s payment.</w:t>
      </w:r>
    </w:p>
    <w:p>
      <w:pPr>
        <w:spacing w:after="0" w:line="63"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auto"/>
        </w:rPr>
        <w:t>As of February 1, 2026, approximately 67% of contract liabilities related to contracts subject to termination for convenience provisions. The amount of revenue recognized during the fiscal quarter ended February 1, 2026 that was included in the contract liabilities balance as of November 2, 2025 was $3,915 million. The amount of revenue recognized during the fiscal quarter ended February 2, 2025 that was included in the contract liabilities balance as of November 3, 2024 was $3,583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Revenue allocated to remaining performance obligations represents the transaction price allocated to unsatisfied or partially unsatisfied performance obligations. Remaining performance obligations include unearned revenue and amounts that will be invoiced and recognized as revenue in future periods, but do not include contracts for software, subscriptions or services where the customer is not committed. The customer is not considered committed when the customer contract permits termination for convenience. Additionally, as a practical expedient, we have not included contracts that have an original duration of one year or less, nor have we included contracts with sales-based or usage-based royalties promised in exchange for a license of intellectual property (“IP”).</w:t>
      </w:r>
    </w:p>
    <w:p>
      <w:pPr>
        <w:spacing w:after="0" w:line="7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Certain multi -year customer contracts in our semiconductor solutions segment and infrastructure software segment, including contracts where customers do not have termination rights, contain firmly committed amounts and the remaining performance obligations under these contracts as of February 1, 2026 were approximately $45.0 billion. We expect approximately 33% of this amount to be recognized as revenue over the next 12 months. For contracts with termination for convenience rights, our customers generally do not exercise those rights. Accordingly, our remaining performance obligations disclosed above are not indicative of revenue for future periods</w:t>
      </w:r>
      <w:r>
        <w:rPr>
          <w:rFonts w:ascii="Arial" w:cs="Arial" w:eastAsia="Arial" w:hAnsi="Arial"/>
          <w:sz w:val="18"/>
          <w:szCs w:val="18"/>
          <w:color w:val="222222"/>
        </w:rPr>
        <w:t>.</w:t>
      </w:r>
    </w:p>
    <w:p>
      <w:pPr>
        <w:spacing w:after="0" w:line="71" w:lineRule="exact"/>
        <w:rPr>
          <w:sz w:val="20"/>
          <w:szCs w:val="20"/>
          <w:color w:val="auto"/>
        </w:rPr>
      </w:pPr>
    </w:p>
    <w:p>
      <w:pPr>
        <w:ind w:right="7980" w:firstLine="8"/>
        <w:spacing w:after="0" w:line="375" w:lineRule="auto"/>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Supplemental Financial Information </w:t>
      </w:r>
      <w:r>
        <w:rPr>
          <w:rFonts w:ascii="Arial" w:cs="Arial" w:eastAsia="Arial" w:hAnsi="Arial"/>
          <w:sz w:val="18"/>
          <w:szCs w:val="18"/>
          <w:b w:val="1"/>
          <w:bCs w:val="1"/>
          <w:i w:val="1"/>
          <w:iCs w:val="1"/>
          <w:color w:val="auto"/>
        </w:rPr>
        <w:t>Cash Equivalents</w:t>
      </w:r>
    </w:p>
    <w:p>
      <w:pPr>
        <w:spacing w:after="0" w:line="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Cash equivalents included $ 2,901 million and $3,163 million of time deposits and $2,290 million and $2,239 million of money-market funds as of February 1, 2026 and November 2, 2025, respectively. For time deposits, carrying value approximates fair value due to the short-term nature of the instruments. The fair value of money-market funds, which was consistent with their carrying value, was determined using unadjusted prices in active, accessible markets for identical assets, and as such, they were classified as Level 1 assets in the fair value hierarchy.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Factoring</w:t>
      </w:r>
    </w:p>
    <w:p>
      <w:pPr>
        <w:spacing w:after="0" w:line="115"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We sell certain of our trade accounts receivable on a non-recourse basis to third-party financial institutions pursuant to factoring arrangements. We account for these transactions as sales of receivables and present cash proceeds as cash provided by operating activities in the condensed consolidated statements of cash flows. Total trade accounts receivable sold under the factoring arrangements were $1,750 million and $2,201 million during the fiscal quarters ended February 1, 2026 and February 2, 2025, respectively.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February 1,</w:t>
            </w:r>
          </w:p>
        </w:tc>
        <w:tc>
          <w:tcPr>
            <w:tcW w:w="40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85"/>
        </w:trPr>
        <w:tc>
          <w:tcPr>
            <w:tcW w:w="43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3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gridSpan w:val="4"/>
          </w:tcPr>
          <w:p>
            <w:pPr>
              <w:jc w:val="center"/>
              <w:ind w:left="978"/>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5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2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8"/>
                <w:szCs w:val="18"/>
                <w:color w:val="auto"/>
              </w:rPr>
              <w:t>Total inventory</w:t>
            </w:r>
          </w:p>
        </w:tc>
        <w:tc>
          <w:tcPr>
            <w:tcW w:w="322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Current Assets</w:t>
            </w:r>
          </w:p>
        </w:tc>
        <w:tc>
          <w:tcPr>
            <w:tcW w:w="3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4360" w:type="dxa"/>
            <w:vAlign w:val="bottom"/>
            <w:vMerge w:val="continue"/>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3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February 1,</w:t>
            </w:r>
          </w:p>
        </w:tc>
        <w:tc>
          <w:tcPr>
            <w:tcW w:w="40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3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gridSpan w:val="4"/>
          </w:tcPr>
          <w:p>
            <w:pPr>
              <w:jc w:val="center"/>
              <w:ind w:left="978"/>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contract assets</w:t>
            </w:r>
          </w:p>
        </w:tc>
        <w:tc>
          <w:tcPr>
            <w:tcW w:w="35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8"/>
                <w:szCs w:val="18"/>
                <w:color w:val="auto"/>
              </w:rPr>
              <w:t>Total other current assets</w:t>
            </w:r>
          </w:p>
        </w:tc>
        <w:tc>
          <w:tcPr>
            <w:tcW w:w="322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3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4360" w:type="dxa"/>
            <w:vAlign w:val="bottom"/>
            <w:vMerge w:val="continue"/>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3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February 1,</w:t>
            </w:r>
          </w:p>
        </w:tc>
        <w:tc>
          <w:tcPr>
            <w:tcW w:w="40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85"/>
        </w:trPr>
        <w:tc>
          <w:tcPr>
            <w:tcW w:w="43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3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gridSpan w:val="4"/>
          </w:tcPr>
          <w:p>
            <w:pPr>
              <w:jc w:val="center"/>
              <w:ind w:left="978"/>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35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9,469</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Tax liabilities</w:t>
            </w:r>
          </w:p>
        </w:tc>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3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other current liabilities</w:t>
            </w:r>
          </w:p>
        </w:tc>
        <w:tc>
          <w:tcPr>
            <w:tcW w:w="3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Other Long-Term Liabilities</w:t>
            </w:r>
          </w:p>
        </w:tc>
        <w:tc>
          <w:tcPr>
            <w:tcW w:w="3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360" w:type="dxa"/>
            <w:vAlign w:val="bottom"/>
            <w:vMerge w:val="continue"/>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3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February 1,</w:t>
            </w:r>
          </w:p>
        </w:tc>
        <w:tc>
          <w:tcPr>
            <w:tcW w:w="40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85"/>
        </w:trPr>
        <w:tc>
          <w:tcPr>
            <w:tcW w:w="43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3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gridSpan w:val="4"/>
          </w:tcPr>
          <w:p>
            <w:pPr>
              <w:jc w:val="center"/>
              <w:ind w:left="998"/>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35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w:t>
            </w:r>
          </w:p>
        </w:tc>
        <w:tc>
          <w:tcPr>
            <w:tcW w:w="3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other long-term liabilities</w:t>
            </w:r>
          </w:p>
        </w:tc>
        <w:tc>
          <w:tcPr>
            <w:tcW w:w="324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Supplemental Cash Flow Information</w:t>
            </w:r>
          </w:p>
        </w:tc>
        <w:tc>
          <w:tcPr>
            <w:tcW w:w="3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360" w:type="dxa"/>
            <w:vAlign w:val="bottom"/>
            <w:vMerge w:val="continue"/>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jc w:val="center"/>
              <w:ind w:right="236"/>
              <w:spacing w:after="0"/>
              <w:rPr>
                <w:sz w:val="20"/>
                <w:szCs w:val="20"/>
                <w:color w:val="auto"/>
              </w:rPr>
            </w:pPr>
            <w:r>
              <w:rPr>
                <w:rFonts w:ascii="Arial" w:cs="Arial" w:eastAsia="Arial" w:hAnsi="Arial"/>
                <w:sz w:val="14"/>
                <w:szCs w:val="14"/>
                <w:b w:val="1"/>
                <w:bCs w:val="1"/>
                <w:color w:val="auto"/>
              </w:rPr>
              <w:t>Fiscal Quarter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3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3"/>
          </w:tcPr>
          <w:p>
            <w:pPr>
              <w:jc w:val="center"/>
              <w:ind w:right="420"/>
              <w:spacing w:after="0" w:line="143" w:lineRule="exact"/>
              <w:rPr>
                <w:sz w:val="20"/>
                <w:szCs w:val="20"/>
                <w:color w:val="auto"/>
              </w:rPr>
            </w:pPr>
            <w:r>
              <w:rPr>
                <w:rFonts w:ascii="Arial" w:cs="Arial" w:eastAsia="Arial" w:hAnsi="Arial"/>
                <w:sz w:val="14"/>
                <w:szCs w:val="14"/>
                <w:b w:val="1"/>
                <w:bCs w:val="1"/>
                <w:color w:val="auto"/>
              </w:rPr>
              <w:t>February 1,</w:t>
            </w:r>
          </w:p>
        </w:tc>
        <w:tc>
          <w:tcPr>
            <w:tcW w:w="400" w:type="dxa"/>
            <w:vAlign w:val="bottom"/>
          </w:tcPr>
          <w:p>
            <w:pPr>
              <w:spacing w:after="0"/>
              <w:rPr>
                <w:sz w:val="12"/>
                <w:szCs w:val="12"/>
                <w:color w:val="auto"/>
              </w:rPr>
            </w:pPr>
          </w:p>
        </w:tc>
        <w:tc>
          <w:tcPr>
            <w:tcW w:w="138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3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gridSpan w:val="4"/>
          </w:tcPr>
          <w:p>
            <w:pPr>
              <w:jc w:val="center"/>
              <w:ind w:left="958"/>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35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35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6"/>
        </w:trPr>
        <w:tc>
          <w:tcPr>
            <w:tcW w:w="4360" w:type="dxa"/>
            <w:vAlign w:val="bottom"/>
          </w:tcPr>
          <w:p>
            <w:pPr>
              <w:spacing w:after="0"/>
              <w:rPr>
                <w:sz w:val="24"/>
                <w:szCs w:val="24"/>
                <w:color w:val="auto"/>
              </w:rPr>
            </w:pPr>
          </w:p>
        </w:tc>
        <w:tc>
          <w:tcPr>
            <w:tcW w:w="3220" w:type="dxa"/>
            <w:vAlign w:val="bottom"/>
          </w:tcPr>
          <w:p>
            <w:pPr>
              <w:jc w:val="right"/>
              <w:ind w:right="177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36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 Carrying</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200" w:type="dxa"/>
            <w:vAlign w:val="bottom"/>
          </w:tcPr>
          <w:p>
            <w:pPr>
              <w:jc w:val="center"/>
              <w:ind w:right="155"/>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85"/>
        </w:trPr>
        <w:tc>
          <w:tcPr>
            <w:tcW w:w="6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4"/>
        </w:trPr>
        <w:tc>
          <w:tcPr>
            <w:tcW w:w="6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 February 1, 2026:</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8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16,989</w:t>
            </w:r>
          </w:p>
        </w:tc>
        <w:tc>
          <w:tcPr>
            <w:tcW w:w="0" w:type="dxa"/>
            <w:vAlign w:val="bottom"/>
          </w:tcPr>
          <w:p>
            <w:pPr>
              <w:spacing w:after="0"/>
              <w:rPr>
                <w:sz w:val="1"/>
                <w:szCs w:val="1"/>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Customer contracts and related relationships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11,309</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subject to amortization</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29,552</w:t>
            </w: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In-process research and development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8"/>
        </w:trPr>
        <w:tc>
          <w:tcPr>
            <w:tcW w:w="68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30,302</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As of November 2, 2025:</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18,380</w:t>
            </w: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Customer contracts and related relationships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11,788</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subject to amortization</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31,453</w:t>
            </w: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In-process research and development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48"/>
        </w:trPr>
        <w:tc>
          <w:tcPr>
            <w:tcW w:w="68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32,273</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11240" w:type="dxa"/>
            <w:vAlign w:val="bottom"/>
            <w:gridSpan w:val="9"/>
          </w:tcPr>
          <w:p>
            <w:pPr>
              <w:ind w:left="420"/>
              <w:spacing w:after="0"/>
              <w:rPr>
                <w:sz w:val="20"/>
                <w:szCs w:val="20"/>
                <w:color w:val="auto"/>
              </w:rPr>
            </w:pPr>
            <w:r>
              <w:rPr>
                <w:rFonts w:ascii="Arial" w:cs="Arial" w:eastAsia="Arial" w:hAnsi="Arial"/>
                <w:sz w:val="18"/>
                <w:szCs w:val="18"/>
                <w:color w:val="auto"/>
              </w:rPr>
              <w:t>Based on the amount of intangible assets subject to amortization as of February 1, 2026, the expected amortization expense was as</w:t>
            </w:r>
          </w:p>
        </w:tc>
        <w:tc>
          <w:tcPr>
            <w:tcW w:w="0" w:type="dxa"/>
            <w:vAlign w:val="bottom"/>
          </w:tcPr>
          <w:p>
            <w:pPr>
              <w:spacing w:after="0"/>
              <w:rPr>
                <w:sz w:val="1"/>
                <w:szCs w:val="1"/>
                <w:color w:val="auto"/>
              </w:rPr>
            </w:pPr>
          </w:p>
        </w:tc>
      </w:tr>
      <w:tr>
        <w:trPr>
          <w:trHeight w:val="239"/>
        </w:trPr>
        <w:tc>
          <w:tcPr>
            <w:tcW w:w="6840" w:type="dxa"/>
            <w:vAlign w:val="bottom"/>
          </w:tcPr>
          <w:p>
            <w:pPr>
              <w:spacing w:after="0"/>
              <w:rPr>
                <w:sz w:val="20"/>
                <w:szCs w:val="20"/>
                <w:color w:val="auto"/>
              </w:rPr>
            </w:pPr>
            <w:r>
              <w:rPr>
                <w:rFonts w:ascii="Arial" w:cs="Arial" w:eastAsia="Arial" w:hAnsi="Arial"/>
                <w:sz w:val="18"/>
                <w:szCs w:val="18"/>
                <w:color w:val="auto"/>
              </w:rPr>
              <w:t>follows: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6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15"/>
              <w:spacing w:after="0"/>
              <w:rPr>
                <w:sz w:val="20"/>
                <w:szCs w:val="20"/>
                <w:color w:val="auto"/>
              </w:rPr>
            </w:pPr>
            <w:r>
              <w:rPr>
                <w:rFonts w:ascii="Arial" w:cs="Arial" w:eastAsia="Arial" w:hAnsi="Arial"/>
                <w:sz w:val="14"/>
                <w:szCs w:val="14"/>
                <w:b w:val="1"/>
                <w:bCs w:val="1"/>
                <w:color w:val="auto"/>
              </w:rPr>
              <w:t>Expected</w:t>
            </w:r>
          </w:p>
        </w:tc>
        <w:tc>
          <w:tcPr>
            <w:tcW w:w="0" w:type="dxa"/>
            <w:vAlign w:val="bottom"/>
          </w:tcPr>
          <w:p>
            <w:pPr>
              <w:spacing w:after="0"/>
              <w:rPr>
                <w:sz w:val="1"/>
                <w:szCs w:val="1"/>
                <w:color w:val="auto"/>
              </w:rPr>
            </w:pPr>
          </w:p>
        </w:tc>
      </w:tr>
      <w:tr>
        <w:trPr>
          <w:trHeight w:val="139"/>
        </w:trPr>
        <w:tc>
          <w:tcPr>
            <w:tcW w:w="6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Fiscal Year:</w:t>
            </w: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15"/>
              <w:spacing w:after="0" w:line="139"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98"/>
        </w:trPr>
        <w:tc>
          <w:tcPr>
            <w:tcW w:w="68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35"/>
        </w:trPr>
        <w:tc>
          <w:tcPr>
            <w:tcW w:w="6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center"/>
              <w:ind w:right="11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(remainder)</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2027</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2029</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4,562</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4"/>
            <w:vMerge w:val="restart"/>
          </w:tcPr>
          <w:p>
            <w:pPr>
              <w:ind w:left="420"/>
              <w:spacing w:after="0"/>
              <w:rPr>
                <w:sz w:val="20"/>
                <w:szCs w:val="20"/>
                <w:color w:val="auto"/>
              </w:rPr>
            </w:pPr>
            <w:r>
              <w:rPr>
                <w:rFonts w:ascii="Arial" w:cs="Arial" w:eastAsia="Arial" w:hAnsi="Arial"/>
                <w:sz w:val="18"/>
                <w:szCs w:val="18"/>
                <w:color w:val="auto"/>
                <w:w w:val="99"/>
              </w:rPr>
              <w:t>The weighted-average remaining amortization periods by intangible asset category were as follows:</w:t>
            </w: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834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95"/>
              <w:spacing w:after="0"/>
              <w:rPr>
                <w:sz w:val="20"/>
                <w:szCs w:val="20"/>
                <w:color w:val="auto"/>
              </w:rPr>
            </w:pPr>
            <w:r>
              <w:rPr>
                <w:rFonts w:ascii="Arial" w:cs="Arial" w:eastAsia="Arial" w:hAnsi="Arial"/>
                <w:sz w:val="14"/>
                <w:szCs w:val="14"/>
                <w:b w:val="1"/>
                <w:bCs w:val="1"/>
                <w:color w:val="auto"/>
              </w:rPr>
              <w:t>February 1,</w:t>
            </w:r>
          </w:p>
        </w:tc>
        <w:tc>
          <w:tcPr>
            <w:tcW w:w="0" w:type="dxa"/>
            <w:vAlign w:val="bottom"/>
          </w:tcPr>
          <w:p>
            <w:pPr>
              <w:spacing w:after="0"/>
              <w:rPr>
                <w:sz w:val="1"/>
                <w:szCs w:val="1"/>
                <w:color w:val="auto"/>
              </w:rPr>
            </w:pPr>
          </w:p>
        </w:tc>
      </w:tr>
      <w:tr>
        <w:trPr>
          <w:trHeight w:val="185"/>
        </w:trPr>
        <w:tc>
          <w:tcPr>
            <w:tcW w:w="6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35"/>
        </w:trPr>
        <w:tc>
          <w:tcPr>
            <w:tcW w:w="6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center"/>
              <w:ind w:right="115"/>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technology</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Customer contracts and related relationships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9"/>
        </w:trPr>
        <w:tc>
          <w:tcPr>
            <w:tcW w:w="6840" w:type="dxa"/>
            <w:vAlign w:val="bottom"/>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Per Share</w:t>
      </w:r>
    </w:p>
    <w:p>
      <w:pPr>
        <w:spacing w:after="0" w:line="117" w:lineRule="exact"/>
        <w:rPr>
          <w:sz w:val="20"/>
          <w:szCs w:val="20"/>
          <w:color w:val="auto"/>
        </w:rPr>
      </w:pPr>
    </w:p>
    <w:p>
      <w:pPr>
        <w:ind w:right="180" w:firstLine="405"/>
        <w:spacing w:after="0" w:line="268" w:lineRule="auto"/>
        <w:rPr>
          <w:sz w:val="20"/>
          <w:szCs w:val="20"/>
          <w:color w:val="auto"/>
        </w:rPr>
      </w:pPr>
      <w:r>
        <w:rPr>
          <w:rFonts w:ascii="Arial" w:cs="Arial" w:eastAsia="Arial" w:hAnsi="Arial"/>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and potentially dilutive shares of common stock outstanding during the period.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720" w:firstLine="405"/>
        <w:spacing w:after="0" w:line="268" w:lineRule="auto"/>
        <w:rPr>
          <w:sz w:val="20"/>
          <w:szCs w:val="20"/>
          <w:color w:val="auto"/>
        </w:rPr>
      </w:pPr>
      <w:r>
        <w:rPr>
          <w:rFonts w:ascii="Arial" w:cs="Arial" w:eastAsia="Arial" w:hAnsi="Arial"/>
          <w:sz w:val="18"/>
          <w:szCs w:val="18"/>
          <w:color w:val="auto"/>
        </w:rPr>
        <w:t>Potentially dilutive shares outstanding include the dilutive effect of unvested restricted stock units (“RSUs”) and employee stock purchase plan (“ESPP”) rights (collectively referred to as “equity awards”). Potentially dilutive shares whose effect would have been antidilutive are excluded from the computation of diluted net income per share.</w:t>
      </w:r>
    </w:p>
    <w:p>
      <w:pPr>
        <w:spacing w:after="0" w:line="63" w:lineRule="exact"/>
        <w:rPr>
          <w:sz w:val="20"/>
          <w:szCs w:val="20"/>
          <w:color w:val="auto"/>
        </w:rPr>
      </w:pPr>
    </w:p>
    <w:p>
      <w:pPr>
        <w:ind w:right="340" w:firstLine="405"/>
        <w:spacing w:after="0" w:line="262" w:lineRule="auto"/>
        <w:rPr>
          <w:sz w:val="20"/>
          <w:szCs w:val="20"/>
          <w:color w:val="auto"/>
        </w:rPr>
      </w:pPr>
      <w:r>
        <w:rPr>
          <w:rFonts w:ascii="Arial" w:cs="Arial" w:eastAsia="Arial" w:hAnsi="Arial"/>
          <w:sz w:val="18"/>
          <w:szCs w:val="18"/>
          <w:color w:val="auto"/>
        </w:rPr>
        <w:t>The dilutive effect of equity awards is calculated based on the average stock price for each fiscal period, using the treasury stock method. Under the treasury stock method, the amount the employee must pay for purchasing shares under the ESPP and the amount of stock-based compensation expense for future service that we have not yet recognized are collectively assumed to be used to repurchase shares.</w:t>
      </w:r>
    </w:p>
    <w:p>
      <w:pPr>
        <w:spacing w:after="0" w:line="68" w:lineRule="exact"/>
        <w:rPr>
          <w:sz w:val="20"/>
          <w:szCs w:val="20"/>
          <w:color w:val="auto"/>
        </w:rPr>
      </w:pPr>
    </w:p>
    <w:p>
      <w:pPr>
        <w:ind w:right="60" w:firstLine="405"/>
        <w:spacing w:after="0" w:line="279" w:lineRule="auto"/>
        <w:rPr>
          <w:sz w:val="20"/>
          <w:szCs w:val="20"/>
          <w:color w:val="auto"/>
        </w:rPr>
      </w:pPr>
      <w:r>
        <w:rPr>
          <w:rFonts w:ascii="Arial" w:cs="Arial" w:eastAsia="Arial" w:hAnsi="Arial"/>
          <w:sz w:val="18"/>
          <w:szCs w:val="18"/>
          <w:color w:val="auto"/>
        </w:rPr>
        <w:t>The following is a reconciliation of the numerators and denominators of the basic and diluted net income per share computations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1015"/>
              <w:spacing w:after="0"/>
              <w:rPr>
                <w:sz w:val="20"/>
                <w:szCs w:val="20"/>
                <w:color w:val="auto"/>
              </w:rPr>
            </w:pPr>
            <w:r>
              <w:rPr>
                <w:rFonts w:ascii="Arial" w:cs="Arial" w:eastAsia="Arial" w:hAnsi="Arial"/>
                <w:sz w:val="14"/>
                <w:szCs w:val="14"/>
                <w:b w:val="1"/>
                <w:bCs w:val="1"/>
                <w:color w:val="auto"/>
              </w:rPr>
              <w:t>Fiscal Quarter Ended</w:t>
            </w:r>
          </w:p>
        </w:tc>
      </w:tr>
      <w:tr>
        <w:trPr>
          <w:trHeight w:val="147"/>
        </w:trPr>
        <w:tc>
          <w:tcPr>
            <w:tcW w:w="7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February 1,</w:t>
            </w:r>
          </w:p>
        </w:tc>
        <w:tc>
          <w:tcPr>
            <w:tcW w:w="300" w:type="dxa"/>
            <w:vAlign w:val="bottom"/>
          </w:tcPr>
          <w:p>
            <w:pPr>
              <w:spacing w:after="0"/>
              <w:rPr>
                <w:sz w:val="12"/>
                <w:szCs w:val="12"/>
                <w:color w:val="auto"/>
              </w:rPr>
            </w:pPr>
          </w:p>
        </w:tc>
        <w:tc>
          <w:tcPr>
            <w:tcW w:w="1480" w:type="dxa"/>
            <w:vAlign w:val="bottom"/>
          </w:tcPr>
          <w:p>
            <w:pPr>
              <w:jc w:val="right"/>
              <w:ind w:right="415"/>
              <w:spacing w:after="0" w:line="147" w:lineRule="exact"/>
              <w:rPr>
                <w:sz w:val="20"/>
                <w:szCs w:val="20"/>
                <w:color w:val="auto"/>
              </w:rPr>
            </w:pPr>
            <w:r>
              <w:rPr>
                <w:rFonts w:ascii="Arial" w:cs="Arial" w:eastAsia="Arial" w:hAnsi="Arial"/>
                <w:sz w:val="14"/>
                <w:szCs w:val="14"/>
                <w:b w:val="1"/>
                <w:bCs w:val="1"/>
                <w:color w:val="auto"/>
              </w:rPr>
              <w:t>February 2,</w:t>
            </w:r>
          </w:p>
        </w:tc>
      </w:tr>
      <w:tr>
        <w:trPr>
          <w:trHeight w:val="185"/>
        </w:trPr>
        <w:tc>
          <w:tcPr>
            <w:tcW w:w="7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2025</w:t>
            </w:r>
          </w:p>
        </w:tc>
      </w:tr>
      <w:tr>
        <w:trPr>
          <w:trHeight w:val="235"/>
        </w:trPr>
        <w:tc>
          <w:tcPr>
            <w:tcW w:w="7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4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(In millions, except per share data)</w:t>
            </w:r>
          </w:p>
        </w:tc>
      </w:tr>
      <w:tr>
        <w:trPr>
          <w:trHeight w:val="23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7,349</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5,503</w:t>
            </w:r>
          </w:p>
        </w:tc>
      </w:tr>
      <w:tr>
        <w:trPr>
          <w:trHeight w:val="270"/>
        </w:trPr>
        <w:tc>
          <w:tcPr>
            <w:tcW w:w="7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equity awards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 diluted</w:t>
            </w:r>
          </w:p>
        </w:tc>
        <w:tc>
          <w:tcPr>
            <w:tcW w:w="3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338"/>
        </w:trPr>
        <w:tc>
          <w:tcPr>
            <w:tcW w:w="7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Effective Interest Rate</w:t>
            </w:r>
          </w:p>
        </w:tc>
        <w:tc>
          <w:tcPr>
            <w:tcW w:w="3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February 1,</w:t>
            </w:r>
          </w:p>
        </w:tc>
        <w:tc>
          <w:tcPr>
            <w:tcW w:w="400" w:type="dxa"/>
            <w:vAlign w:val="bottom"/>
          </w:tcPr>
          <w:p>
            <w:pPr>
              <w:spacing w:after="0"/>
              <w:rPr>
                <w:sz w:val="14"/>
                <w:szCs w:val="14"/>
                <w:color w:val="auto"/>
              </w:rPr>
            </w:pPr>
          </w:p>
        </w:tc>
        <w:tc>
          <w:tcPr>
            <w:tcW w:w="1360" w:type="dxa"/>
            <w:vAlign w:val="bottom"/>
          </w:tcPr>
          <w:p>
            <w:pPr>
              <w:jc w:val="right"/>
              <w:ind w:right="351"/>
              <w:spacing w:after="0"/>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5420" w:type="dxa"/>
            <w:vAlign w:val="bottom"/>
            <w:gridSpan w:val="5"/>
            <w:shd w:val="clear" w:color="auto" w:fill="CCEEFF"/>
          </w:tcPr>
          <w:p>
            <w:pPr>
              <w:spacing w:after="0" w:line="190" w:lineRule="exact"/>
              <w:rPr>
                <w:sz w:val="20"/>
                <w:szCs w:val="20"/>
                <w:color w:val="auto"/>
              </w:rPr>
            </w:pPr>
            <w:r>
              <w:rPr>
                <w:rFonts w:ascii="Arial" w:cs="Arial" w:eastAsia="Arial" w:hAnsi="Arial"/>
                <w:sz w:val="18"/>
                <w:szCs w:val="18"/>
                <w:color w:val="auto"/>
              </w:rPr>
              <w:t>January 2026 Senior Notes</w:t>
            </w:r>
          </w:p>
        </w:tc>
        <w:tc>
          <w:tcPr>
            <w:tcW w:w="1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5"/>
          </w:tcPr>
          <w:p>
            <w:pPr>
              <w:ind w:left="120"/>
              <w:spacing w:after="0"/>
              <w:rPr>
                <w:sz w:val="20"/>
                <w:szCs w:val="20"/>
                <w:color w:val="auto"/>
              </w:rPr>
            </w:pPr>
            <w:r>
              <w:rPr>
                <w:rFonts w:ascii="Arial" w:cs="Arial" w:eastAsia="Arial" w:hAnsi="Arial"/>
                <w:sz w:val="18"/>
                <w:szCs w:val="18"/>
                <w:color w:val="auto"/>
              </w:rPr>
              <w:t>4.300% notes due January 2031</w:t>
            </w:r>
          </w:p>
        </w:tc>
        <w:tc>
          <w:tcPr>
            <w:tcW w:w="1880" w:type="dxa"/>
            <w:vAlign w:val="bottom"/>
          </w:tcPr>
          <w:p>
            <w:pPr>
              <w:ind w:left="1300"/>
              <w:spacing w:after="0"/>
              <w:rPr>
                <w:sz w:val="20"/>
                <w:szCs w:val="20"/>
                <w:color w:val="auto"/>
              </w:rPr>
            </w:pPr>
            <w:r>
              <w:rPr>
                <w:rFonts w:ascii="Arial" w:cs="Arial" w:eastAsia="Arial" w:hAnsi="Arial"/>
                <w:sz w:val="18"/>
                <w:szCs w:val="18"/>
                <w:color w:val="auto"/>
                <w:w w:val="99"/>
              </w:rPr>
              <w:t>4.41 %</w:t>
            </w:r>
          </w:p>
        </w:tc>
        <w:tc>
          <w:tcPr>
            <w:tcW w:w="3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4.600% notes due January 2033</w:t>
            </w:r>
          </w:p>
        </w:tc>
        <w:tc>
          <w:tcPr>
            <w:tcW w:w="188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9"/>
              </w:rPr>
              <w:t>4.72 %</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gridSpan w:val="5"/>
          </w:tcPr>
          <w:p>
            <w:pPr>
              <w:ind w:left="120"/>
              <w:spacing w:after="0"/>
              <w:rPr>
                <w:sz w:val="20"/>
                <w:szCs w:val="20"/>
                <w:color w:val="auto"/>
              </w:rPr>
            </w:pPr>
            <w:r>
              <w:rPr>
                <w:rFonts w:ascii="Arial" w:cs="Arial" w:eastAsia="Arial" w:hAnsi="Arial"/>
                <w:sz w:val="18"/>
                <w:szCs w:val="18"/>
                <w:color w:val="auto"/>
              </w:rPr>
              <w:t>4.950% notes due January 2036</w:t>
            </w:r>
          </w:p>
        </w:tc>
        <w:tc>
          <w:tcPr>
            <w:tcW w:w="1880" w:type="dxa"/>
            <w:vAlign w:val="bottom"/>
          </w:tcPr>
          <w:p>
            <w:pPr>
              <w:ind w:left="1300"/>
              <w:spacing w:after="0"/>
              <w:rPr>
                <w:sz w:val="20"/>
                <w:szCs w:val="20"/>
                <w:color w:val="auto"/>
              </w:rPr>
            </w:pPr>
            <w:r>
              <w:rPr>
                <w:rFonts w:ascii="Arial" w:cs="Arial" w:eastAsia="Arial" w:hAnsi="Arial"/>
                <w:sz w:val="18"/>
                <w:szCs w:val="18"/>
                <w:color w:val="auto"/>
                <w:w w:val="99"/>
              </w:rPr>
              <w:t>5.03 %</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5.700% notes due January 2056</w:t>
            </w:r>
          </w:p>
        </w:tc>
        <w:tc>
          <w:tcPr>
            <w:tcW w:w="188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9"/>
              </w:rPr>
              <w:t>5.79 %</w:t>
            </w:r>
          </w:p>
        </w:tc>
        <w:tc>
          <w:tcPr>
            <w:tcW w:w="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00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420" w:type="dxa"/>
            <w:vAlign w:val="bottom"/>
            <w:gridSpan w:val="5"/>
            <w:shd w:val="clear" w:color="auto" w:fill="CCEEFF"/>
          </w:tcPr>
          <w:p>
            <w:pPr>
              <w:spacing w:after="0" w:line="169" w:lineRule="exact"/>
              <w:rPr>
                <w:sz w:val="20"/>
                <w:szCs w:val="20"/>
                <w:color w:val="auto"/>
              </w:rPr>
            </w:pPr>
            <w:r>
              <w:rPr>
                <w:rFonts w:ascii="Arial" w:cs="Arial" w:eastAsia="Arial" w:hAnsi="Arial"/>
                <w:sz w:val="18"/>
                <w:szCs w:val="18"/>
                <w:color w:val="auto"/>
              </w:rPr>
              <w:t>September 2025 Senior Notes</w:t>
            </w:r>
          </w:p>
        </w:tc>
        <w:tc>
          <w:tcPr>
            <w:tcW w:w="1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gridSpan w:val="5"/>
          </w:tcPr>
          <w:p>
            <w:pPr>
              <w:ind w:left="120"/>
              <w:spacing w:after="0"/>
              <w:rPr>
                <w:sz w:val="20"/>
                <w:szCs w:val="20"/>
                <w:color w:val="auto"/>
              </w:rPr>
            </w:pPr>
            <w:r>
              <w:rPr>
                <w:rFonts w:ascii="Arial" w:cs="Arial" w:eastAsia="Arial" w:hAnsi="Arial"/>
                <w:sz w:val="18"/>
                <w:szCs w:val="18"/>
                <w:color w:val="auto"/>
              </w:rPr>
              <w:t>4.200% notes due October 2030</w:t>
            </w:r>
          </w:p>
        </w:tc>
        <w:tc>
          <w:tcPr>
            <w:tcW w:w="1880" w:type="dxa"/>
            <w:vAlign w:val="bottom"/>
          </w:tcPr>
          <w:p>
            <w:pPr>
              <w:ind w:left="1300"/>
              <w:spacing w:after="0"/>
              <w:rPr>
                <w:sz w:val="20"/>
                <w:szCs w:val="20"/>
                <w:color w:val="auto"/>
              </w:rPr>
            </w:pPr>
            <w:r>
              <w:rPr>
                <w:rFonts w:ascii="Arial" w:cs="Arial" w:eastAsia="Arial" w:hAnsi="Arial"/>
                <w:sz w:val="18"/>
                <w:szCs w:val="18"/>
                <w:color w:val="auto"/>
                <w:w w:val="99"/>
              </w:rPr>
              <w:t>4.34 %</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4.800% notes due February 2036</w:t>
            </w:r>
          </w:p>
        </w:tc>
        <w:tc>
          <w:tcPr>
            <w:tcW w:w="188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9"/>
              </w:rPr>
              <w:t>4.90 %</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5"/>
          </w:tcPr>
          <w:p>
            <w:pPr>
              <w:ind w:left="120"/>
              <w:spacing w:after="0"/>
              <w:rPr>
                <w:sz w:val="20"/>
                <w:szCs w:val="20"/>
                <w:color w:val="auto"/>
              </w:rPr>
            </w:pPr>
            <w:r>
              <w:rPr>
                <w:rFonts w:ascii="Arial" w:cs="Arial" w:eastAsia="Arial" w:hAnsi="Arial"/>
                <w:sz w:val="18"/>
                <w:szCs w:val="18"/>
                <w:color w:val="auto"/>
              </w:rPr>
              <w:t>4.900% notes due February 2038</w:t>
            </w:r>
          </w:p>
        </w:tc>
        <w:tc>
          <w:tcPr>
            <w:tcW w:w="1880" w:type="dxa"/>
            <w:vAlign w:val="bottom"/>
            <w:tcBorders>
              <w:bottom w:val="single" w:sz="8" w:color="CCEEFF"/>
            </w:tcBorders>
          </w:tcPr>
          <w:p>
            <w:pPr>
              <w:ind w:left="1300"/>
              <w:spacing w:after="0"/>
              <w:rPr>
                <w:sz w:val="20"/>
                <w:szCs w:val="20"/>
                <w:color w:val="auto"/>
              </w:rPr>
            </w:pPr>
            <w:r>
              <w:rPr>
                <w:rFonts w:ascii="Arial" w:cs="Arial" w:eastAsia="Arial" w:hAnsi="Arial"/>
                <w:sz w:val="18"/>
                <w:szCs w:val="18"/>
                <w:color w:val="auto"/>
                <w:w w:val="99"/>
              </w:rPr>
              <w:t>4.99 %</w:t>
            </w: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20" w:type="dxa"/>
            <w:vAlign w:val="bottom"/>
            <w:gridSpan w:val="5"/>
          </w:tcPr>
          <w:p>
            <w:pPr>
              <w:spacing w:after="0" w:line="169" w:lineRule="exact"/>
              <w:rPr>
                <w:sz w:val="20"/>
                <w:szCs w:val="20"/>
                <w:color w:val="auto"/>
              </w:rPr>
            </w:pPr>
            <w:r>
              <w:rPr>
                <w:rFonts w:ascii="Arial" w:cs="Arial" w:eastAsia="Arial" w:hAnsi="Arial"/>
                <w:sz w:val="18"/>
                <w:szCs w:val="18"/>
                <w:color w:val="auto"/>
              </w:rPr>
              <w:t>July 2025 Senior Notes</w:t>
            </w: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4.600% notes due July 2030</w:t>
            </w:r>
          </w:p>
        </w:tc>
        <w:tc>
          <w:tcPr>
            <w:tcW w:w="2200" w:type="dxa"/>
            <w:vAlign w:val="bottom"/>
            <w:gridSpan w:val="2"/>
            <w:shd w:val="clear" w:color="auto" w:fill="CCEEFF"/>
          </w:tcPr>
          <w:p>
            <w:pPr>
              <w:ind w:left="1300"/>
              <w:spacing w:after="0" w:line="230" w:lineRule="exact"/>
              <w:rPr>
                <w:sz w:val="20"/>
                <w:szCs w:val="20"/>
                <w:color w:val="auto"/>
              </w:rPr>
            </w:pPr>
            <w:r>
              <w:rPr>
                <w:rFonts w:ascii="Arial" w:cs="Arial" w:eastAsia="Arial" w:hAnsi="Arial"/>
                <w:sz w:val="18"/>
                <w:szCs w:val="18"/>
                <w:color w:val="auto"/>
              </w:rPr>
              <w:t xml:space="preserve">4.49 % </w:t>
            </w:r>
            <w:r>
              <w:rPr>
                <w:rFonts w:ascii="Arial" w:cs="Arial" w:eastAsia="Arial" w:hAnsi="Arial"/>
                <w:sz w:val="23"/>
                <w:szCs w:val="23"/>
                <w:color w:val="auto"/>
                <w:vertAlign w:val="superscript"/>
              </w:rPr>
              <w:t>(a)</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5"/>
          </w:tcPr>
          <w:p>
            <w:pPr>
              <w:ind w:left="120"/>
              <w:spacing w:after="0"/>
              <w:rPr>
                <w:sz w:val="20"/>
                <w:szCs w:val="20"/>
                <w:color w:val="auto"/>
              </w:rPr>
            </w:pPr>
            <w:r>
              <w:rPr>
                <w:rFonts w:ascii="Arial" w:cs="Arial" w:eastAsia="Arial" w:hAnsi="Arial"/>
                <w:sz w:val="18"/>
                <w:szCs w:val="18"/>
                <w:color w:val="auto"/>
              </w:rPr>
              <w:t>4.900% notes due July 2032</w:t>
            </w:r>
          </w:p>
        </w:tc>
        <w:tc>
          <w:tcPr>
            <w:tcW w:w="1880" w:type="dxa"/>
            <w:vAlign w:val="bottom"/>
          </w:tcPr>
          <w:p>
            <w:pPr>
              <w:ind w:left="1300"/>
              <w:spacing w:after="0"/>
              <w:rPr>
                <w:sz w:val="20"/>
                <w:szCs w:val="20"/>
                <w:color w:val="auto"/>
              </w:rPr>
            </w:pPr>
            <w:r>
              <w:rPr>
                <w:rFonts w:ascii="Arial" w:cs="Arial" w:eastAsia="Arial" w:hAnsi="Arial"/>
                <w:sz w:val="18"/>
                <w:szCs w:val="18"/>
                <w:color w:val="auto"/>
                <w:w w:val="99"/>
              </w:rPr>
              <w:t>5.04 %</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5.200% notes due July 2035</w:t>
            </w:r>
          </w:p>
        </w:tc>
        <w:tc>
          <w:tcPr>
            <w:tcW w:w="2200" w:type="dxa"/>
            <w:vAlign w:val="bottom"/>
            <w:gridSpan w:val="2"/>
            <w:shd w:val="clear" w:color="auto" w:fill="CCEEFF"/>
          </w:tcPr>
          <w:p>
            <w:pPr>
              <w:ind w:left="1300"/>
              <w:spacing w:after="0" w:line="230" w:lineRule="exact"/>
              <w:rPr>
                <w:sz w:val="20"/>
                <w:szCs w:val="20"/>
                <w:color w:val="auto"/>
              </w:rPr>
            </w:pPr>
            <w:r>
              <w:rPr>
                <w:rFonts w:ascii="Arial" w:cs="Arial" w:eastAsia="Arial" w:hAnsi="Arial"/>
                <w:sz w:val="18"/>
                <w:szCs w:val="18"/>
                <w:color w:val="auto"/>
              </w:rPr>
              <w:t xml:space="preserve">4.77 % </w:t>
            </w:r>
            <w:r>
              <w:rPr>
                <w:rFonts w:ascii="Arial" w:cs="Arial" w:eastAsia="Arial" w:hAnsi="Arial"/>
                <w:sz w:val="23"/>
                <w:szCs w:val="23"/>
                <w:color w:val="auto"/>
                <w:vertAlign w:val="superscript"/>
              </w:rPr>
              <w:t>(a)</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00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420" w:type="dxa"/>
            <w:vAlign w:val="bottom"/>
            <w:gridSpan w:val="5"/>
            <w:shd w:val="clear" w:color="auto" w:fill="CCEEFF"/>
          </w:tcPr>
          <w:p>
            <w:pPr>
              <w:spacing w:after="0" w:line="169" w:lineRule="exact"/>
              <w:rPr>
                <w:sz w:val="20"/>
                <w:szCs w:val="20"/>
                <w:color w:val="auto"/>
              </w:rPr>
            </w:pPr>
            <w:r>
              <w:rPr>
                <w:rFonts w:ascii="Arial" w:cs="Arial" w:eastAsia="Arial" w:hAnsi="Arial"/>
                <w:sz w:val="18"/>
                <w:szCs w:val="18"/>
                <w:color w:val="auto"/>
              </w:rPr>
              <w:t>January 2025 Senior Notes</w:t>
            </w:r>
          </w:p>
        </w:tc>
        <w:tc>
          <w:tcPr>
            <w:tcW w:w="1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gridSpan w:val="5"/>
          </w:tcPr>
          <w:p>
            <w:pPr>
              <w:ind w:left="120"/>
              <w:spacing w:after="0"/>
              <w:rPr>
                <w:sz w:val="20"/>
                <w:szCs w:val="20"/>
                <w:color w:val="auto"/>
              </w:rPr>
            </w:pPr>
            <w:r>
              <w:rPr>
                <w:rFonts w:ascii="Arial" w:cs="Arial" w:eastAsia="Arial" w:hAnsi="Arial"/>
                <w:sz w:val="18"/>
                <w:szCs w:val="18"/>
                <w:color w:val="auto"/>
              </w:rPr>
              <w:t>4.800% notes due April 2028</w:t>
            </w:r>
          </w:p>
        </w:tc>
        <w:tc>
          <w:tcPr>
            <w:tcW w:w="1880" w:type="dxa"/>
            <w:vAlign w:val="bottom"/>
          </w:tcPr>
          <w:p>
            <w:pPr>
              <w:ind w:left="1300"/>
              <w:spacing w:after="0"/>
              <w:rPr>
                <w:sz w:val="20"/>
                <w:szCs w:val="20"/>
                <w:color w:val="auto"/>
              </w:rPr>
            </w:pPr>
            <w:r>
              <w:rPr>
                <w:rFonts w:ascii="Arial" w:cs="Arial" w:eastAsia="Arial" w:hAnsi="Arial"/>
                <w:sz w:val="18"/>
                <w:szCs w:val="18"/>
                <w:color w:val="auto"/>
                <w:w w:val="99"/>
              </w:rPr>
              <w:t>5.03 %</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5.050% notes due April 2030</w:t>
            </w:r>
          </w:p>
        </w:tc>
        <w:tc>
          <w:tcPr>
            <w:tcW w:w="188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9"/>
              </w:rPr>
              <w:t>5.20 %</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5"/>
          </w:tcPr>
          <w:p>
            <w:pPr>
              <w:ind w:left="120"/>
              <w:spacing w:after="0"/>
              <w:rPr>
                <w:sz w:val="20"/>
                <w:szCs w:val="20"/>
                <w:color w:val="auto"/>
              </w:rPr>
            </w:pPr>
            <w:r>
              <w:rPr>
                <w:rFonts w:ascii="Arial" w:cs="Arial" w:eastAsia="Arial" w:hAnsi="Arial"/>
                <w:sz w:val="18"/>
                <w:szCs w:val="18"/>
                <w:color w:val="auto"/>
              </w:rPr>
              <w:t>5.200% notes due April 2032</w:t>
            </w:r>
          </w:p>
        </w:tc>
        <w:tc>
          <w:tcPr>
            <w:tcW w:w="1880" w:type="dxa"/>
            <w:vAlign w:val="bottom"/>
            <w:tcBorders>
              <w:bottom w:val="single" w:sz="8" w:color="CCEEFF"/>
            </w:tcBorders>
          </w:tcPr>
          <w:p>
            <w:pPr>
              <w:ind w:left="1300"/>
              <w:spacing w:after="0"/>
              <w:rPr>
                <w:sz w:val="20"/>
                <w:szCs w:val="20"/>
                <w:color w:val="auto"/>
              </w:rPr>
            </w:pPr>
            <w:r>
              <w:rPr>
                <w:rFonts w:ascii="Arial" w:cs="Arial" w:eastAsia="Arial" w:hAnsi="Arial"/>
                <w:sz w:val="18"/>
                <w:szCs w:val="18"/>
                <w:color w:val="auto"/>
                <w:w w:val="99"/>
              </w:rPr>
              <w:t>5.34 %</w:t>
            </w: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20" w:type="dxa"/>
            <w:vAlign w:val="bottom"/>
            <w:gridSpan w:val="5"/>
          </w:tcPr>
          <w:p>
            <w:pPr>
              <w:spacing w:after="0" w:line="169" w:lineRule="exact"/>
              <w:rPr>
                <w:sz w:val="20"/>
                <w:szCs w:val="20"/>
                <w:color w:val="auto"/>
              </w:rPr>
            </w:pPr>
            <w:r>
              <w:rPr>
                <w:rFonts w:ascii="Arial" w:cs="Arial" w:eastAsia="Arial" w:hAnsi="Arial"/>
                <w:sz w:val="18"/>
                <w:szCs w:val="18"/>
                <w:color w:val="auto"/>
              </w:rPr>
              <w:t>October 2024 Senior Notes</w:t>
            </w: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4.150% notes due February 2028</w:t>
            </w:r>
          </w:p>
        </w:tc>
        <w:tc>
          <w:tcPr>
            <w:tcW w:w="188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9"/>
              </w:rPr>
              <w:t>4.36 %</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5"/>
          </w:tcPr>
          <w:p>
            <w:pPr>
              <w:ind w:left="120"/>
              <w:spacing w:after="0"/>
              <w:rPr>
                <w:sz w:val="20"/>
                <w:szCs w:val="20"/>
                <w:color w:val="auto"/>
              </w:rPr>
            </w:pPr>
            <w:r>
              <w:rPr>
                <w:rFonts w:ascii="Arial" w:cs="Arial" w:eastAsia="Arial" w:hAnsi="Arial"/>
                <w:sz w:val="18"/>
                <w:szCs w:val="18"/>
                <w:color w:val="auto"/>
              </w:rPr>
              <w:t>4.350% notes due February 2030</w:t>
            </w:r>
          </w:p>
        </w:tc>
        <w:tc>
          <w:tcPr>
            <w:tcW w:w="1880" w:type="dxa"/>
            <w:vAlign w:val="bottom"/>
          </w:tcPr>
          <w:p>
            <w:pPr>
              <w:ind w:left="1300"/>
              <w:spacing w:after="0"/>
              <w:rPr>
                <w:sz w:val="20"/>
                <w:szCs w:val="20"/>
                <w:color w:val="auto"/>
              </w:rPr>
            </w:pPr>
            <w:r>
              <w:rPr>
                <w:rFonts w:ascii="Arial" w:cs="Arial" w:eastAsia="Arial" w:hAnsi="Arial"/>
                <w:sz w:val="18"/>
                <w:szCs w:val="18"/>
                <w:color w:val="auto"/>
                <w:w w:val="99"/>
              </w:rPr>
              <w:t>4.51 %</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4.550% notes due February 2032</w:t>
            </w:r>
          </w:p>
        </w:tc>
        <w:tc>
          <w:tcPr>
            <w:tcW w:w="188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9"/>
              </w:rPr>
              <w:t>4.70 %</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5"/>
          </w:tcPr>
          <w:p>
            <w:pPr>
              <w:ind w:left="120"/>
              <w:spacing w:after="0"/>
              <w:rPr>
                <w:sz w:val="20"/>
                <w:szCs w:val="20"/>
                <w:color w:val="auto"/>
              </w:rPr>
            </w:pPr>
            <w:r>
              <w:rPr>
                <w:rFonts w:ascii="Arial" w:cs="Arial" w:eastAsia="Arial" w:hAnsi="Arial"/>
                <w:sz w:val="18"/>
                <w:szCs w:val="18"/>
                <w:color w:val="auto"/>
              </w:rPr>
              <w:t>4.800% notes due October 2034</w:t>
            </w:r>
          </w:p>
        </w:tc>
        <w:tc>
          <w:tcPr>
            <w:tcW w:w="2200" w:type="dxa"/>
            <w:vAlign w:val="bottom"/>
            <w:tcBorders>
              <w:bottom w:val="single" w:sz="8" w:color="CCEEFF"/>
            </w:tcBorders>
            <w:gridSpan w:val="2"/>
          </w:tcPr>
          <w:p>
            <w:pPr>
              <w:ind w:left="1300"/>
              <w:spacing w:after="0" w:line="230" w:lineRule="exact"/>
              <w:rPr>
                <w:sz w:val="20"/>
                <w:szCs w:val="20"/>
                <w:color w:val="auto"/>
              </w:rPr>
            </w:pPr>
            <w:r>
              <w:rPr>
                <w:rFonts w:ascii="Arial" w:cs="Arial" w:eastAsia="Arial" w:hAnsi="Arial"/>
                <w:sz w:val="18"/>
                <w:szCs w:val="18"/>
                <w:color w:val="auto"/>
              </w:rPr>
              <w:t xml:space="preserve">4.38 % </w:t>
            </w:r>
            <w:r>
              <w:rPr>
                <w:rFonts w:ascii="Arial" w:cs="Arial" w:eastAsia="Arial" w:hAnsi="Arial"/>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20" w:type="dxa"/>
            <w:vAlign w:val="bottom"/>
            <w:gridSpan w:val="5"/>
          </w:tcPr>
          <w:p>
            <w:pPr>
              <w:spacing w:after="0" w:line="169" w:lineRule="exact"/>
              <w:rPr>
                <w:sz w:val="20"/>
                <w:szCs w:val="20"/>
                <w:color w:val="auto"/>
              </w:rPr>
            </w:pPr>
            <w:r>
              <w:rPr>
                <w:rFonts w:ascii="Arial" w:cs="Arial" w:eastAsia="Arial" w:hAnsi="Arial"/>
                <w:sz w:val="18"/>
                <w:szCs w:val="18"/>
                <w:color w:val="auto"/>
              </w:rPr>
              <w:t>July 2024 Senior Notes</w:t>
            </w: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5.050% notes due July 2027</w:t>
            </w:r>
          </w:p>
        </w:tc>
        <w:tc>
          <w:tcPr>
            <w:tcW w:w="188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9"/>
              </w:rPr>
              <w:t>5.27 %</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5"/>
          </w:tcPr>
          <w:p>
            <w:pPr>
              <w:ind w:left="120"/>
              <w:spacing w:after="0"/>
              <w:rPr>
                <w:sz w:val="20"/>
                <w:szCs w:val="20"/>
                <w:color w:val="auto"/>
              </w:rPr>
            </w:pPr>
            <w:r>
              <w:rPr>
                <w:rFonts w:ascii="Arial" w:cs="Arial" w:eastAsia="Arial" w:hAnsi="Arial"/>
                <w:sz w:val="18"/>
                <w:szCs w:val="18"/>
                <w:color w:val="auto"/>
              </w:rPr>
              <w:t>5.050% notes due July 2029</w:t>
            </w:r>
          </w:p>
        </w:tc>
        <w:tc>
          <w:tcPr>
            <w:tcW w:w="1880" w:type="dxa"/>
            <w:vAlign w:val="bottom"/>
          </w:tcPr>
          <w:p>
            <w:pPr>
              <w:ind w:left="1300"/>
              <w:spacing w:after="0"/>
              <w:rPr>
                <w:sz w:val="20"/>
                <w:szCs w:val="20"/>
                <w:color w:val="auto"/>
              </w:rPr>
            </w:pPr>
            <w:r>
              <w:rPr>
                <w:rFonts w:ascii="Arial" w:cs="Arial" w:eastAsia="Arial" w:hAnsi="Arial"/>
                <w:sz w:val="18"/>
                <w:szCs w:val="18"/>
                <w:color w:val="auto"/>
                <w:w w:val="99"/>
              </w:rPr>
              <w:t>5.23 %</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5.150% notes due November 2031</w:t>
            </w:r>
          </w:p>
        </w:tc>
        <w:tc>
          <w:tcPr>
            <w:tcW w:w="188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9"/>
              </w:rPr>
              <w:t>5.30 %</w:t>
            </w:r>
          </w:p>
        </w:tc>
        <w:tc>
          <w:tcPr>
            <w:tcW w:w="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00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420" w:type="dxa"/>
            <w:vAlign w:val="bottom"/>
            <w:gridSpan w:val="5"/>
            <w:shd w:val="clear" w:color="auto" w:fill="CCEEFF"/>
          </w:tcPr>
          <w:p>
            <w:pPr>
              <w:spacing w:after="0" w:line="169" w:lineRule="exact"/>
              <w:rPr>
                <w:sz w:val="20"/>
                <w:szCs w:val="20"/>
                <w:color w:val="auto"/>
              </w:rPr>
            </w:pPr>
            <w:r>
              <w:rPr>
                <w:rFonts w:ascii="Arial" w:cs="Arial" w:eastAsia="Arial" w:hAnsi="Arial"/>
                <w:sz w:val="18"/>
                <w:szCs w:val="18"/>
                <w:color w:val="auto"/>
              </w:rPr>
              <w:t>April 2022 Senior Notes</w:t>
            </w:r>
          </w:p>
        </w:tc>
        <w:tc>
          <w:tcPr>
            <w:tcW w:w="1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5"/>
          </w:tcPr>
          <w:p>
            <w:pPr>
              <w:ind w:left="120"/>
              <w:spacing w:after="0"/>
              <w:rPr>
                <w:sz w:val="20"/>
                <w:szCs w:val="20"/>
                <w:color w:val="auto"/>
              </w:rPr>
            </w:pPr>
            <w:r>
              <w:rPr>
                <w:rFonts w:ascii="Arial" w:cs="Arial" w:eastAsia="Arial" w:hAnsi="Arial"/>
                <w:sz w:val="18"/>
                <w:szCs w:val="18"/>
                <w:color w:val="auto"/>
              </w:rPr>
              <w:t>4.000% notes due April 2029</w:t>
            </w:r>
          </w:p>
        </w:tc>
        <w:tc>
          <w:tcPr>
            <w:tcW w:w="1880" w:type="dxa"/>
            <w:vAlign w:val="bottom"/>
          </w:tcPr>
          <w:p>
            <w:pPr>
              <w:ind w:left="1300"/>
              <w:spacing w:after="0"/>
              <w:rPr>
                <w:sz w:val="20"/>
                <w:szCs w:val="20"/>
                <w:color w:val="auto"/>
              </w:rPr>
            </w:pPr>
            <w:r>
              <w:rPr>
                <w:rFonts w:ascii="Arial" w:cs="Arial" w:eastAsia="Arial" w:hAnsi="Arial"/>
                <w:sz w:val="18"/>
                <w:szCs w:val="18"/>
                <w:color w:val="auto"/>
                <w:w w:val="99"/>
              </w:rPr>
              <w:t>4.17 %</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4.150% notes due April 2032</w:t>
            </w:r>
          </w:p>
        </w:tc>
        <w:tc>
          <w:tcPr>
            <w:tcW w:w="188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9"/>
              </w:rPr>
              <w:t>4.30 %</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5"/>
          </w:tcPr>
          <w:p>
            <w:pPr>
              <w:ind w:left="120"/>
              <w:spacing w:after="0"/>
              <w:rPr>
                <w:sz w:val="20"/>
                <w:szCs w:val="20"/>
                <w:color w:val="auto"/>
              </w:rPr>
            </w:pPr>
            <w:r>
              <w:rPr>
                <w:rFonts w:ascii="Arial" w:cs="Arial" w:eastAsia="Arial" w:hAnsi="Arial"/>
                <w:sz w:val="18"/>
                <w:szCs w:val="18"/>
                <w:color w:val="auto"/>
              </w:rPr>
              <w:t>4.926% notes due May 2037</w:t>
            </w:r>
          </w:p>
        </w:tc>
        <w:tc>
          <w:tcPr>
            <w:tcW w:w="1880" w:type="dxa"/>
            <w:vAlign w:val="bottom"/>
            <w:tcBorders>
              <w:bottom w:val="single" w:sz="8" w:color="CCEEFF"/>
            </w:tcBorders>
          </w:tcPr>
          <w:p>
            <w:pPr>
              <w:ind w:left="1300"/>
              <w:spacing w:after="0"/>
              <w:rPr>
                <w:sz w:val="20"/>
                <w:szCs w:val="20"/>
                <w:color w:val="auto"/>
              </w:rPr>
            </w:pPr>
            <w:r>
              <w:rPr>
                <w:rFonts w:ascii="Arial" w:cs="Arial" w:eastAsia="Arial" w:hAnsi="Arial"/>
                <w:sz w:val="18"/>
                <w:szCs w:val="18"/>
                <w:color w:val="auto"/>
                <w:w w:val="99"/>
              </w:rPr>
              <w:t>5.33 %</w:t>
            </w: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20" w:type="dxa"/>
            <w:vAlign w:val="bottom"/>
            <w:gridSpan w:val="5"/>
          </w:tcPr>
          <w:p>
            <w:pPr>
              <w:spacing w:after="0" w:line="169" w:lineRule="exact"/>
              <w:rPr>
                <w:sz w:val="20"/>
                <w:szCs w:val="20"/>
                <w:color w:val="auto"/>
              </w:rPr>
            </w:pPr>
            <w:r>
              <w:rPr>
                <w:rFonts w:ascii="Arial" w:cs="Arial" w:eastAsia="Arial" w:hAnsi="Arial"/>
                <w:sz w:val="18"/>
                <w:szCs w:val="18"/>
                <w:color w:val="auto"/>
              </w:rPr>
              <w:t>September 2021 Senior Notes</w:t>
            </w: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3.137% notes due November 2035</w:t>
            </w:r>
          </w:p>
        </w:tc>
        <w:tc>
          <w:tcPr>
            <w:tcW w:w="188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9"/>
              </w:rPr>
              <w:t>4.23 %</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5"/>
          </w:tcPr>
          <w:p>
            <w:pPr>
              <w:ind w:left="120"/>
              <w:spacing w:after="0"/>
              <w:rPr>
                <w:sz w:val="20"/>
                <w:szCs w:val="20"/>
                <w:color w:val="auto"/>
              </w:rPr>
            </w:pPr>
            <w:r>
              <w:rPr>
                <w:rFonts w:ascii="Arial" w:cs="Arial" w:eastAsia="Arial" w:hAnsi="Arial"/>
                <w:sz w:val="18"/>
                <w:szCs w:val="18"/>
                <w:color w:val="auto"/>
              </w:rPr>
              <w:t>3.187% notes due November 2036</w:t>
            </w:r>
          </w:p>
        </w:tc>
        <w:tc>
          <w:tcPr>
            <w:tcW w:w="1880" w:type="dxa"/>
            <w:vAlign w:val="bottom"/>
            <w:tcBorders>
              <w:bottom w:val="single" w:sz="8" w:color="CCEEFF"/>
            </w:tcBorders>
          </w:tcPr>
          <w:p>
            <w:pPr>
              <w:ind w:left="1300"/>
              <w:spacing w:after="0"/>
              <w:rPr>
                <w:sz w:val="20"/>
                <w:szCs w:val="20"/>
                <w:color w:val="auto"/>
              </w:rPr>
            </w:pPr>
            <w:r>
              <w:rPr>
                <w:rFonts w:ascii="Arial" w:cs="Arial" w:eastAsia="Arial" w:hAnsi="Arial"/>
                <w:sz w:val="18"/>
                <w:szCs w:val="18"/>
                <w:color w:val="auto"/>
                <w:w w:val="99"/>
              </w:rPr>
              <w:t>4.79 %</w:t>
            </w: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943"/>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80" w:type="dxa"/>
            <w:vAlign w:val="bottom"/>
          </w:tcPr>
          <w:p>
            <w:pPr>
              <w:ind w:left="8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9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Effective Interest Rate</w:t>
            </w:r>
          </w:p>
        </w:tc>
        <w:tc>
          <w:tcPr>
            <w:tcW w:w="300" w:type="dxa"/>
            <w:vAlign w:val="bottom"/>
            <w:vMerge w:val="restart"/>
          </w:tcPr>
          <w:p>
            <w:pPr>
              <w:spacing w:after="0"/>
              <w:rPr>
                <w:sz w:val="14"/>
                <w:szCs w:val="14"/>
                <w:color w:val="auto"/>
              </w:rPr>
            </w:pPr>
          </w:p>
        </w:tc>
        <w:tc>
          <w:tcPr>
            <w:tcW w:w="2240" w:type="dxa"/>
            <w:vAlign w:val="bottom"/>
            <w:gridSpan w:val="3"/>
          </w:tcPr>
          <w:p>
            <w:pPr>
              <w:ind w:left="480"/>
              <w:spacing w:after="0"/>
              <w:rPr>
                <w:sz w:val="20"/>
                <w:szCs w:val="20"/>
                <w:color w:val="auto"/>
              </w:rPr>
            </w:pPr>
            <w:r>
              <w:rPr>
                <w:rFonts w:ascii="Arial" w:cs="Arial" w:eastAsia="Arial" w:hAnsi="Arial"/>
                <w:sz w:val="14"/>
                <w:szCs w:val="14"/>
                <w:b w:val="1"/>
                <w:bCs w:val="1"/>
                <w:color w:val="auto"/>
              </w:rPr>
              <w:t>February 1,</w:t>
            </w:r>
          </w:p>
        </w:tc>
        <w:tc>
          <w:tcPr>
            <w:tcW w:w="1340" w:type="dxa"/>
            <w:vAlign w:val="bottom"/>
          </w:tcPr>
          <w:p>
            <w:pPr>
              <w:jc w:val="right"/>
              <w:ind w:right="351"/>
              <w:spacing w:after="0"/>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7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gridSpan w:val="3"/>
          </w:tcPr>
          <w:p>
            <w:pPr>
              <w:ind w:left="1380"/>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5440" w:type="dxa"/>
            <w:vAlign w:val="bottom"/>
            <w:gridSpan w:val="9"/>
            <w:shd w:val="clear" w:color="auto" w:fill="CCEEFF"/>
          </w:tcPr>
          <w:p>
            <w:pPr>
              <w:spacing w:after="0" w:line="190" w:lineRule="exact"/>
              <w:rPr>
                <w:sz w:val="20"/>
                <w:szCs w:val="20"/>
                <w:color w:val="auto"/>
              </w:rPr>
            </w:pPr>
            <w:r>
              <w:rPr>
                <w:rFonts w:ascii="Arial" w:cs="Arial" w:eastAsia="Arial" w:hAnsi="Arial"/>
                <w:sz w:val="18"/>
                <w:szCs w:val="18"/>
                <w:color w:val="auto"/>
              </w:rPr>
              <w:t>March 2021 Senior Notes</w:t>
            </w:r>
          </w:p>
        </w:tc>
        <w:tc>
          <w:tcPr>
            <w:tcW w:w="1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9"/>
          </w:tcPr>
          <w:p>
            <w:pPr>
              <w:ind w:left="120"/>
              <w:spacing w:after="0"/>
              <w:rPr>
                <w:sz w:val="20"/>
                <w:szCs w:val="20"/>
                <w:color w:val="auto"/>
              </w:rPr>
            </w:pPr>
            <w:r>
              <w:rPr>
                <w:rFonts w:ascii="Arial" w:cs="Arial" w:eastAsia="Arial" w:hAnsi="Arial"/>
                <w:sz w:val="18"/>
                <w:szCs w:val="18"/>
                <w:color w:val="auto"/>
              </w:rPr>
              <w:t>3.419% notes due April 2033</w:t>
            </w:r>
          </w:p>
        </w:tc>
        <w:tc>
          <w:tcPr>
            <w:tcW w:w="1900" w:type="dxa"/>
            <w:vAlign w:val="bottom"/>
          </w:tcPr>
          <w:p>
            <w:pPr>
              <w:jc w:val="right"/>
              <w:spacing w:after="0"/>
              <w:rPr>
                <w:sz w:val="20"/>
                <w:szCs w:val="20"/>
                <w:color w:val="auto"/>
              </w:rPr>
            </w:pPr>
            <w:r>
              <w:rPr>
                <w:rFonts w:ascii="Arial" w:cs="Arial" w:eastAsia="Arial" w:hAnsi="Arial"/>
                <w:sz w:val="18"/>
                <w:szCs w:val="18"/>
                <w:color w:val="auto"/>
              </w:rPr>
              <w:t>4.66 %</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9"/>
            <w:shd w:val="clear" w:color="auto" w:fill="CCEEFF"/>
          </w:tcPr>
          <w:p>
            <w:pPr>
              <w:ind w:left="120"/>
              <w:spacing w:after="0"/>
              <w:rPr>
                <w:sz w:val="20"/>
                <w:szCs w:val="20"/>
                <w:color w:val="auto"/>
              </w:rPr>
            </w:pPr>
            <w:r>
              <w:rPr>
                <w:rFonts w:ascii="Arial" w:cs="Arial" w:eastAsia="Arial" w:hAnsi="Arial"/>
                <w:sz w:val="18"/>
                <w:szCs w:val="18"/>
                <w:color w:val="auto"/>
              </w:rPr>
              <w:t>3.469% notes due April 2034</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4.63 %</w:t>
            </w:r>
          </w:p>
        </w:tc>
        <w:tc>
          <w:tcPr>
            <w:tcW w:w="3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440" w:type="dxa"/>
            <w:vAlign w:val="bottom"/>
            <w:gridSpan w:val="9"/>
            <w:shd w:val="clear" w:color="auto" w:fill="CCEEFF"/>
          </w:tcPr>
          <w:p>
            <w:pPr>
              <w:spacing w:after="0" w:line="169" w:lineRule="exact"/>
              <w:rPr>
                <w:sz w:val="20"/>
                <w:szCs w:val="20"/>
                <w:color w:val="auto"/>
              </w:rPr>
            </w:pPr>
            <w:r>
              <w:rPr>
                <w:rFonts w:ascii="Arial" w:cs="Arial" w:eastAsia="Arial" w:hAnsi="Arial"/>
                <w:sz w:val="18"/>
                <w:szCs w:val="18"/>
                <w:color w:val="auto"/>
              </w:rPr>
              <w:t>January 2021 Senior Notes</w:t>
            </w:r>
          </w:p>
        </w:tc>
        <w:tc>
          <w:tcPr>
            <w:tcW w:w="1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9"/>
          </w:tcPr>
          <w:p>
            <w:pPr>
              <w:ind w:left="120"/>
              <w:spacing w:after="0"/>
              <w:rPr>
                <w:sz w:val="20"/>
                <w:szCs w:val="20"/>
                <w:color w:val="auto"/>
              </w:rPr>
            </w:pPr>
            <w:r>
              <w:rPr>
                <w:rFonts w:ascii="Arial" w:cs="Arial" w:eastAsia="Arial" w:hAnsi="Arial"/>
                <w:sz w:val="18"/>
                <w:szCs w:val="18"/>
                <w:color w:val="auto"/>
              </w:rPr>
              <w:t>1.950% notes due February 2028</w:t>
            </w:r>
          </w:p>
        </w:tc>
        <w:tc>
          <w:tcPr>
            <w:tcW w:w="1900" w:type="dxa"/>
            <w:vAlign w:val="bottom"/>
          </w:tcPr>
          <w:p>
            <w:pPr>
              <w:jc w:val="right"/>
              <w:spacing w:after="0"/>
              <w:rPr>
                <w:sz w:val="20"/>
                <w:szCs w:val="20"/>
                <w:color w:val="auto"/>
              </w:rPr>
            </w:pPr>
            <w:r>
              <w:rPr>
                <w:rFonts w:ascii="Arial" w:cs="Arial" w:eastAsia="Arial" w:hAnsi="Arial"/>
                <w:sz w:val="18"/>
                <w:szCs w:val="18"/>
                <w:color w:val="auto"/>
              </w:rPr>
              <w:t>2.10 %</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9"/>
            <w:shd w:val="clear" w:color="auto" w:fill="CCEEFF"/>
          </w:tcPr>
          <w:p>
            <w:pPr>
              <w:ind w:left="120"/>
              <w:spacing w:after="0"/>
              <w:rPr>
                <w:sz w:val="20"/>
                <w:szCs w:val="20"/>
                <w:color w:val="auto"/>
              </w:rPr>
            </w:pPr>
            <w:r>
              <w:rPr>
                <w:rFonts w:ascii="Arial" w:cs="Arial" w:eastAsia="Arial" w:hAnsi="Arial"/>
                <w:sz w:val="18"/>
                <w:szCs w:val="18"/>
                <w:color w:val="auto"/>
              </w:rPr>
              <w:t>2.450% notes due February 2031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2.56 %</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9"/>
          </w:tcPr>
          <w:p>
            <w:pPr>
              <w:ind w:left="120"/>
              <w:spacing w:after="0"/>
              <w:rPr>
                <w:sz w:val="20"/>
                <w:szCs w:val="20"/>
                <w:color w:val="auto"/>
              </w:rPr>
            </w:pPr>
            <w:r>
              <w:rPr>
                <w:rFonts w:ascii="Arial" w:cs="Arial" w:eastAsia="Arial" w:hAnsi="Arial"/>
                <w:sz w:val="18"/>
                <w:szCs w:val="18"/>
                <w:color w:val="auto"/>
              </w:rPr>
              <w:t>2.600% notes due February 2033</w:t>
            </w:r>
          </w:p>
        </w:tc>
        <w:tc>
          <w:tcPr>
            <w:tcW w:w="1900" w:type="dxa"/>
            <w:vAlign w:val="bottom"/>
          </w:tcPr>
          <w:p>
            <w:pPr>
              <w:jc w:val="right"/>
              <w:spacing w:after="0"/>
              <w:rPr>
                <w:sz w:val="20"/>
                <w:szCs w:val="20"/>
                <w:color w:val="auto"/>
              </w:rPr>
            </w:pPr>
            <w:r>
              <w:rPr>
                <w:rFonts w:ascii="Arial" w:cs="Arial" w:eastAsia="Arial" w:hAnsi="Arial"/>
                <w:sz w:val="18"/>
                <w:szCs w:val="18"/>
                <w:color w:val="auto"/>
              </w:rPr>
              <w:t>2.70 %</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9"/>
            <w:shd w:val="clear" w:color="auto" w:fill="CCEEFF"/>
          </w:tcPr>
          <w:p>
            <w:pPr>
              <w:ind w:left="120"/>
              <w:spacing w:after="0"/>
              <w:rPr>
                <w:sz w:val="20"/>
                <w:szCs w:val="20"/>
                <w:color w:val="auto"/>
              </w:rPr>
            </w:pPr>
            <w:r>
              <w:rPr>
                <w:rFonts w:ascii="Arial" w:cs="Arial" w:eastAsia="Arial" w:hAnsi="Arial"/>
                <w:sz w:val="18"/>
                <w:szCs w:val="18"/>
                <w:color w:val="auto"/>
              </w:rPr>
              <w:t>3.500% notes due February 2041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3.60 %</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9"/>
          </w:tcPr>
          <w:p>
            <w:pPr>
              <w:ind w:left="120"/>
              <w:spacing w:after="0"/>
              <w:rPr>
                <w:sz w:val="20"/>
                <w:szCs w:val="20"/>
                <w:color w:val="auto"/>
              </w:rPr>
            </w:pPr>
            <w:r>
              <w:rPr>
                <w:rFonts w:ascii="Arial" w:cs="Arial" w:eastAsia="Arial" w:hAnsi="Arial"/>
                <w:sz w:val="18"/>
                <w:szCs w:val="18"/>
                <w:color w:val="auto"/>
              </w:rPr>
              <w:t>3.750% notes due February 2051</w:t>
            </w:r>
          </w:p>
        </w:tc>
        <w:tc>
          <w:tcPr>
            <w:tcW w:w="1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3.84 %</w:t>
            </w:r>
          </w:p>
        </w:tc>
        <w:tc>
          <w:tcPr>
            <w:tcW w:w="3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40" w:type="dxa"/>
            <w:vAlign w:val="bottom"/>
            <w:gridSpan w:val="9"/>
          </w:tcPr>
          <w:p>
            <w:pPr>
              <w:spacing w:after="0" w:line="169" w:lineRule="exact"/>
              <w:rPr>
                <w:sz w:val="20"/>
                <w:szCs w:val="20"/>
                <w:color w:val="auto"/>
              </w:rPr>
            </w:pPr>
            <w:r>
              <w:rPr>
                <w:rFonts w:ascii="Arial" w:cs="Arial" w:eastAsia="Arial" w:hAnsi="Arial"/>
                <w:sz w:val="18"/>
                <w:szCs w:val="18"/>
                <w:color w:val="auto"/>
              </w:rPr>
              <w:t>June 2020 Senior Notes</w:t>
            </w:r>
          </w:p>
        </w:tc>
        <w:tc>
          <w:tcPr>
            <w:tcW w:w="1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9"/>
            <w:shd w:val="clear" w:color="auto" w:fill="CCEEFF"/>
          </w:tcPr>
          <w:p>
            <w:pPr>
              <w:ind w:left="120"/>
              <w:spacing w:after="0"/>
              <w:rPr>
                <w:sz w:val="20"/>
                <w:szCs w:val="20"/>
                <w:color w:val="auto"/>
              </w:rPr>
            </w:pPr>
            <w:r>
              <w:rPr>
                <w:rFonts w:ascii="Arial" w:cs="Arial" w:eastAsia="Arial" w:hAnsi="Arial"/>
                <w:sz w:val="18"/>
                <w:szCs w:val="18"/>
                <w:color w:val="auto"/>
              </w:rPr>
              <w:t>3.459% notes due September 2026</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4.19 %</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9"/>
          </w:tcPr>
          <w:p>
            <w:pPr>
              <w:ind w:left="120"/>
              <w:spacing w:after="0"/>
              <w:rPr>
                <w:sz w:val="20"/>
                <w:szCs w:val="20"/>
                <w:color w:val="auto"/>
              </w:rPr>
            </w:pPr>
            <w:r>
              <w:rPr>
                <w:rFonts w:ascii="Arial" w:cs="Arial" w:eastAsia="Arial" w:hAnsi="Arial"/>
                <w:sz w:val="18"/>
                <w:szCs w:val="18"/>
                <w:color w:val="auto"/>
              </w:rPr>
              <w:t>4.110% notes due September 2028</w:t>
            </w:r>
          </w:p>
        </w:tc>
        <w:tc>
          <w:tcPr>
            <w:tcW w:w="1900" w:type="dxa"/>
            <w:vAlign w:val="bottom"/>
          </w:tcPr>
          <w:p>
            <w:pPr>
              <w:jc w:val="right"/>
              <w:spacing w:after="0"/>
              <w:rPr>
                <w:sz w:val="20"/>
                <w:szCs w:val="20"/>
                <w:color w:val="auto"/>
              </w:rPr>
            </w:pPr>
            <w:r>
              <w:rPr>
                <w:rFonts w:ascii="Arial" w:cs="Arial" w:eastAsia="Arial" w:hAnsi="Arial"/>
                <w:sz w:val="18"/>
                <w:szCs w:val="18"/>
                <w:color w:val="auto"/>
              </w:rPr>
              <w:t>5.02 %</w:t>
            </w:r>
          </w:p>
        </w:tc>
        <w:tc>
          <w:tcPr>
            <w:tcW w:w="300" w:type="dxa"/>
            <w:vAlign w:val="bottom"/>
          </w:tcPr>
          <w:p>
            <w:pPr>
              <w:spacing w:after="0"/>
              <w:rPr>
                <w:sz w:val="19"/>
                <w:szCs w:val="19"/>
                <w:color w:val="auto"/>
              </w:rPr>
            </w:pPr>
          </w:p>
        </w:tc>
        <w:tc>
          <w:tcPr>
            <w:tcW w:w="22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40" w:type="dxa"/>
            <w:vAlign w:val="bottom"/>
            <w:gridSpan w:val="9"/>
          </w:tcPr>
          <w:p>
            <w:pPr>
              <w:spacing w:after="0" w:line="169" w:lineRule="exact"/>
              <w:rPr>
                <w:sz w:val="20"/>
                <w:szCs w:val="20"/>
                <w:color w:val="auto"/>
              </w:rPr>
            </w:pPr>
            <w:r>
              <w:rPr>
                <w:rFonts w:ascii="Arial" w:cs="Arial" w:eastAsia="Arial" w:hAnsi="Arial"/>
                <w:sz w:val="18"/>
                <w:szCs w:val="18"/>
                <w:color w:val="auto"/>
              </w:rPr>
              <w:t>May 2020 Senior Notes</w:t>
            </w:r>
          </w:p>
        </w:tc>
        <w:tc>
          <w:tcPr>
            <w:tcW w:w="1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9"/>
            <w:shd w:val="clear" w:color="auto" w:fill="CCEEFF"/>
          </w:tcPr>
          <w:p>
            <w:pPr>
              <w:ind w:left="120"/>
              <w:spacing w:after="0"/>
              <w:rPr>
                <w:sz w:val="20"/>
                <w:szCs w:val="20"/>
                <w:color w:val="auto"/>
              </w:rPr>
            </w:pPr>
            <w:r>
              <w:rPr>
                <w:rFonts w:ascii="Arial" w:cs="Arial" w:eastAsia="Arial" w:hAnsi="Arial"/>
                <w:sz w:val="18"/>
                <w:szCs w:val="18"/>
                <w:color w:val="auto"/>
              </w:rPr>
              <w:t>3.150% notes due November 2025</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3.29 %</w:t>
            </w:r>
          </w:p>
        </w:tc>
        <w:tc>
          <w:tcPr>
            <w:tcW w:w="300" w:type="dxa"/>
            <w:vAlign w:val="bottom"/>
            <w:shd w:val="clear" w:color="auto" w:fill="CCEEFF"/>
          </w:tcPr>
          <w:p>
            <w:pPr>
              <w:spacing w:after="0"/>
              <w:rPr>
                <w:sz w:val="19"/>
                <w:szCs w:val="19"/>
                <w:color w:val="auto"/>
              </w:rPr>
            </w:pPr>
          </w:p>
        </w:tc>
        <w:tc>
          <w:tcPr>
            <w:tcW w:w="2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9"/>
          </w:tcPr>
          <w:p>
            <w:pPr>
              <w:ind w:left="120"/>
              <w:spacing w:after="0"/>
              <w:rPr>
                <w:sz w:val="20"/>
                <w:szCs w:val="20"/>
                <w:color w:val="auto"/>
              </w:rPr>
            </w:pPr>
            <w:r>
              <w:rPr>
                <w:rFonts w:ascii="Arial" w:cs="Arial" w:eastAsia="Arial" w:hAnsi="Arial"/>
                <w:sz w:val="18"/>
                <w:szCs w:val="18"/>
                <w:color w:val="auto"/>
              </w:rPr>
              <w:t>4.150% notes due November 2030</w:t>
            </w:r>
          </w:p>
        </w:tc>
        <w:tc>
          <w:tcPr>
            <w:tcW w:w="1900" w:type="dxa"/>
            <w:vAlign w:val="bottom"/>
          </w:tcPr>
          <w:p>
            <w:pPr>
              <w:jc w:val="right"/>
              <w:spacing w:after="0"/>
              <w:rPr>
                <w:sz w:val="20"/>
                <w:szCs w:val="20"/>
                <w:color w:val="auto"/>
              </w:rPr>
            </w:pPr>
            <w:r>
              <w:rPr>
                <w:rFonts w:ascii="Arial" w:cs="Arial" w:eastAsia="Arial" w:hAnsi="Arial"/>
                <w:sz w:val="18"/>
                <w:szCs w:val="18"/>
                <w:color w:val="auto"/>
              </w:rPr>
              <w:t>4.27 %</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9"/>
            <w:shd w:val="clear" w:color="auto" w:fill="CCEEFF"/>
          </w:tcPr>
          <w:p>
            <w:pPr>
              <w:ind w:left="120"/>
              <w:spacing w:after="0"/>
              <w:rPr>
                <w:sz w:val="20"/>
                <w:szCs w:val="20"/>
                <w:color w:val="auto"/>
              </w:rPr>
            </w:pPr>
            <w:r>
              <w:rPr>
                <w:rFonts w:ascii="Arial" w:cs="Arial" w:eastAsia="Arial" w:hAnsi="Arial"/>
                <w:sz w:val="18"/>
                <w:szCs w:val="18"/>
                <w:color w:val="auto"/>
              </w:rPr>
              <w:t>4.300% notes due November 2032</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4.39 %</w:t>
            </w:r>
          </w:p>
        </w:tc>
        <w:tc>
          <w:tcPr>
            <w:tcW w:w="3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440" w:type="dxa"/>
            <w:vAlign w:val="bottom"/>
            <w:gridSpan w:val="9"/>
            <w:shd w:val="clear" w:color="auto" w:fill="CCEEFF"/>
          </w:tcPr>
          <w:p>
            <w:pPr>
              <w:spacing w:after="0" w:line="169" w:lineRule="exact"/>
              <w:rPr>
                <w:sz w:val="20"/>
                <w:szCs w:val="20"/>
                <w:color w:val="auto"/>
              </w:rPr>
            </w:pPr>
            <w:r>
              <w:rPr>
                <w:rFonts w:ascii="Arial" w:cs="Arial" w:eastAsia="Arial" w:hAnsi="Arial"/>
                <w:sz w:val="18"/>
                <w:szCs w:val="18"/>
                <w:color w:val="auto"/>
              </w:rPr>
              <w:t>April 2020 Senior Notes</w:t>
            </w:r>
          </w:p>
        </w:tc>
        <w:tc>
          <w:tcPr>
            <w:tcW w:w="1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9"/>
          </w:tcPr>
          <w:p>
            <w:pPr>
              <w:ind w:left="120"/>
              <w:spacing w:after="0"/>
              <w:rPr>
                <w:sz w:val="20"/>
                <w:szCs w:val="20"/>
                <w:color w:val="auto"/>
              </w:rPr>
            </w:pPr>
            <w:r>
              <w:rPr>
                <w:rFonts w:ascii="Arial" w:cs="Arial" w:eastAsia="Arial" w:hAnsi="Arial"/>
                <w:sz w:val="18"/>
                <w:szCs w:val="18"/>
                <w:color w:val="auto"/>
              </w:rPr>
              <w:t>5.000% notes due April 2030</w:t>
            </w:r>
          </w:p>
        </w:tc>
        <w:tc>
          <w:tcPr>
            <w:tcW w:w="1900" w:type="dxa"/>
            <w:vAlign w:val="bottom"/>
          </w:tcPr>
          <w:p>
            <w:pPr>
              <w:jc w:val="right"/>
              <w:spacing w:after="0"/>
              <w:rPr>
                <w:sz w:val="20"/>
                <w:szCs w:val="20"/>
                <w:color w:val="auto"/>
              </w:rPr>
            </w:pPr>
            <w:r>
              <w:rPr>
                <w:rFonts w:ascii="Arial" w:cs="Arial" w:eastAsia="Arial" w:hAnsi="Arial"/>
                <w:sz w:val="18"/>
                <w:szCs w:val="18"/>
                <w:color w:val="auto"/>
              </w:rPr>
              <w:t>5.18 %</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88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40" w:type="dxa"/>
            <w:vAlign w:val="bottom"/>
            <w:gridSpan w:val="9"/>
          </w:tcPr>
          <w:p>
            <w:pPr>
              <w:spacing w:after="0" w:line="189" w:lineRule="exact"/>
              <w:rPr>
                <w:sz w:val="20"/>
                <w:szCs w:val="20"/>
                <w:color w:val="auto"/>
              </w:rPr>
            </w:pPr>
            <w:r>
              <w:rPr>
                <w:rFonts w:ascii="Arial" w:cs="Arial" w:eastAsia="Arial" w:hAnsi="Arial"/>
                <w:sz w:val="18"/>
                <w:szCs w:val="18"/>
                <w:color w:val="auto"/>
              </w:rPr>
              <w:t>April 2019 Senior Notes</w:t>
            </w: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9"/>
            <w:shd w:val="clear" w:color="auto" w:fill="CCEEFF"/>
          </w:tcPr>
          <w:p>
            <w:pPr>
              <w:ind w:left="120"/>
              <w:spacing w:after="0"/>
              <w:rPr>
                <w:sz w:val="20"/>
                <w:szCs w:val="20"/>
                <w:color w:val="auto"/>
              </w:rPr>
            </w:pPr>
            <w:r>
              <w:rPr>
                <w:rFonts w:ascii="Arial" w:cs="Arial" w:eastAsia="Arial" w:hAnsi="Arial"/>
                <w:sz w:val="18"/>
                <w:szCs w:val="18"/>
                <w:color w:val="auto"/>
              </w:rPr>
              <w:t>4.750% notes due April 2029</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4.95 %</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9"/>
              </w:rPr>
              <w:t>2017 Senior Notes</w:t>
            </w:r>
          </w:p>
        </w:tc>
        <w:tc>
          <w:tcPr>
            <w:tcW w:w="3940" w:type="dxa"/>
            <w:vAlign w:val="bottom"/>
            <w:tcBorders>
              <w:bottom w:val="single" w:sz="8" w:color="CCEEFF"/>
            </w:tcBorders>
            <w:gridSpan w:val="7"/>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9"/>
          </w:tcPr>
          <w:p>
            <w:pPr>
              <w:ind w:left="120"/>
              <w:spacing w:after="0"/>
              <w:rPr>
                <w:sz w:val="20"/>
                <w:szCs w:val="20"/>
                <w:color w:val="auto"/>
              </w:rPr>
            </w:pPr>
            <w:r>
              <w:rPr>
                <w:rFonts w:ascii="Arial" w:cs="Arial" w:eastAsia="Arial" w:hAnsi="Arial"/>
                <w:sz w:val="18"/>
                <w:szCs w:val="18"/>
                <w:color w:val="auto"/>
              </w:rPr>
              <w:t>3.500% notes due January 2028</w:t>
            </w:r>
          </w:p>
        </w:tc>
        <w:tc>
          <w:tcPr>
            <w:tcW w:w="1900" w:type="dxa"/>
            <w:vAlign w:val="bottom"/>
          </w:tcPr>
          <w:p>
            <w:pPr>
              <w:jc w:val="right"/>
              <w:spacing w:after="0"/>
              <w:rPr>
                <w:sz w:val="20"/>
                <w:szCs w:val="20"/>
                <w:color w:val="auto"/>
              </w:rPr>
            </w:pPr>
            <w:r>
              <w:rPr>
                <w:rFonts w:ascii="Arial" w:cs="Arial" w:eastAsia="Arial" w:hAnsi="Arial"/>
                <w:sz w:val="18"/>
                <w:szCs w:val="18"/>
                <w:color w:val="auto"/>
              </w:rPr>
              <w:t>3.60 %</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88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40" w:type="dxa"/>
            <w:vAlign w:val="bottom"/>
            <w:gridSpan w:val="9"/>
          </w:tcPr>
          <w:p>
            <w:pPr>
              <w:spacing w:after="0" w:line="189" w:lineRule="exact"/>
              <w:rPr>
                <w:sz w:val="20"/>
                <w:szCs w:val="20"/>
                <w:color w:val="auto"/>
              </w:rPr>
            </w:pPr>
            <w:r>
              <w:rPr>
                <w:rFonts w:ascii="Arial" w:cs="Arial" w:eastAsia="Arial" w:hAnsi="Arial"/>
                <w:sz w:val="18"/>
                <w:szCs w:val="18"/>
                <w:color w:val="auto"/>
              </w:rPr>
              <w:t>Assumed VMware Senior Notes</w:t>
            </w: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9"/>
            <w:shd w:val="clear" w:color="auto" w:fill="CCEEFF"/>
          </w:tcPr>
          <w:p>
            <w:pPr>
              <w:ind w:left="120"/>
              <w:spacing w:after="0"/>
              <w:rPr>
                <w:sz w:val="20"/>
                <w:szCs w:val="20"/>
                <w:color w:val="auto"/>
              </w:rPr>
            </w:pPr>
            <w:r>
              <w:rPr>
                <w:rFonts w:ascii="Arial" w:cs="Arial" w:eastAsia="Arial" w:hAnsi="Arial"/>
                <w:sz w:val="18"/>
                <w:szCs w:val="18"/>
                <w:color w:val="auto"/>
              </w:rPr>
              <w:t>1.400% notes due August 2026</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5.60 %</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9"/>
          </w:tcPr>
          <w:p>
            <w:pPr>
              <w:ind w:left="120"/>
              <w:spacing w:after="0"/>
              <w:rPr>
                <w:sz w:val="20"/>
                <w:szCs w:val="20"/>
                <w:color w:val="auto"/>
              </w:rPr>
            </w:pPr>
            <w:r>
              <w:rPr>
                <w:rFonts w:ascii="Arial" w:cs="Arial" w:eastAsia="Arial" w:hAnsi="Arial"/>
                <w:sz w:val="18"/>
                <w:szCs w:val="18"/>
                <w:color w:val="auto"/>
              </w:rPr>
              <w:t>3.900% notes due August 2027</w:t>
            </w:r>
          </w:p>
        </w:tc>
        <w:tc>
          <w:tcPr>
            <w:tcW w:w="1900" w:type="dxa"/>
            <w:vAlign w:val="bottom"/>
          </w:tcPr>
          <w:p>
            <w:pPr>
              <w:jc w:val="right"/>
              <w:spacing w:after="0"/>
              <w:rPr>
                <w:sz w:val="20"/>
                <w:szCs w:val="20"/>
                <w:color w:val="auto"/>
              </w:rPr>
            </w:pPr>
            <w:r>
              <w:rPr>
                <w:rFonts w:ascii="Arial" w:cs="Arial" w:eastAsia="Arial" w:hAnsi="Arial"/>
                <w:sz w:val="18"/>
                <w:szCs w:val="18"/>
                <w:color w:val="auto"/>
              </w:rPr>
              <w:t>5.50 %</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9"/>
            <w:shd w:val="clear" w:color="auto" w:fill="CCEEFF"/>
          </w:tcPr>
          <w:p>
            <w:pPr>
              <w:ind w:left="120"/>
              <w:spacing w:after="0"/>
              <w:rPr>
                <w:sz w:val="20"/>
                <w:szCs w:val="20"/>
                <w:color w:val="auto"/>
              </w:rPr>
            </w:pPr>
            <w:r>
              <w:rPr>
                <w:rFonts w:ascii="Arial" w:cs="Arial" w:eastAsia="Arial" w:hAnsi="Arial"/>
                <w:sz w:val="18"/>
                <w:szCs w:val="18"/>
                <w:color w:val="auto"/>
              </w:rPr>
              <w:t>1.800% notes due August 2028</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5.44 %</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9"/>
          </w:tcPr>
          <w:p>
            <w:pPr>
              <w:ind w:left="120"/>
              <w:spacing w:after="0"/>
              <w:rPr>
                <w:sz w:val="20"/>
                <w:szCs w:val="20"/>
                <w:color w:val="auto"/>
              </w:rPr>
            </w:pPr>
            <w:r>
              <w:rPr>
                <w:rFonts w:ascii="Arial" w:cs="Arial" w:eastAsia="Arial" w:hAnsi="Arial"/>
                <w:sz w:val="18"/>
                <w:szCs w:val="18"/>
                <w:color w:val="auto"/>
              </w:rPr>
              <w:t>4.700% notes due May 2030</w:t>
            </w:r>
          </w:p>
        </w:tc>
        <w:tc>
          <w:tcPr>
            <w:tcW w:w="1900" w:type="dxa"/>
            <w:vAlign w:val="bottom"/>
          </w:tcPr>
          <w:p>
            <w:pPr>
              <w:jc w:val="right"/>
              <w:spacing w:after="0"/>
              <w:rPr>
                <w:sz w:val="20"/>
                <w:szCs w:val="20"/>
                <w:color w:val="auto"/>
              </w:rPr>
            </w:pPr>
            <w:r>
              <w:rPr>
                <w:rFonts w:ascii="Arial" w:cs="Arial" w:eastAsia="Arial" w:hAnsi="Arial"/>
                <w:sz w:val="18"/>
                <w:szCs w:val="18"/>
                <w:color w:val="auto"/>
              </w:rPr>
              <w:t>5.75 %</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9"/>
            <w:shd w:val="clear" w:color="auto" w:fill="CCEEFF"/>
          </w:tcPr>
          <w:p>
            <w:pPr>
              <w:ind w:left="120"/>
              <w:spacing w:after="0"/>
              <w:rPr>
                <w:sz w:val="20"/>
                <w:szCs w:val="20"/>
                <w:color w:val="auto"/>
              </w:rPr>
            </w:pPr>
            <w:r>
              <w:rPr>
                <w:rFonts w:ascii="Arial" w:cs="Arial" w:eastAsia="Arial" w:hAnsi="Arial"/>
                <w:sz w:val="18"/>
                <w:szCs w:val="18"/>
                <w:color w:val="auto"/>
              </w:rPr>
              <w:t>2.200% notes due August 2031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5.74 %</w:t>
            </w:r>
          </w:p>
        </w:tc>
        <w:tc>
          <w:tcPr>
            <w:tcW w:w="3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440" w:type="dxa"/>
            <w:vAlign w:val="bottom"/>
            <w:gridSpan w:val="9"/>
            <w:shd w:val="clear" w:color="auto" w:fill="CCEEFF"/>
          </w:tcPr>
          <w:p>
            <w:pPr>
              <w:spacing w:after="0" w:line="169" w:lineRule="exact"/>
              <w:rPr>
                <w:sz w:val="20"/>
                <w:szCs w:val="20"/>
                <w:color w:val="auto"/>
              </w:rPr>
            </w:pPr>
            <w:r>
              <w:rPr>
                <w:rFonts w:ascii="Arial" w:cs="Arial" w:eastAsia="Arial" w:hAnsi="Arial"/>
                <w:sz w:val="18"/>
                <w:szCs w:val="18"/>
                <w:color w:val="auto"/>
              </w:rPr>
              <w:t>Other senior notes</w:t>
            </w:r>
          </w:p>
        </w:tc>
        <w:tc>
          <w:tcPr>
            <w:tcW w:w="1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9"/>
          </w:tcPr>
          <w:p>
            <w:pPr>
              <w:ind w:left="120"/>
              <w:spacing w:after="0"/>
              <w:rPr>
                <w:sz w:val="20"/>
                <w:szCs w:val="20"/>
                <w:color w:val="auto"/>
              </w:rPr>
            </w:pPr>
            <w:r>
              <w:rPr>
                <w:rFonts w:ascii="Arial" w:cs="Arial" w:eastAsia="Arial" w:hAnsi="Arial"/>
                <w:sz w:val="18"/>
                <w:szCs w:val="18"/>
                <w:color w:val="auto"/>
              </w:rPr>
              <w:t>4.500% notes due August 2034</w:t>
            </w:r>
          </w:p>
        </w:tc>
        <w:tc>
          <w:tcPr>
            <w:tcW w:w="1900" w:type="dxa"/>
            <w:vAlign w:val="bottom"/>
          </w:tcPr>
          <w:p>
            <w:pPr>
              <w:jc w:val="right"/>
              <w:spacing w:after="0"/>
              <w:rPr>
                <w:sz w:val="20"/>
                <w:szCs w:val="20"/>
                <w:color w:val="auto"/>
              </w:rPr>
            </w:pPr>
            <w:r>
              <w:rPr>
                <w:rFonts w:ascii="Arial" w:cs="Arial" w:eastAsia="Arial" w:hAnsi="Arial"/>
                <w:sz w:val="18"/>
                <w:szCs w:val="18"/>
                <w:color w:val="auto"/>
              </w:rPr>
              <w:t>4.55 %</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88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9"/>
          </w:tcPr>
          <w:p>
            <w:pPr>
              <w:ind w:left="200"/>
              <w:spacing w:after="0"/>
              <w:rPr>
                <w:sz w:val="20"/>
                <w:szCs w:val="20"/>
                <w:color w:val="auto"/>
              </w:rPr>
            </w:pPr>
            <w:r>
              <w:rPr>
                <w:rFonts w:ascii="Arial" w:cs="Arial" w:eastAsia="Arial" w:hAnsi="Arial"/>
                <w:sz w:val="18"/>
                <w:szCs w:val="18"/>
                <w:color w:val="auto"/>
              </w:rPr>
              <w:t>Total senior notes outstanding</w:t>
            </w:r>
          </w:p>
        </w:tc>
        <w:tc>
          <w:tcPr>
            <w:tcW w:w="19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65,370</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9"/>
          </w:tcPr>
          <w:p>
            <w:pPr>
              <w:ind w:left="120"/>
              <w:spacing w:after="0"/>
              <w:rPr>
                <w:sz w:val="20"/>
                <w:szCs w:val="20"/>
                <w:color w:val="auto"/>
              </w:rPr>
            </w:pPr>
            <w:r>
              <w:rPr>
                <w:rFonts w:ascii="Arial" w:cs="Arial" w:eastAsia="Arial" w:hAnsi="Arial"/>
                <w:sz w:val="18"/>
                <w:szCs w:val="18"/>
                <w:color w:val="auto"/>
              </w:rPr>
              <w:t>4.540% term loan due May 2028</w:t>
            </w:r>
          </w:p>
        </w:tc>
        <w:tc>
          <w:tcPr>
            <w:tcW w:w="1900" w:type="dxa"/>
            <w:vAlign w:val="bottom"/>
          </w:tcPr>
          <w:p>
            <w:pPr>
              <w:jc w:val="right"/>
              <w:spacing w:after="0"/>
              <w:rPr>
                <w:sz w:val="20"/>
                <w:szCs w:val="20"/>
                <w:color w:val="auto"/>
              </w:rPr>
            </w:pPr>
            <w:r>
              <w:rPr>
                <w:rFonts w:ascii="Arial" w:cs="Arial" w:eastAsia="Arial" w:hAnsi="Arial"/>
                <w:sz w:val="18"/>
                <w:szCs w:val="18"/>
                <w:color w:val="auto"/>
              </w:rPr>
              <w:t>4.59 %</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88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440" w:type="dxa"/>
            <w:vAlign w:val="bottom"/>
            <w:gridSpan w:val="9"/>
          </w:tcPr>
          <w:p>
            <w:pPr>
              <w:ind w:left="120"/>
              <w:spacing w:after="0"/>
              <w:rPr>
                <w:sz w:val="20"/>
                <w:szCs w:val="20"/>
                <w:color w:val="auto"/>
              </w:rPr>
            </w:pPr>
            <w:r>
              <w:rPr>
                <w:rFonts w:ascii="Arial" w:cs="Arial" w:eastAsia="Arial" w:hAnsi="Arial"/>
                <w:sz w:val="18"/>
                <w:szCs w:val="18"/>
                <w:color w:val="auto"/>
              </w:rPr>
              <w:t>4.489% term loan due May 2028</w:t>
            </w:r>
          </w:p>
        </w:tc>
        <w:tc>
          <w:tcPr>
            <w:tcW w:w="1900" w:type="dxa"/>
            <w:vAlign w:val="bottom"/>
          </w:tcPr>
          <w:p>
            <w:pPr>
              <w:jc w:val="right"/>
              <w:spacing w:after="0"/>
              <w:rPr>
                <w:sz w:val="20"/>
                <w:szCs w:val="20"/>
                <w:color w:val="auto"/>
              </w:rPr>
            </w:pPr>
            <w:r>
              <w:rPr>
                <w:rFonts w:ascii="Arial" w:cs="Arial" w:eastAsia="Arial" w:hAnsi="Arial"/>
                <w:sz w:val="18"/>
                <w:szCs w:val="18"/>
                <w:color w:val="auto"/>
              </w:rPr>
              <w:t>4.55 %</w:t>
            </w: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899"/>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900" w:type="dxa"/>
            <w:vAlign w:val="bottom"/>
          </w:tcPr>
          <w:p>
            <w:pPr>
              <w:jc w:val="right"/>
              <w:ind w:right="1551"/>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Effective Interest Rate</w:t>
            </w:r>
          </w:p>
        </w:tc>
        <w:tc>
          <w:tcPr>
            <w:tcW w:w="3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February 1,</w:t>
            </w:r>
          </w:p>
        </w:tc>
        <w:tc>
          <w:tcPr>
            <w:tcW w:w="400" w:type="dxa"/>
            <w:vAlign w:val="bottom"/>
          </w:tcPr>
          <w:p>
            <w:pPr>
              <w:spacing w:after="0"/>
              <w:rPr>
                <w:sz w:val="14"/>
                <w:szCs w:val="14"/>
                <w:color w:val="auto"/>
              </w:rPr>
            </w:pPr>
          </w:p>
        </w:tc>
        <w:tc>
          <w:tcPr>
            <w:tcW w:w="1360" w:type="dxa"/>
            <w:vAlign w:val="bottom"/>
          </w:tcPr>
          <w:p>
            <w:pPr>
              <w:jc w:val="right"/>
              <w:ind w:right="374"/>
              <w:spacing w:after="0"/>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5"/>
        </w:trPr>
        <w:tc>
          <w:tcPr>
            <w:tcW w:w="55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55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600" w:type="dxa"/>
            <w:vAlign w:val="bottom"/>
            <w:gridSpan w:val="3"/>
          </w:tcPr>
          <w:p>
            <w:pPr>
              <w:ind w:left="220"/>
              <w:spacing w:after="0"/>
              <w:rPr>
                <w:sz w:val="20"/>
                <w:szCs w:val="20"/>
                <w:color w:val="auto"/>
              </w:rPr>
            </w:pPr>
            <w:r>
              <w:rPr>
                <w:rFonts w:ascii="Arial" w:cs="Arial" w:eastAsia="Arial" w:hAnsi="Arial"/>
                <w:sz w:val="18"/>
                <w:szCs w:val="18"/>
                <w:color w:val="auto"/>
              </w:rPr>
              <w:t>Total term loans outstanding</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600" w:type="dxa"/>
            <w:vAlign w:val="bottom"/>
            <w:gridSpan w:val="3"/>
          </w:tcPr>
          <w:p>
            <w:pPr>
              <w:ind w:left="220"/>
              <w:spacing w:after="0"/>
              <w:rPr>
                <w:sz w:val="20"/>
                <w:szCs w:val="20"/>
                <w:color w:val="auto"/>
              </w:rPr>
            </w:pPr>
            <w:r>
              <w:rPr>
                <w:rFonts w:ascii="Arial" w:cs="Arial" w:eastAsia="Arial" w:hAnsi="Arial"/>
                <w:sz w:val="18"/>
                <w:szCs w:val="18"/>
                <w:color w:val="auto"/>
              </w:rPr>
              <w:t>Total debt principal outstanding</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67,970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67,120</w:t>
            </w:r>
          </w:p>
        </w:tc>
        <w:tc>
          <w:tcPr>
            <w:tcW w:w="0" w:type="dxa"/>
            <w:vAlign w:val="bottom"/>
          </w:tcPr>
          <w:p>
            <w:pPr>
              <w:spacing w:after="0"/>
              <w:rPr>
                <w:sz w:val="1"/>
                <w:szCs w:val="1"/>
                <w:color w:val="auto"/>
              </w:rPr>
            </w:pPr>
          </w:p>
        </w:tc>
      </w:tr>
      <w:tr>
        <w:trPr>
          <w:trHeight w:val="230"/>
        </w:trPr>
        <w:tc>
          <w:tcPr>
            <w:tcW w:w="7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Less: Unamortized discount and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23"/>
        </w:trPr>
        <w:tc>
          <w:tcPr>
            <w:tcW w:w="7600" w:type="dxa"/>
            <w:vAlign w:val="bottom"/>
            <w:gridSpan w:val="3"/>
          </w:tcPr>
          <w:p>
            <w:pPr>
              <w:ind w:left="360"/>
              <w:spacing w:after="0"/>
              <w:rPr>
                <w:sz w:val="20"/>
                <w:szCs w:val="20"/>
                <w:color w:val="auto"/>
              </w:rPr>
            </w:pPr>
            <w:r>
              <w:rPr>
                <w:rFonts w:ascii="Arial" w:cs="Arial" w:eastAsia="Arial" w:hAnsi="Arial"/>
                <w:sz w:val="18"/>
                <w:szCs w:val="18"/>
                <w:color w:val="auto"/>
              </w:rPr>
              <w:t>Total debt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66,057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65,136</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0" w:type="dxa"/>
            <w:vAlign w:val="bottom"/>
            <w:gridSpan w:val="3"/>
          </w:tcPr>
          <w:p>
            <w:pPr>
              <w:ind w:left="20"/>
              <w:spacing w:after="0"/>
              <w:rPr>
                <w:sz w:val="20"/>
                <w:szCs w:val="20"/>
                <w:color w:val="auto"/>
              </w:rPr>
            </w:pPr>
            <w:r>
              <w:rPr>
                <w:rFonts w:ascii="Arial" w:cs="Arial" w:eastAsia="Arial" w:hAnsi="Arial"/>
                <w:sz w:val="18"/>
                <w:szCs w:val="18"/>
                <w:color w:val="auto"/>
              </w:rPr>
              <w:t>Short-term debt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2,252</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29"/>
        </w:trPr>
        <w:tc>
          <w:tcPr>
            <w:tcW w:w="7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63,805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61,984</w:t>
            </w:r>
          </w:p>
        </w:tc>
        <w:tc>
          <w:tcPr>
            <w:tcW w:w="0" w:type="dxa"/>
            <w:vAlign w:val="bottom"/>
          </w:tcPr>
          <w:p>
            <w:pPr>
              <w:spacing w:after="0"/>
              <w:rPr>
                <w:sz w:val="1"/>
                <w:szCs w:val="1"/>
                <w:color w:val="auto"/>
              </w:rPr>
            </w:pPr>
          </w:p>
        </w:tc>
      </w:tr>
      <w:tr>
        <w:trPr>
          <w:trHeight w:val="223"/>
        </w:trPr>
        <w:tc>
          <w:tcPr>
            <w:tcW w:w="7600" w:type="dxa"/>
            <w:vAlign w:val="bottom"/>
            <w:gridSpan w:val="3"/>
          </w:tcPr>
          <w:p>
            <w:pPr>
              <w:ind w:left="140"/>
              <w:spacing w:after="0"/>
              <w:rPr>
                <w:sz w:val="20"/>
                <w:szCs w:val="20"/>
                <w:color w:val="auto"/>
              </w:rPr>
            </w:pPr>
            <w:r>
              <w:rPr>
                <w:rFonts w:ascii="Arial" w:cs="Arial" w:eastAsia="Arial" w:hAnsi="Arial"/>
                <w:sz w:val="18"/>
                <w:szCs w:val="18"/>
                <w:color w:val="auto"/>
              </w:rPr>
              <w:t>Total debt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66,057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65,136</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117" w:lineRule="exact"/>
        <w:rPr>
          <w:sz w:val="20"/>
          <w:szCs w:val="20"/>
          <w:color w:val="auto"/>
        </w:rPr>
      </w:pPr>
    </w:p>
    <w:p>
      <w:pPr>
        <w:ind w:right="100" w:firstLine="8"/>
        <w:spacing w:after="0" w:line="287" w:lineRule="auto"/>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contractual interest, discount and issuance costs, the effective interest rate includes the impact of previously deferred gains on derivatives.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may redeem or purchase, in whole or in part, any of our senior notes prior to their respective maturities, subject to a specified make-whole premium determined in accordance with the indentures governing the respective notes, plus accrued and unpaid interest. With the exception of the senior notes issued in September 2025 and January 2026, in the event of a change in control, note holders will have the right to require us to repurchase their notes at a price equal to 101% of the principal amount of such notes, plus accrued and unpaid interest. Interest is paid semi-annually.</w:t>
      </w:r>
    </w:p>
    <w:p>
      <w:pPr>
        <w:spacing w:after="0" w:line="71" w:lineRule="exact"/>
        <w:rPr>
          <w:sz w:val="20"/>
          <w:szCs w:val="20"/>
          <w:color w:val="auto"/>
        </w:rPr>
      </w:pPr>
    </w:p>
    <w:p>
      <w:pPr>
        <w:ind w:right="60" w:firstLine="405"/>
        <w:spacing w:after="0" w:line="287" w:lineRule="auto"/>
        <w:rPr>
          <w:sz w:val="20"/>
          <w:szCs w:val="20"/>
          <w:color w:val="auto"/>
        </w:rPr>
      </w:pPr>
      <w:r>
        <w:rPr>
          <w:rFonts w:ascii="Arial" w:cs="Arial" w:eastAsia="Arial" w:hAnsi="Arial"/>
          <w:sz w:val="18"/>
          <w:szCs w:val="18"/>
          <w:color w:val="auto"/>
        </w:rPr>
        <w:t>In January 2026, we issued senior unsecured notes for an aggregate principal amount of $4,500 million. During the fiscal quarter ended February 1, 2026, we repaid and redeemed a total of $3,650 million of our senior notes.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Fixed-Rate Term Loans</w:t>
      </w:r>
    </w:p>
    <w:p>
      <w:pPr>
        <w:spacing w:after="0" w:line="115" w:lineRule="exact"/>
        <w:rPr>
          <w:sz w:val="20"/>
          <w:szCs w:val="20"/>
          <w:color w:val="auto"/>
        </w:rPr>
      </w:pPr>
    </w:p>
    <w:p>
      <w:pPr>
        <w:ind w:right="320" w:firstLine="405"/>
        <w:spacing w:after="0" w:line="318" w:lineRule="auto"/>
        <w:rPr>
          <w:sz w:val="20"/>
          <w:szCs w:val="20"/>
          <w:color w:val="auto"/>
        </w:rPr>
      </w:pPr>
      <w:r>
        <w:rPr>
          <w:rFonts w:ascii="Arial" w:cs="Arial" w:eastAsia="Arial" w:hAnsi="Arial"/>
          <w:sz w:val="17"/>
          <w:szCs w:val="17"/>
          <w:color w:val="auto"/>
        </w:rPr>
        <w:t>Interest on the term loans is due quarterly. We are permitted to prepay the term loans at any time, subject to a specified make-whole premium determined in accordance with the credit agreements governing the respective term loans, plus accrued and unpaid interest.</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Credit Agreement</w:t>
      </w:r>
    </w:p>
    <w:p>
      <w:pPr>
        <w:spacing w:after="0" w:line="11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January 2025, we entered into a credit agreement (the “2025 Credit Agreement”), which provides for a five-year $7.5 billion unsecured revolving credit facility, of which $500 million is available for the issuance of multi-currency letters of credit. The issuance of letters of credit under the revolving credit facility would reduce the aggregate amount otherwise available under such facility for revolving loans. Subject to the terms of the 2025 Credit Agreement, we are permitted to borrow, repay and reborrow revolving loans at any time prior to the earlier of (a) January 13, 2030 or (b) the date that the commitments are terminated either at our request or, if an event of default occurs, by the lenders. We had no borrowings outstanding under our revolving credit facility at either February 1, 2026 or November 2, 2025.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1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Under our commercial paper program, we may issue unsecured commercial paper notes in an aggregate principal amount of up to $4.0 billion outstanding at any time with maturities of up to 397 days from the date of issue. Commercial paper is sold under customary terms in the commercial paper market and may be issued at a discount from par or, alternatively, may be sold at par and bear interest at rates dictated by market conditions at the time of issuance. The discount associated with the commercial paper is amortized to interest expense over its term. We had no commercial paper outstanding at either February 1, 2026 or November 2, 2025.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115" w:lineRule="exact"/>
        <w:rPr>
          <w:sz w:val="20"/>
          <w:szCs w:val="20"/>
          <w:color w:val="auto"/>
        </w:rPr>
      </w:pPr>
    </w:p>
    <w:p>
      <w:pPr>
        <w:ind w:right="140" w:firstLine="405"/>
        <w:spacing w:after="0" w:line="287" w:lineRule="auto"/>
        <w:rPr>
          <w:sz w:val="20"/>
          <w:szCs w:val="20"/>
          <w:color w:val="auto"/>
        </w:rPr>
      </w:pPr>
      <w:r>
        <w:rPr>
          <w:rFonts w:ascii="Arial" w:cs="Arial" w:eastAsia="Arial" w:hAnsi="Arial"/>
          <w:sz w:val="18"/>
          <w:szCs w:val="18"/>
          <w:color w:val="auto"/>
        </w:rPr>
        <w:t>As of February 1, 2026, the estimated aggregate fair value of our debt was $65,738 million, which was determined using quoted prices from less active markets or other observable inputs. All of our debt obligations are categorized as Level 2 instruments.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Principal Payments of Debt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future scheduled principal payments of our debt as of February 1, 2026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Fiscal Year:</w:t>
            </w:r>
          </w:p>
        </w:tc>
        <w:tc>
          <w:tcPr>
            <w:tcW w:w="140" w:type="dxa"/>
            <w:vAlign w:val="bottom"/>
          </w:tcPr>
          <w:p>
            <w:pPr>
              <w:spacing w:after="0"/>
              <w:rPr>
                <w:sz w:val="14"/>
                <w:szCs w:val="14"/>
                <w:color w:val="auto"/>
              </w:rPr>
            </w:pPr>
          </w:p>
        </w:tc>
        <w:tc>
          <w:tcPr>
            <w:tcW w:w="1460" w:type="dxa"/>
            <w:vAlign w:val="bottom"/>
          </w:tcPr>
          <w:p>
            <w:pPr>
              <w:jc w:val="center"/>
              <w:ind w:right="35"/>
              <w:spacing w:after="0"/>
              <w:rPr>
                <w:sz w:val="20"/>
                <w:szCs w:val="20"/>
                <w:color w:val="auto"/>
              </w:rPr>
            </w:pPr>
            <w:r>
              <w:rPr>
                <w:rFonts w:ascii="Arial" w:cs="Arial" w:eastAsia="Arial" w:hAnsi="Arial"/>
                <w:sz w:val="14"/>
                <w:szCs w:val="14"/>
                <w:b w:val="1"/>
                <w:bCs w:val="1"/>
                <w:color w:val="auto"/>
              </w:rPr>
              <w:t>Future Scheduled</w:t>
            </w:r>
          </w:p>
        </w:tc>
        <w:tc>
          <w:tcPr>
            <w:tcW w:w="0" w:type="dxa"/>
            <w:vAlign w:val="bottom"/>
          </w:tcPr>
          <w:p>
            <w:pPr>
              <w:spacing w:after="0"/>
              <w:rPr>
                <w:sz w:val="1"/>
                <w:szCs w:val="1"/>
                <w:color w:val="auto"/>
              </w:rPr>
            </w:pPr>
          </w:p>
        </w:tc>
      </w:tr>
      <w:tr>
        <w:trPr>
          <w:trHeight w:val="185"/>
        </w:trPr>
        <w:tc>
          <w:tcPr>
            <w:tcW w:w="96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Principal Payments</w:t>
            </w:r>
          </w:p>
        </w:tc>
        <w:tc>
          <w:tcPr>
            <w:tcW w:w="0" w:type="dxa"/>
            <w:vAlign w:val="bottom"/>
          </w:tcPr>
          <w:p>
            <w:pPr>
              <w:spacing w:after="0"/>
              <w:rPr>
                <w:sz w:val="1"/>
                <w:szCs w:val="1"/>
                <w:color w:val="auto"/>
              </w:rPr>
            </w:pPr>
          </w:p>
        </w:tc>
      </w:tr>
      <w:tr>
        <w:trPr>
          <w:trHeight w:val="195"/>
        </w:trPr>
        <w:tc>
          <w:tcPr>
            <w:tcW w:w="9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ind w:right="5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1"/>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(remainder)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2027</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0" w:type="dxa"/>
            <w:vAlign w:val="bottom"/>
          </w:tcPr>
          <w:p>
            <w:pPr>
              <w:spacing w:after="0"/>
              <w:rPr>
                <w:sz w:val="1"/>
                <w:szCs w:val="1"/>
                <w:color w:val="auto"/>
              </w:rPr>
            </w:pP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2029</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4,655</w:t>
            </w:r>
          </w:p>
        </w:tc>
        <w:tc>
          <w:tcPr>
            <w:tcW w:w="0" w:type="dxa"/>
            <w:vAlign w:val="bottom"/>
          </w:tcPr>
          <w:p>
            <w:pPr>
              <w:spacing w:after="0"/>
              <w:rPr>
                <w:sz w:val="1"/>
                <w:szCs w:val="1"/>
                <w:color w:val="auto"/>
              </w:rPr>
            </w:pP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0" w:type="dxa"/>
            <w:vAlign w:val="bottom"/>
          </w:tcPr>
          <w:p>
            <w:pPr>
              <w:spacing w:after="0"/>
              <w:rPr>
                <w:sz w:val="1"/>
                <w:szCs w:val="1"/>
                <w:color w:val="auto"/>
              </w:rPr>
            </w:pPr>
          </w:p>
        </w:tc>
      </w:tr>
      <w:tr>
        <w:trPr>
          <w:trHeight w:val="22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47,787</w:t>
            </w:r>
          </w:p>
        </w:tc>
        <w:tc>
          <w:tcPr>
            <w:tcW w:w="0" w:type="dxa"/>
            <w:vAlign w:val="bottom"/>
          </w:tcPr>
          <w:p>
            <w:pPr>
              <w:spacing w:after="0"/>
              <w:rPr>
                <w:sz w:val="1"/>
                <w:szCs w:val="1"/>
                <w:color w:val="auto"/>
              </w:rPr>
            </w:pPr>
          </w:p>
        </w:tc>
      </w:tr>
      <w:tr>
        <w:trPr>
          <w:trHeight w:val="248"/>
        </w:trPr>
        <w:tc>
          <w:tcPr>
            <w:tcW w:w="9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67,970</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February 1, 2026 and November 2, 2025, we were in compliance with all debt covenants.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 Declared and Paid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4"/>
                <w:szCs w:val="14"/>
                <w:b w:val="1"/>
                <w:bCs w:val="1"/>
                <w:color w:val="auto"/>
              </w:rPr>
              <w:t>Fiscal Quarter Ended</w:t>
            </w:r>
          </w:p>
        </w:tc>
      </w:tr>
      <w:tr>
        <w:trPr>
          <w:trHeight w:val="143"/>
        </w:trPr>
        <w:tc>
          <w:tcPr>
            <w:tcW w:w="7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2"/>
          </w:tcPr>
          <w:p>
            <w:pPr>
              <w:ind w:left="180"/>
              <w:spacing w:after="0" w:line="143" w:lineRule="exact"/>
              <w:rPr>
                <w:sz w:val="20"/>
                <w:szCs w:val="20"/>
                <w:color w:val="auto"/>
              </w:rPr>
            </w:pPr>
            <w:r>
              <w:rPr>
                <w:rFonts w:ascii="Arial" w:cs="Arial" w:eastAsia="Arial" w:hAnsi="Arial"/>
                <w:sz w:val="14"/>
                <w:szCs w:val="14"/>
                <w:b w:val="1"/>
                <w:bCs w:val="1"/>
                <w:color w:val="auto"/>
              </w:rPr>
              <w:t>February 1,</w:t>
            </w:r>
          </w:p>
        </w:tc>
        <w:tc>
          <w:tcPr>
            <w:tcW w:w="300" w:type="dxa"/>
            <w:vAlign w:val="bottom"/>
          </w:tcPr>
          <w:p>
            <w:pPr>
              <w:spacing w:after="0"/>
              <w:rPr>
                <w:sz w:val="12"/>
                <w:szCs w:val="12"/>
                <w:color w:val="auto"/>
              </w:rPr>
            </w:pPr>
          </w:p>
        </w:tc>
        <w:tc>
          <w:tcPr>
            <w:tcW w:w="1460" w:type="dxa"/>
            <w:vAlign w:val="bottom"/>
          </w:tcPr>
          <w:p>
            <w:pPr>
              <w:jc w:val="right"/>
              <w:ind w:right="419"/>
              <w:spacing w:after="0" w:line="143" w:lineRule="exact"/>
              <w:rPr>
                <w:sz w:val="20"/>
                <w:szCs w:val="20"/>
                <w:color w:val="auto"/>
              </w:rPr>
            </w:pPr>
            <w:r>
              <w:rPr>
                <w:rFonts w:ascii="Arial" w:cs="Arial" w:eastAsia="Arial" w:hAnsi="Arial"/>
                <w:sz w:val="14"/>
                <w:szCs w:val="14"/>
                <w:b w:val="1"/>
                <w:bCs w:val="1"/>
                <w:color w:val="auto"/>
              </w:rPr>
              <w:t>February 2,</w:t>
            </w:r>
          </w:p>
        </w:tc>
      </w:tr>
      <w:tr>
        <w:trPr>
          <w:trHeight w:val="189"/>
        </w:trPr>
        <w:tc>
          <w:tcPr>
            <w:tcW w:w="7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2025</w:t>
            </w:r>
          </w:p>
        </w:tc>
      </w:tr>
      <w:tr>
        <w:trPr>
          <w:trHeight w:val="235"/>
        </w:trPr>
        <w:tc>
          <w:tcPr>
            <w:tcW w:w="7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40" w:type="dxa"/>
            <w:vAlign w:val="bottom"/>
            <w:gridSpan w:val="4"/>
          </w:tcPr>
          <w:p>
            <w:pPr>
              <w:jc w:val="right"/>
              <w:ind w:right="559"/>
              <w:spacing w:after="0"/>
              <w:rPr>
                <w:sz w:val="20"/>
                <w:szCs w:val="20"/>
                <w:color w:val="auto"/>
              </w:rPr>
            </w:pPr>
            <w:r>
              <w:rPr>
                <w:rFonts w:ascii="Arial" w:cs="Arial" w:eastAsia="Arial" w:hAnsi="Arial"/>
                <w:sz w:val="14"/>
                <w:szCs w:val="14"/>
                <w:b w:val="1"/>
                <w:bCs w:val="1"/>
                <w:color w:val="auto"/>
              </w:rPr>
              <w:t>(In millions, except per share data)</w:t>
            </w:r>
          </w:p>
        </w:tc>
      </w:tr>
      <w:tr>
        <w:trPr>
          <w:trHeight w:val="231"/>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per share to common stockholders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0.65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r>
      <w:tr>
        <w:trPr>
          <w:trHeight w:val="239"/>
        </w:trPr>
        <w:tc>
          <w:tcPr>
            <w:tcW w:w="7580" w:type="dxa"/>
            <w:vAlign w:val="bottom"/>
          </w:tcPr>
          <w:p>
            <w:pPr>
              <w:ind w:left="20"/>
              <w:spacing w:after="0"/>
              <w:rPr>
                <w:sz w:val="20"/>
                <w:szCs w:val="20"/>
                <w:color w:val="auto"/>
              </w:rPr>
            </w:pPr>
            <w:r>
              <w:rPr>
                <w:rFonts w:ascii="Arial" w:cs="Arial" w:eastAsia="Arial" w:hAnsi="Arial"/>
                <w:sz w:val="18"/>
                <w:szCs w:val="18"/>
                <w:color w:val="auto"/>
              </w:rPr>
              <w:t>Dividends to common stockholders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2"/>
              <w:spacing w:after="0"/>
              <w:rPr>
                <w:sz w:val="20"/>
                <w:szCs w:val="20"/>
                <w:color w:val="auto"/>
              </w:rPr>
            </w:pPr>
            <w:r>
              <w:rPr>
                <w:rFonts w:ascii="Arial" w:cs="Arial" w:eastAsia="Arial" w:hAnsi="Arial"/>
                <w:sz w:val="18"/>
                <w:szCs w:val="18"/>
                <w:color w:val="auto"/>
              </w:rPr>
              <w:t>3,086</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2,774</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Programs</w:t>
      </w:r>
    </w:p>
    <w:p>
      <w:pPr>
        <w:spacing w:after="0" w:line="115"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auto"/>
        </w:rPr>
        <w:t>In April 2025, our Board of Directors authorized a stock repurchase program to repurchase up to $10 billion of our common stock through December 31, 2025, which was subsequently extended through December 31, 2026 and increased to $11 billion. During the fiscal quarter ended February 1, 2026, we repurchased and retired 23 million shares for $7,850 million. As of February 1, 2026, $700 million of the authorized amount remained available for repurchase under this program.</w:t>
      </w:r>
    </w:p>
    <w:p>
      <w:pPr>
        <w:spacing w:after="0" w:line="68" w:lineRule="exact"/>
        <w:rPr>
          <w:sz w:val="20"/>
          <w:szCs w:val="20"/>
          <w:color w:val="auto"/>
        </w:rPr>
      </w:pPr>
    </w:p>
    <w:p>
      <w:pPr>
        <w:ind w:right="80" w:firstLine="405"/>
        <w:spacing w:after="0" w:line="287" w:lineRule="auto"/>
        <w:rPr>
          <w:sz w:val="20"/>
          <w:szCs w:val="20"/>
          <w:color w:val="auto"/>
        </w:rPr>
      </w:pPr>
      <w:r>
        <w:rPr>
          <w:rFonts w:ascii="Arial" w:cs="Arial" w:eastAsia="Arial" w:hAnsi="Arial"/>
          <w:sz w:val="18"/>
          <w:szCs w:val="18"/>
          <w:color w:val="auto"/>
        </w:rPr>
        <w:t>Subsequent to the fiscal quarter ended February 1, 2026, our Board of Directors in March 2026 authorized a stock repurchase program to repurchase up to $10 billion of our common stock from time to time through December 31, 2026.</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1015"/>
              <w:spacing w:after="0"/>
              <w:rPr>
                <w:sz w:val="20"/>
                <w:szCs w:val="20"/>
                <w:color w:val="auto"/>
              </w:rPr>
            </w:pPr>
            <w:r>
              <w:rPr>
                <w:rFonts w:ascii="Arial" w:cs="Arial" w:eastAsia="Arial" w:hAnsi="Arial"/>
                <w:sz w:val="14"/>
                <w:szCs w:val="14"/>
                <w:b w:val="1"/>
                <w:bCs w:val="1"/>
                <w:color w:val="auto"/>
              </w:rPr>
              <w:t>Fiscal Quarter Ended</w:t>
            </w:r>
          </w:p>
        </w:tc>
      </w:tr>
      <w:tr>
        <w:trPr>
          <w:trHeight w:val="147"/>
        </w:trPr>
        <w:tc>
          <w:tcPr>
            <w:tcW w:w="7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February 1,</w:t>
            </w:r>
          </w:p>
        </w:tc>
        <w:tc>
          <w:tcPr>
            <w:tcW w:w="440" w:type="dxa"/>
            <w:vAlign w:val="bottom"/>
          </w:tcPr>
          <w:p>
            <w:pPr>
              <w:spacing w:after="0"/>
              <w:rPr>
                <w:sz w:val="12"/>
                <w:szCs w:val="12"/>
                <w:color w:val="auto"/>
              </w:rPr>
            </w:pPr>
          </w:p>
        </w:tc>
        <w:tc>
          <w:tcPr>
            <w:tcW w:w="1340" w:type="dxa"/>
            <w:vAlign w:val="bottom"/>
          </w:tcPr>
          <w:p>
            <w:pPr>
              <w:jc w:val="right"/>
              <w:ind w:right="415"/>
              <w:spacing w:after="0" w:line="147" w:lineRule="exact"/>
              <w:rPr>
                <w:sz w:val="20"/>
                <w:szCs w:val="20"/>
                <w:color w:val="auto"/>
              </w:rPr>
            </w:pPr>
            <w:r>
              <w:rPr>
                <w:rFonts w:ascii="Arial" w:cs="Arial" w:eastAsia="Arial" w:hAnsi="Arial"/>
                <w:sz w:val="14"/>
                <w:szCs w:val="14"/>
                <w:b w:val="1"/>
                <w:bCs w:val="1"/>
                <w:color w:val="auto"/>
              </w:rPr>
              <w:t>February 2,</w:t>
            </w:r>
          </w:p>
        </w:tc>
      </w:tr>
      <w:tr>
        <w:trPr>
          <w:trHeight w:val="185"/>
        </w:trPr>
        <w:tc>
          <w:tcPr>
            <w:tcW w:w="7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2025</w:t>
            </w:r>
          </w:p>
        </w:tc>
      </w:tr>
      <w:tr>
        <w:trPr>
          <w:trHeight w:val="236"/>
        </w:trPr>
        <w:tc>
          <w:tcPr>
            <w:tcW w:w="7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20"/>
                <w:szCs w:val="20"/>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Cost of subscriptions and services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r>
      <w:tr>
        <w:trPr>
          <w:trHeight w:val="248"/>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During the second quarter of fiscal year 2025, we granted two -year time- and market-based RSU awards (the “Two-Year Equity Awards”), in lieu of our annual employee equity awards historically granted in the second quarter of each fiscal year. Each of the Two-Year Equity Awards vests on the same basis as two annual grants with staggered vesting start dates of March 15, 2025 and March 15, 2026 and successive four-year vesting periods. We recognize stock-based compensation expense related to these awards from the grant date through their respective vesting date, ranging from four to five years.</w:t>
      </w:r>
    </w:p>
    <w:p>
      <w:pPr>
        <w:spacing w:after="0" w:line="71" w:lineRule="exact"/>
        <w:rPr>
          <w:sz w:val="20"/>
          <w:szCs w:val="20"/>
          <w:color w:val="auto"/>
        </w:rPr>
      </w:pPr>
    </w:p>
    <w:p>
      <w:pPr>
        <w:ind w:right="160" w:firstLine="405"/>
        <w:spacing w:after="0" w:line="287" w:lineRule="auto"/>
        <w:rPr>
          <w:sz w:val="20"/>
          <w:szCs w:val="20"/>
          <w:color w:val="auto"/>
        </w:rPr>
      </w:pPr>
      <w:r>
        <w:rPr>
          <w:rFonts w:ascii="Arial" w:cs="Arial" w:eastAsia="Arial" w:hAnsi="Arial"/>
          <w:sz w:val="18"/>
          <w:szCs w:val="18"/>
          <w:color w:val="auto"/>
        </w:rPr>
        <w:t>As of February 1, 2026, the total unrecognized compensation cost related to unvested stock-based awards was $21,971 million, which is expected to be recognized over the remaining weighted-average service period of 3.2 years.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RSU activity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74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Number of RSUs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jc w:val="right"/>
              <w:ind w:right="175"/>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4"/>
        </w:trPr>
        <w:tc>
          <w:tcPr>
            <w:tcW w:w="76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Grant Date Fair Value Per</w:t>
            </w:r>
          </w:p>
        </w:tc>
        <w:tc>
          <w:tcPr>
            <w:tcW w:w="0" w:type="dxa"/>
            <w:vAlign w:val="bottom"/>
          </w:tcPr>
          <w:p>
            <w:pPr>
              <w:spacing w:after="0"/>
              <w:rPr>
                <w:sz w:val="1"/>
                <w:szCs w:val="1"/>
                <w:color w:val="auto"/>
              </w:rPr>
            </w:pPr>
          </w:p>
        </w:tc>
      </w:tr>
      <w:tr>
        <w:trPr>
          <w:trHeight w:val="189"/>
        </w:trPr>
        <w:tc>
          <w:tcPr>
            <w:tcW w:w="7600" w:type="dxa"/>
            <w:vAlign w:val="bottom"/>
          </w:tcPr>
          <w:p>
            <w:pPr>
              <w:spacing w:after="0"/>
              <w:rPr>
                <w:sz w:val="16"/>
                <w:szCs w:val="16"/>
                <w:color w:val="auto"/>
              </w:rPr>
            </w:pPr>
          </w:p>
        </w:tc>
        <w:tc>
          <w:tcPr>
            <w:tcW w:w="17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35"/>
        </w:trPr>
        <w:tc>
          <w:tcPr>
            <w:tcW w:w="7600" w:type="dxa"/>
            <w:vAlign w:val="bottom"/>
          </w:tcPr>
          <w:p>
            <w:pPr>
              <w:spacing w:after="0"/>
              <w:rPr>
                <w:sz w:val="20"/>
                <w:szCs w:val="20"/>
                <w:color w:val="auto"/>
              </w:rPr>
            </w:pPr>
          </w:p>
        </w:tc>
        <w:tc>
          <w:tcPr>
            <w:tcW w:w="364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(In millions, except per share data)</w:t>
            </w:r>
          </w:p>
        </w:tc>
        <w:tc>
          <w:tcPr>
            <w:tcW w:w="0" w:type="dxa"/>
            <w:vAlign w:val="bottom"/>
          </w:tcPr>
          <w:p>
            <w:pPr>
              <w:spacing w:after="0"/>
              <w:rPr>
                <w:sz w:val="1"/>
                <w:szCs w:val="1"/>
                <w:color w:val="auto"/>
              </w:rPr>
            </w:pPr>
          </w:p>
        </w:tc>
      </w:tr>
      <w:tr>
        <w:trPr>
          <w:trHeight w:val="23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November 2, 2025</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127.63</w:t>
            </w:r>
          </w:p>
        </w:tc>
        <w:tc>
          <w:tcPr>
            <w:tcW w:w="0" w:type="dxa"/>
            <w:vAlign w:val="bottom"/>
          </w:tcPr>
          <w:p>
            <w:pPr>
              <w:spacing w:after="0"/>
              <w:rPr>
                <w:sz w:val="1"/>
                <w:szCs w:val="1"/>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330.46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134.41</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February 1, 2026</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20" w:firstLine="405"/>
        <w:spacing w:after="0" w:line="287" w:lineRule="auto"/>
        <w:rPr>
          <w:sz w:val="20"/>
          <w:szCs w:val="20"/>
          <w:color w:val="auto"/>
        </w:rPr>
      </w:pPr>
      <w:r>
        <w:rPr>
          <w:rFonts w:ascii="Arial" w:cs="Arial" w:eastAsia="Arial" w:hAnsi="Arial"/>
          <w:sz w:val="18"/>
          <w:szCs w:val="18"/>
          <w:color w:val="auto"/>
        </w:rPr>
        <w:t>The aggregate fair value of RSUs that vested during the fiscal quarter ended February 1, 2026 was $6,255 million, which represented the market value of our common stock on the date that the RSUs vested.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17" w:lineRule="exact"/>
        <w:rPr>
          <w:sz w:val="20"/>
          <w:szCs w:val="20"/>
          <w:color w:val="auto"/>
        </w:rPr>
      </w:pPr>
    </w:p>
    <w:p>
      <w:pPr>
        <w:ind w:right="200" w:firstLine="405"/>
        <w:spacing w:after="0" w:line="287" w:lineRule="auto"/>
        <w:rPr>
          <w:sz w:val="20"/>
          <w:szCs w:val="20"/>
          <w:color w:val="auto"/>
        </w:rPr>
      </w:pPr>
      <w:r>
        <w:rPr>
          <w:rFonts w:ascii="Arial" w:cs="Arial" w:eastAsia="Arial" w:hAnsi="Arial"/>
          <w:sz w:val="18"/>
          <w:szCs w:val="18"/>
          <w:color w:val="auto"/>
        </w:rPr>
        <w:t>The provision for income taxes was $846 million for the fiscal quarter ended February 1, 2026 and was primarily due to income before income taxes, partially offset by excess tax benefits from stock-based awards.</w:t>
      </w:r>
    </w:p>
    <w:p>
      <w:pPr>
        <w:spacing w:after="0" w:line="45" w:lineRule="exact"/>
        <w:rPr>
          <w:sz w:val="20"/>
          <w:szCs w:val="20"/>
          <w:color w:val="auto"/>
        </w:rPr>
      </w:pPr>
    </w:p>
    <w:p>
      <w:pPr>
        <w:ind w:right="140" w:firstLine="405"/>
        <w:spacing w:after="0" w:line="268" w:lineRule="auto"/>
        <w:rPr>
          <w:sz w:val="20"/>
          <w:szCs w:val="20"/>
          <w:color w:val="auto"/>
        </w:rPr>
      </w:pPr>
      <w:r>
        <w:rPr>
          <w:rFonts w:ascii="Arial" w:cs="Arial" w:eastAsia="Arial" w:hAnsi="Arial"/>
          <w:sz w:val="18"/>
          <w:szCs w:val="18"/>
          <w:color w:val="auto"/>
        </w:rPr>
        <w:t>The benefit from income taxes was $13 million for the fiscal quarter ended February 2, 2025 and was primarily due to excess tax benefits from stock-based awards, partially offset by income before income taxes and a shift in the jurisdictional location mix of revenue and expenses.</w:t>
      </w:r>
    </w:p>
    <w:p>
      <w:pPr>
        <w:spacing w:after="0" w:line="63" w:lineRule="exact"/>
        <w:rPr>
          <w:sz w:val="20"/>
          <w:szCs w:val="20"/>
          <w:color w:val="auto"/>
        </w:rPr>
      </w:pPr>
    </w:p>
    <w:p>
      <w:pPr>
        <w:ind w:right="9240" w:firstLine="8"/>
        <w:spacing w:after="0" w:line="397" w:lineRule="auto"/>
        <w:tabs>
          <w:tab w:leader="none" w:pos="2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Segment Information </w:t>
      </w:r>
      <w:r>
        <w:rPr>
          <w:rFonts w:ascii="Arial" w:cs="Arial" w:eastAsia="Arial" w:hAnsi="Arial"/>
          <w:sz w:val="17"/>
          <w:szCs w:val="17"/>
          <w:b w:val="1"/>
          <w:bCs w:val="1"/>
          <w:i w:val="1"/>
          <w:iCs w:val="1"/>
          <w:color w:val="auto"/>
        </w:rPr>
        <w:t>Reportable Segments</w:t>
      </w:r>
    </w:p>
    <w:p>
      <w:pPr>
        <w:spacing w:after="0" w:line="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have two reportable segments: semiconductor solutions and infrastructure software. Each segment has separate financial information. The CODM considers actual and expected results of regularly provided net revenue, cost of revenue, operating expenses and operating income by segment during the budgeting and forecasting processes to support strategic decision-making and to evaluate the performance of and allocate resources to each of the segments. Operating income by segment includes items that are directly attributable to each segment and shared expenses such as marketing, general and administrative activities, facilities and IT expenses. Shared expenses are primarily allocated based on revenue and headcount.</w:t>
      </w:r>
    </w:p>
    <w:p>
      <w:pPr>
        <w:spacing w:after="0" w:line="74"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i w:val="1"/>
          <w:iCs w:val="1"/>
          <w:color w:val="auto"/>
        </w:rPr>
        <w:t>Semiconductor solutions</w:t>
      </w:r>
      <w:r>
        <w:rPr>
          <w:rFonts w:ascii="Arial" w:cs="Arial" w:eastAsia="Arial" w:hAnsi="Arial"/>
          <w:sz w:val="18"/>
          <w:szCs w:val="18"/>
          <w:color w:val="auto"/>
        </w:rPr>
        <w:t>. Our semiconductor solutions are used in a wide array of environments, end products and applications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and AI data centers, servers and networking and connectivity equipment, as well as storage systems, home connectivity devices, set-top boxes, broadband access, telecommunication equipment, wireless devices and base stations, factory automation, power generation and alternative energy systems, and electronic displays. Our semiconductor solutions segment also includes our IP licensing.</w:t>
      </w:r>
    </w:p>
    <w:p>
      <w:pPr>
        <w:spacing w:after="0" w:line="68"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i w:val="1"/>
          <w:iCs w:val="1"/>
          <w:color w:val="auto"/>
        </w:rPr>
        <w:t xml:space="preserve">Infrastructure software. </w:t>
      </w:r>
      <w:r>
        <w:rPr>
          <w:rFonts w:ascii="Arial" w:cs="Arial" w:eastAsia="Arial" w:hAnsi="Arial"/>
          <w:sz w:val="18"/>
          <w:szCs w:val="18"/>
          <w:color w:val="auto"/>
        </w:rPr>
        <w:t>Our infrastructure software solutions include revenues from software arrangements, related support, and</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services that help enterprises simplify their IT environments. Our customers rely on our infrastructure and security software solutions to modernize, optimize, and secure the most complex private cloud, hybrid cloud and edge environments. This enables scalability, agility, automation, insights, resiliency and security, making it easy for customers to run their mission-critical workloads. We also offer mission-critical FC SAN products and related software.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Stock-based compensation expense, amortization of acquisition-related intangible assets, restructuring and other charges, and acquisition-related costs are not used in evaluating the results of, or in allocating resources to, our segments and therefore are not allocated to each segment. The CODM does not evaluate each segment using discrete asset information. Depreciation expense directly attributable to each reportable segment is included in the operating results of each segment. However, the CODM does not evaluate depreciation expense by segment and, therefore, it is not separately presented. There was no inter-segment revenue for any of the periods presented. The accounting policies of the segments are the same as those described in the “Summary of Significant Accounting Policies” included in the Annual Report on Form 10-K for fiscal year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Fiscal Quarter Ended</w:t>
            </w:r>
          </w:p>
        </w:tc>
        <w:tc>
          <w:tcPr>
            <w:tcW w:w="0" w:type="dxa"/>
            <w:vAlign w:val="bottom"/>
          </w:tcPr>
          <w:p>
            <w:pPr>
              <w:spacing w:after="0"/>
              <w:rPr>
                <w:sz w:val="1"/>
                <w:szCs w:val="1"/>
                <w:color w:val="auto"/>
              </w:rPr>
            </w:pPr>
          </w:p>
        </w:tc>
      </w:tr>
      <w:tr>
        <w:trPr>
          <w:trHeight w:val="147"/>
        </w:trPr>
        <w:tc>
          <w:tcPr>
            <w:tcW w:w="49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February 1,</w:t>
            </w:r>
          </w:p>
        </w:tc>
        <w:tc>
          <w:tcPr>
            <w:tcW w:w="220" w:type="dxa"/>
            <w:vAlign w:val="bottom"/>
          </w:tcPr>
          <w:p>
            <w:pPr>
              <w:spacing w:after="0"/>
              <w:rPr>
                <w:sz w:val="12"/>
                <w:szCs w:val="12"/>
                <w:color w:val="auto"/>
              </w:rPr>
            </w:pPr>
          </w:p>
        </w:tc>
        <w:tc>
          <w:tcPr>
            <w:tcW w:w="1220" w:type="dxa"/>
            <w:vAlign w:val="bottom"/>
          </w:tcPr>
          <w:p>
            <w:pPr>
              <w:jc w:val="right"/>
              <w:ind w:right="252"/>
              <w:spacing w:after="0" w:line="147" w:lineRule="exact"/>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85"/>
        </w:trPr>
        <w:tc>
          <w:tcPr>
            <w:tcW w:w="49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5"/>
        </w:trPr>
        <w:tc>
          <w:tcPr>
            <w:tcW w:w="49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jc w:val="right"/>
              <w:ind w:right="101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1"/>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Semiconductor solutions:</w:t>
            </w:r>
          </w:p>
        </w:tc>
        <w:tc>
          <w:tcPr>
            <w:tcW w:w="3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Net revenue</w:t>
            </w:r>
          </w:p>
        </w:tc>
        <w:tc>
          <w:tcPr>
            <w:tcW w:w="3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12,515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8,212</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3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3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494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33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CCEEFF"/>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Infrastructure software:</w:t>
            </w:r>
          </w:p>
        </w:tc>
        <w:tc>
          <w:tcPr>
            <w:tcW w:w="3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revenue</w:t>
            </w:r>
          </w:p>
        </w:tc>
        <w:tc>
          <w:tcPr>
            <w:tcW w:w="3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3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33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3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Net revenue</w:t>
            </w:r>
          </w:p>
        </w:tc>
        <w:tc>
          <w:tcPr>
            <w:tcW w:w="3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19,311</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14,916</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3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Unallocated expenses:</w:t>
            </w:r>
          </w:p>
        </w:tc>
        <w:tc>
          <w:tcPr>
            <w:tcW w:w="3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30"/>
        </w:trPr>
        <w:tc>
          <w:tcPr>
            <w:tcW w:w="4940" w:type="dxa"/>
            <w:vAlign w:val="bottom"/>
          </w:tcPr>
          <w:p>
            <w:pPr>
              <w:ind w:left="240"/>
              <w:spacing w:after="0"/>
              <w:rPr>
                <w:sz w:val="20"/>
                <w:szCs w:val="20"/>
                <w:color w:val="auto"/>
              </w:rPr>
            </w:pPr>
            <w:r>
              <w:rPr>
                <w:rFonts w:ascii="Arial" w:cs="Arial" w:eastAsia="Arial" w:hAnsi="Arial"/>
                <w:sz w:val="18"/>
                <w:szCs w:val="18"/>
                <w:color w:val="auto"/>
              </w:rPr>
              <w:t>Amortization of acquisition-related intangible assets</w:t>
            </w:r>
          </w:p>
        </w:tc>
        <w:tc>
          <w:tcPr>
            <w:tcW w:w="3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Restructuring and other charges</w:t>
            </w:r>
          </w:p>
        </w:tc>
        <w:tc>
          <w:tcPr>
            <w:tcW w:w="3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Acquisition-related costs</w:t>
            </w:r>
          </w:p>
        </w:tc>
        <w:tc>
          <w:tcPr>
            <w:tcW w:w="33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3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3"/>
        </w:trPr>
        <w:tc>
          <w:tcPr>
            <w:tcW w:w="49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94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80" w:firstLine="8"/>
        <w:spacing w:after="0" w:line="375" w:lineRule="auto"/>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Commitments</w:t>
      </w:r>
    </w:p>
    <w:p>
      <w:pPr>
        <w:spacing w:after="0" w:line="1"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contractual obligations and commitments as of February 1, 2026: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Fiscal Year:</w:t>
            </w:r>
          </w:p>
        </w:tc>
        <w:tc>
          <w:tcPr>
            <w:tcW w:w="1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Purchase Commitments</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right"/>
              <w:ind w:right="194"/>
              <w:spacing w:after="0"/>
              <w:rPr>
                <w:sz w:val="20"/>
                <w:szCs w:val="20"/>
                <w:color w:val="auto"/>
              </w:rPr>
            </w:pPr>
            <w:r>
              <w:rPr>
                <w:rFonts w:ascii="Arial" w:cs="Arial" w:eastAsia="Arial" w:hAnsi="Arial"/>
                <w:sz w:val="14"/>
                <w:szCs w:val="14"/>
                <w:b w:val="1"/>
                <w:bCs w:val="1"/>
                <w:color w:val="auto"/>
              </w:rPr>
              <w:t>Other Contractual</w:t>
            </w:r>
          </w:p>
        </w:tc>
        <w:tc>
          <w:tcPr>
            <w:tcW w:w="0" w:type="dxa"/>
            <w:vAlign w:val="bottom"/>
          </w:tcPr>
          <w:p>
            <w:pPr>
              <w:spacing w:after="0"/>
              <w:rPr>
                <w:sz w:val="1"/>
                <w:szCs w:val="1"/>
                <w:color w:val="auto"/>
              </w:rPr>
            </w:pPr>
          </w:p>
        </w:tc>
      </w:tr>
      <w:tr>
        <w:trPr>
          <w:trHeight w:val="185"/>
        </w:trPr>
        <w:tc>
          <w:tcPr>
            <w:tcW w:w="7580" w:type="dxa"/>
            <w:vAlign w:val="bottom"/>
            <w:vMerge w:val="continue"/>
          </w:tcPr>
          <w:p>
            <w:pPr>
              <w:spacing w:after="0"/>
              <w:rPr>
                <w:sz w:val="16"/>
                <w:szCs w:val="16"/>
                <w:color w:val="auto"/>
              </w:rPr>
            </w:pPr>
          </w:p>
        </w:tc>
        <w:tc>
          <w:tcPr>
            <w:tcW w:w="17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Commitments</w:t>
            </w:r>
          </w:p>
        </w:tc>
        <w:tc>
          <w:tcPr>
            <w:tcW w:w="0" w:type="dxa"/>
            <w:vAlign w:val="bottom"/>
          </w:tcPr>
          <w:p>
            <w:pPr>
              <w:spacing w:after="0"/>
              <w:rPr>
                <w:sz w:val="1"/>
                <w:szCs w:val="1"/>
                <w:color w:val="auto"/>
              </w:rPr>
            </w:pPr>
          </w:p>
        </w:tc>
      </w:tr>
      <w:tr>
        <w:trPr>
          <w:trHeight w:val="236"/>
        </w:trPr>
        <w:tc>
          <w:tcPr>
            <w:tcW w:w="7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8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(remainder)</w:t>
            </w: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29"/>
        </w:trPr>
        <w:tc>
          <w:tcPr>
            <w:tcW w:w="7580" w:type="dxa"/>
            <w:vAlign w:val="bottom"/>
          </w:tcPr>
          <w:p>
            <w:pPr>
              <w:ind w:left="40"/>
              <w:spacing w:after="0"/>
              <w:rPr>
                <w:sz w:val="20"/>
                <w:szCs w:val="20"/>
                <w:color w:val="auto"/>
              </w:rPr>
            </w:pPr>
            <w:r>
              <w:rPr>
                <w:rFonts w:ascii="Arial" w:cs="Arial" w:eastAsia="Arial" w:hAnsi="Arial"/>
                <w:sz w:val="18"/>
                <w:szCs w:val="18"/>
                <w:color w:val="auto"/>
              </w:rPr>
              <w:t>2027</w:t>
            </w:r>
          </w:p>
        </w:tc>
        <w:tc>
          <w:tcPr>
            <w:tcW w:w="7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2028</w:t>
            </w:r>
          </w:p>
        </w:tc>
        <w:tc>
          <w:tcPr>
            <w:tcW w:w="7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29"/>
        </w:trPr>
        <w:tc>
          <w:tcPr>
            <w:tcW w:w="7580" w:type="dxa"/>
            <w:vAlign w:val="bottom"/>
          </w:tcPr>
          <w:p>
            <w:pPr>
              <w:ind w:left="40"/>
              <w:spacing w:after="0"/>
              <w:rPr>
                <w:sz w:val="20"/>
                <w:szCs w:val="20"/>
                <w:color w:val="auto"/>
              </w:rPr>
            </w:pPr>
            <w:r>
              <w:rPr>
                <w:rFonts w:ascii="Arial" w:cs="Arial" w:eastAsia="Arial" w:hAnsi="Arial"/>
                <w:sz w:val="18"/>
                <w:szCs w:val="18"/>
                <w:color w:val="auto"/>
              </w:rPr>
              <w:t>2029</w:t>
            </w:r>
          </w:p>
        </w:tc>
        <w:tc>
          <w:tcPr>
            <w:tcW w:w="7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2030</w:t>
            </w:r>
          </w:p>
        </w:tc>
        <w:tc>
          <w:tcPr>
            <w:tcW w:w="7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9"/>
        </w:trPr>
        <w:tc>
          <w:tcPr>
            <w:tcW w:w="7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48"/>
        </w:trPr>
        <w:tc>
          <w:tcPr>
            <w:tcW w:w="7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Represent unconditional purchase obligations to purchase goods or services, primarily inventory,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enforceable and legally binding on us and specify all significant terms, including fixed or minimum quantities to be purchased, price provisions, and the approximate timing of the transaction. Purchase obligations exclude agreements that are cancelable without penalty and unconditional purchase obligations with a remaining term of one year or less.</w:t>
      </w:r>
    </w:p>
    <w:p>
      <w:pPr>
        <w:spacing w:after="0" w:line="68" w:lineRule="exact"/>
        <w:rPr>
          <w:sz w:val="20"/>
          <w:szCs w:val="20"/>
          <w:color w:val="auto"/>
        </w:rPr>
      </w:pPr>
    </w:p>
    <w:p>
      <w:pPr>
        <w:ind w:left="420" w:right="460"/>
        <w:spacing w:after="0" w:line="342" w:lineRule="auto"/>
        <w:rPr>
          <w:sz w:val="20"/>
          <w:szCs w:val="20"/>
          <w:color w:val="auto"/>
        </w:rPr>
      </w:pPr>
      <w:r>
        <w:rPr>
          <w:rFonts w:ascii="Arial" w:cs="Arial" w:eastAsia="Arial" w:hAnsi="Arial"/>
          <w:sz w:val="17"/>
          <w:szCs w:val="17"/>
          <w:i w:val="1"/>
          <w:iCs w:val="1"/>
          <w:color w:val="auto"/>
        </w:rPr>
        <w:t xml:space="preserve">Other Contractual Commitments. </w:t>
      </w:r>
      <w:r>
        <w:rPr>
          <w:rFonts w:ascii="Arial" w:cs="Arial" w:eastAsia="Arial" w:hAnsi="Arial"/>
          <w:sz w:val="17"/>
          <w:szCs w:val="17"/>
          <w:color w:val="auto"/>
        </w:rPr>
        <w:t>Represent amounts payable pursuant to agreements related to IT and other service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Due to the inherent uncertainty with respect to the timing of future cash outflows associated with our unrecognized tax benefits as</w:t>
      </w:r>
    </w:p>
    <w:p>
      <w:pPr>
        <w:spacing w:after="0" w:line="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of February 1, 2026, we are unable to reliably estimate the timing of cash settlement with the respective taxing authorities. Therefore, $1,668 million of unrecognized tax benefits and accrued interest and penalties as of February 1, 2026 have been excluded from the table above.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From time to time, we are involved in litigation that we believe is of the type common to companies engaged in our lines of business, including but not limited to commercial disputes, employment issues, tax disputes and disputes involving claims by third parties that our activities infringe their patent, copyright, trademark or other IP rights, as well as regulatory investigations or inquiries. Legal proceedings and regulatory investigations or inquiries are often complex, may require the expenditure of significant funds and other resources, and the outcomes of such proceedings are inherently uncertain, with material adverse outcomes possible. IP claims generally involve the demand by a third-party that we cease the manufacture, use or sale of the allegedly infringing products, processes or technologies and/or pay substantial damages or royalties for past, present and future use of the allegedly infringing IP. Claims that our products or processes infringe or misappropriate any third-party IP rights (including claims arising through our contractual indemnification of our customers) often involve highly complex, technical issues, the outcome of which is inherently uncertain. Moreover, from time to time, we pursue litigation to assert our IP rights. Regardless of the merit or resolution of any such litigation, complex IP litigation is generally costly and diverts the efforts and attention of our management and technical personnel.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Contingency Assessment</w:t>
      </w:r>
    </w:p>
    <w:p>
      <w:pPr>
        <w:spacing w:after="0" w:line="11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are currently engaged in a number of legal actions in the ordinary course of our business; however, we do not believe, based on currently available facts and circumstances, that the final outcome of any pending legal proceedings, ongoing regulatory investigations or tax disputes, taken individually or as a whole, will have a material adverse effect on our condensed consolidated financial statements. However, lawsuits may involve complex questions of fact and law and may require the expenditure of significant funds and other resources to defend. The results of litigation, regulatory investigations or tax disputes are inherently uncertain, and material adverse outcomes are possible. From time to time, we may enter into confidential discussions regarding the potential settlement of such lawsuits. Any settlement of pending litigation could require us to incur substantial costs and other ongoing expenses, such as future royalty payments in the case of an IP dispute.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During the periods presented, no material amounts have been accrued or disclosed in the accompanying condensed consolidated financial statements with respect to loss contingencies associated with any other legal proceedings, regulatory investigations or tax disputes, as potential losses for such matters are not considered probable and ranges of losses are not reasonably estimable. These matters are subject to many uncertainties and the ultimate outcomes are not predictable. There can be no assurances that the actual amounts required to satisfy any liabilities arising from the matters described above will not have a material adverse effect on our condensed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Indemnifications</w:t>
      </w:r>
    </w:p>
    <w:p>
      <w:pPr>
        <w:spacing w:after="0" w:line="11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As is customary in our industry and as provided for in local law in the U.S. and other jurisdictions, many of our standard contracts provide remedies to our customers and others with whom we enter into contracts, such as defense, settlement, or payment of judgment for IP claims related to the use of our products. From time to time, we indemnify customers, as well as our suppliers, contractors, lessors, lessees, companies that purchase our businesses or assets and others with whom we enter into contracts, against combinations of loss, expense, or liability arising from various triggering events related to the sale and the use of our products, the use of their goods and services, the use of facilities and state of our owned facilities, the state of the assets and businesses that we sell and other matters covered by such contracts, usually up to a specified maximum amount. In addition, from time to time we also provide protection to these parties against claims related to undiscovered liabilities, additional product liabilities or environmental obligations. In our experience, claims made under such indemnifications are rare and the associated estimated fair value of the liability is not material.</w:t>
      </w:r>
    </w:p>
    <w:p>
      <w:pPr>
        <w:spacing w:after="0" w:line="73" w:lineRule="exact"/>
        <w:rPr>
          <w:sz w:val="20"/>
          <w:szCs w:val="20"/>
          <w:color w:val="auto"/>
        </w:rPr>
      </w:pPr>
    </w:p>
    <w:p>
      <w:pPr>
        <w:ind w:right="9060" w:firstLine="8"/>
        <w:spacing w:after="0" w:line="397" w:lineRule="auto"/>
        <w:tabs>
          <w:tab w:leader="none" w:pos="29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b w:val="1"/>
          <w:bCs w:val="1"/>
          <w:i w:val="1"/>
          <w:iCs w:val="1"/>
          <w:color w:val="auto"/>
        </w:rPr>
        <w:t>Cash Dividends Declared</w:t>
      </w:r>
    </w:p>
    <w:p>
      <w:pPr>
        <w:spacing w:after="0" w:line="1" w:lineRule="exact"/>
        <w:rPr>
          <w:sz w:val="20"/>
          <w:szCs w:val="20"/>
          <w:color w:val="auto"/>
        </w:rPr>
      </w:pPr>
    </w:p>
    <w:p>
      <w:pPr>
        <w:ind w:right="460" w:firstLine="405"/>
        <w:spacing w:after="0" w:line="287" w:lineRule="auto"/>
        <w:rPr>
          <w:sz w:val="20"/>
          <w:szCs w:val="20"/>
          <w:color w:val="auto"/>
        </w:rPr>
      </w:pPr>
      <w:r>
        <w:rPr>
          <w:rFonts w:ascii="Arial" w:cs="Arial" w:eastAsia="Arial" w:hAnsi="Arial"/>
          <w:sz w:val="18"/>
          <w:szCs w:val="18"/>
          <w:color w:val="auto"/>
        </w:rPr>
        <w:t>On March 3, 2026, our Board of Directors declared a quarterly cash dividend of $0.65 per share on our common stock, payable on March 31, 2026 to stockholders of record on March 23, 2026.</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i w:val="1"/>
          <w:iCs w:val="1"/>
          <w:color w:val="auto"/>
        </w:rPr>
        <w:t>This Management’s Discussion and Analysis of Financial Condition and Results of Operations should be read in conjunction with the unaudited condensed consolidated financial statements and the related notes thereto included elsewhere in this Quarterly Report on Form 10-Q (“Form 10-Q”) and the audited consolidated financial statements and notes thereto and management’s discussion and analysis of financial condition and results of operations for the fiscal year ended November 2, 2025 (“fiscal year 2025”) included in our Annual Report on Form 10-K for fiscal year 2025 (“2025 Annual Report on Form 10-K”). This Form 10-Q contains forward-looking statements within the meaning of federal securities laws. These statements are indicated by words or phrases such as “anticipate,” “expect,” “estimate,” “seek,” “plan,” “believe,” “could,” “intend,” “will,” and similar words or phrases. Forward-looking statements provide current expectations of future events based on certain assumptions and include any statement that does not directly relate to any historical or current fact. These forward-looking statements may include our projected financial results or expectations regarding acquisitions, business strategies and models, and developments in technology, solutions and products. Such statements are based on current expectations, estimates, forecasts and projections of our industry performance and macroeconomic conditions, based on management’s judgment, beliefs, current trends and market conditions, and involve risks and uncertainties that may cause actual results to differ materially from those contained in the forward-looking statements. We derive many of our forward-looking statements from our operating budgets and forecasts, which are based upon many detailed assumptions. While we believe that our assumptions are reasonable, we caution that it is very difficult to predict the impact of known factors, and it is impossible for us to anticipate all factors that could affect our actual results. Accordingly, we caution you not to place undue reliance on these statements. Material factors that could cause actual results to differ materially from our expectations include, but are not limited to, those disclosed under “Risk Factors” in Part II, Item 1A of this Form 10-Q, and in other documents we file from time to time with the Securities and Exchange Commission (the “SEC”). We undertake no intent or obligation to publicly update or revise any forward-looking statements for any reason, except as required by law.</w:t>
      </w:r>
    </w:p>
    <w:p>
      <w:pPr>
        <w:spacing w:after="0" w:line="83" w:lineRule="exact"/>
        <w:rPr>
          <w:sz w:val="20"/>
          <w:szCs w:val="20"/>
          <w:color w:val="auto"/>
        </w:rPr>
      </w:pPr>
    </w:p>
    <w:p>
      <w:pPr>
        <w:ind w:right="140" w:firstLine="405"/>
        <w:spacing w:after="0" w:line="285" w:lineRule="auto"/>
        <w:rPr>
          <w:sz w:val="20"/>
          <w:szCs w:val="20"/>
          <w:color w:val="auto"/>
        </w:rPr>
      </w:pPr>
      <w:r>
        <w:rPr>
          <w:rFonts w:ascii="Arial" w:cs="Arial" w:eastAsia="Arial" w:hAnsi="Arial"/>
          <w:sz w:val="18"/>
          <w:szCs w:val="18"/>
          <w:i w:val="1"/>
          <w:iCs w:val="1"/>
          <w:color w:val="auto"/>
        </w:rPr>
        <w:t>Unless stated otherwise or the context otherwise requires, references to “Broadcom,” “we,” “our,” and “us” mean Broadcom Inc. and its consolidated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We are a global technology leader that designs, develops and supplies a broad range of semiconductor and semiconductor-based solutions and infrastructure software solutions. Our semiconductor and semiconductor-based solutions include a broad portfolio of complex digital and mixed signal devices based on silicon wafers with complementary metal oxide semiconductor transistors, III-V based devices, network interface cards and other modules, switches, subsystems and, in some cases, racks. Our solutions are used in a wide array of environments, end products and applications, such as enterprise and artificial intelligence (“AI”) data centers, servers and networking and connectivity equipment, as well as storage systems, home connectivity devices, set-top boxes, broadband access, telecommunication equipment, wireless devices and base stations, factory automation, power generation and alternative energy systems, and electronic displays. Our infrastructure software solutions help enterprises simplify their information technology environments. Our customers rely on our infrastructure and security software solutions to modernize, optimize, and secure the most complex private cloud, hybrid cloud and edge environments. This enables scalability, agility, automation, insights, resiliency and security, making it easy for customers to run their mission-critical workloads. We also offer mission-critical fibre channel storage area networking (“FC SAN”) products and related software in the form of modules, switches and subsystems incorporating multiple semiconductor products.</w:t>
      </w:r>
    </w:p>
    <w:p>
      <w:pPr>
        <w:spacing w:after="0" w:line="82" w:lineRule="exact"/>
        <w:rPr>
          <w:sz w:val="20"/>
          <w:szCs w:val="20"/>
          <w:color w:val="auto"/>
        </w:rPr>
      </w:pPr>
    </w:p>
    <w:p>
      <w:pPr>
        <w:ind w:right="60" w:firstLine="405"/>
        <w:spacing w:after="0" w:line="268" w:lineRule="auto"/>
        <w:rPr>
          <w:sz w:val="20"/>
          <w:szCs w:val="20"/>
          <w:color w:val="auto"/>
        </w:rPr>
      </w:pPr>
      <w:r>
        <w:rPr>
          <w:rFonts w:ascii="Arial" w:cs="Arial" w:eastAsia="Arial" w:hAnsi="Arial"/>
          <w:sz w:val="18"/>
          <w:szCs w:val="18"/>
          <w:color w:val="auto"/>
        </w:rPr>
        <w:t>We have two reportable segments: semiconductor solutions and infrastructure software. Our semiconductor solutions segment includes all of our semiconductor-based product lines and intellectual property (“IP”) licensing. Our infrastructure software segment includes our private cloud, mainframe software, cybersecurity and enterprise software portfolios, and our FC SAN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Highlights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Highlights during the fiscal quarter ended February 1, 2026 include the following:</w:t>
      </w:r>
    </w:p>
    <w:p>
      <w:pPr>
        <w:spacing w:after="0" w:line="117" w:lineRule="exact"/>
        <w:rPr>
          <w:sz w:val="20"/>
          <w:szCs w:val="20"/>
          <w:color w:val="auto"/>
        </w:rPr>
      </w:pPr>
    </w:p>
    <w:p>
      <w:pPr>
        <w:ind w:left="620" w:hanging="207"/>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generated $8,260 million of cash from operations.</w:t>
      </w:r>
    </w:p>
    <w:p>
      <w:pPr>
        <w:spacing w:after="0" w:line="117" w:lineRule="exact"/>
        <w:rPr>
          <w:rFonts w:ascii="Arial" w:cs="Arial" w:eastAsia="Arial" w:hAnsi="Arial"/>
          <w:sz w:val="18"/>
          <w:szCs w:val="18"/>
          <w:color w:val="auto"/>
        </w:rPr>
      </w:pPr>
    </w:p>
    <w:p>
      <w:pPr>
        <w:ind w:left="620" w:hanging="207"/>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paid $3,086 million in cash dividends.</w:t>
      </w:r>
    </w:p>
    <w:p>
      <w:pPr>
        <w:spacing w:after="0" w:line="117" w:lineRule="exact"/>
        <w:rPr>
          <w:rFonts w:ascii="Arial" w:cs="Arial" w:eastAsia="Arial" w:hAnsi="Arial"/>
          <w:sz w:val="18"/>
          <w:szCs w:val="18"/>
          <w:color w:val="auto"/>
        </w:rPr>
      </w:pPr>
    </w:p>
    <w:p>
      <w:pPr>
        <w:ind w:left="620" w:hanging="207"/>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repurchased $7,850 million of common stock.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in the United States requires us to make estimates and assumptions that affect the reported amounts of assets and liabilities and disclosure of contingent assets and liabilities at the date of the financial statements and the reported amounts of revenue and expenses during the reporting period.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Our actual financial results may differ materially and adversely from our estimates. Our critical accounting policies are those that affect our financial statements materially and involve difficult, subjective or complex judgments by management. Those policies include revenue recognition, business combinations, valuation of goodwill and long-lived assets, and income taxes.</w:t>
      </w:r>
    </w:p>
    <w:p>
      <w:pPr>
        <w:spacing w:after="0" w:line="73" w:lineRule="exact"/>
        <w:rPr>
          <w:sz w:val="20"/>
          <w:szCs w:val="20"/>
          <w:color w:val="auto"/>
        </w:rPr>
      </w:pPr>
    </w:p>
    <w:p>
      <w:pPr>
        <w:ind w:right="180" w:firstLine="405"/>
        <w:spacing w:after="0" w:line="268" w:lineRule="auto"/>
        <w:rPr>
          <w:sz w:val="20"/>
          <w:szCs w:val="20"/>
          <w:color w:val="auto"/>
        </w:rPr>
      </w:pPr>
      <w:r>
        <w:rPr>
          <w:rFonts w:ascii="Arial" w:cs="Arial" w:eastAsia="Arial" w:hAnsi="Arial"/>
          <w:sz w:val="18"/>
          <w:szCs w:val="18"/>
          <w:color w:val="auto"/>
        </w:rPr>
        <w:t>There were no significant changes in our critical accounting estimates during the fiscal quarter ended February 1, 2026 compared to those previously disclosed in “Critical Accounting Estimates” in “Management’s Discussion and Analysis of Financial Condition and Results of Operations” included in the 2025 Annual Report on Form 10-K.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Factors</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are subject to risks and exposures from the evolving macroeconomic environment, including uncertainty and volatility in financial markets, efforts of governments to stimulate or stabilize the economy and other unfavorable changes in economic conditions, as well as an increase in trade tensions and related tariffs with U.S. trading partners. While difficult to isolate and quantify, these risks and exposures may cause our net revenue to fluctuate significantly and disrupt supply chain operations, and we continuously monitor the broader impacts of these circumstances on our business, our supply chain and our results of operations.</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Quarter Ended February 1, 2026 Compared to Fiscal Quarter Ended February 2, 2025</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Fiscal Quarter Ended</w:t>
            </w: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February 1,</w:t>
            </w:r>
          </w:p>
        </w:tc>
        <w:tc>
          <w:tcPr>
            <w:tcW w:w="220" w:type="dxa"/>
            <w:vAlign w:val="bottom"/>
          </w:tcPr>
          <w:p>
            <w:pPr>
              <w:spacing w:after="0"/>
              <w:rPr>
                <w:sz w:val="12"/>
                <w:szCs w:val="12"/>
                <w:color w:val="auto"/>
              </w:rPr>
            </w:pPr>
          </w:p>
        </w:tc>
        <w:tc>
          <w:tcPr>
            <w:tcW w:w="130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February 2,</w:t>
            </w:r>
          </w:p>
        </w:tc>
        <w:tc>
          <w:tcPr>
            <w:tcW w:w="1660" w:type="dxa"/>
            <w:vAlign w:val="bottom"/>
            <w:gridSpan w:val="2"/>
          </w:tcPr>
          <w:p>
            <w:pPr>
              <w:ind w:left="380"/>
              <w:spacing w:after="0" w:line="147" w:lineRule="exact"/>
              <w:rPr>
                <w:sz w:val="20"/>
                <w:szCs w:val="20"/>
                <w:color w:val="auto"/>
              </w:rPr>
            </w:pPr>
            <w:r>
              <w:rPr>
                <w:rFonts w:ascii="Arial" w:cs="Arial" w:eastAsia="Arial" w:hAnsi="Arial"/>
                <w:sz w:val="14"/>
                <w:szCs w:val="14"/>
                <w:b w:val="1"/>
                <w:bCs w:val="1"/>
                <w:color w:val="auto"/>
              </w:rPr>
              <w:t>February 1,</w:t>
            </w:r>
          </w:p>
        </w:tc>
        <w:tc>
          <w:tcPr>
            <w:tcW w:w="1540" w:type="dxa"/>
            <w:vAlign w:val="bottom"/>
          </w:tcPr>
          <w:p>
            <w:pPr>
              <w:jc w:val="right"/>
              <w:ind w:right="292"/>
              <w:spacing w:after="0" w:line="147" w:lineRule="exact"/>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15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15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4"/>
        </w:trPr>
        <w:tc>
          <w:tcPr>
            <w:tcW w:w="4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220" w:type="dxa"/>
            <w:vAlign w:val="bottom"/>
          </w:tcPr>
          <w:p>
            <w:pPr>
              <w:spacing w:after="0"/>
              <w:rPr>
                <w:sz w:val="20"/>
                <w:szCs w:val="20"/>
                <w:color w:val="auto"/>
              </w:rPr>
            </w:pPr>
          </w:p>
        </w:tc>
        <w:tc>
          <w:tcPr>
            <w:tcW w:w="280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millions)</w:t>
            </w:r>
          </w:p>
        </w:tc>
        <w:tc>
          <w:tcPr>
            <w:tcW w:w="320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(As a percentage of net revenue)</w:t>
            </w:r>
          </w:p>
        </w:tc>
        <w:tc>
          <w:tcPr>
            <w:tcW w:w="0" w:type="dxa"/>
            <w:vAlign w:val="bottom"/>
          </w:tcPr>
          <w:p>
            <w:pPr>
              <w:spacing w:after="0"/>
              <w:rPr>
                <w:sz w:val="1"/>
                <w:szCs w:val="1"/>
                <w:color w:val="auto"/>
              </w:rPr>
            </w:pPr>
          </w:p>
        </w:tc>
      </w:tr>
      <w:tr>
        <w:trPr>
          <w:trHeight w:val="232"/>
        </w:trPr>
        <w:tc>
          <w:tcPr>
            <w:tcW w:w="48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Products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14,130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10,143</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Subscriptions and services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net revenue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14,916</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180"/>
              <w:spacing w:after="0"/>
              <w:rPr>
                <w:sz w:val="20"/>
                <w:szCs w:val="20"/>
                <w:color w:val="auto"/>
              </w:rPr>
            </w:pPr>
            <w:r>
              <w:rPr>
                <w:rFonts w:ascii="Arial" w:cs="Arial" w:eastAsia="Arial" w:hAnsi="Arial"/>
                <w:sz w:val="18"/>
                <w:szCs w:val="18"/>
                <w:color w:val="auto"/>
              </w:rPr>
              <w:t>Cost of products sold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2,695</w:t>
            </w:r>
          </w:p>
        </w:tc>
        <w:tc>
          <w:tcPr>
            <w:tcW w:w="12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subscriptions and services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800" w:type="dxa"/>
            <w:vAlign w:val="bottom"/>
          </w:tcPr>
          <w:p>
            <w:pPr>
              <w:ind w:left="180"/>
              <w:spacing w:after="0"/>
              <w:rPr>
                <w:sz w:val="20"/>
                <w:szCs w:val="20"/>
                <w:color w:val="auto"/>
              </w:rPr>
            </w:pPr>
            <w:r>
              <w:rPr>
                <w:rFonts w:ascii="Arial" w:cs="Arial" w:eastAsia="Arial" w:hAnsi="Arial"/>
                <w:sz w:val="18"/>
                <w:szCs w:val="18"/>
                <w:color w:val="auto"/>
              </w:rPr>
              <w:t>Amortization of acquisition-related intangible assets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4,771</w:t>
            </w:r>
          </w:p>
        </w:tc>
        <w:tc>
          <w:tcPr>
            <w:tcW w:w="12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10,145</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2,253</w:t>
            </w:r>
          </w:p>
        </w:tc>
        <w:tc>
          <w:tcPr>
            <w:tcW w:w="12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Amortization of acquisition-related intangible assets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3,885</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the fiscal quarter ended February 1, 2026, we included upfront license revenue of $1,755 million within products revenue, and the related costs, which were immaterial, in cost of products sold. To conform to the current period presentation, we reclassified $ 1,972 million of upfront license revenue from subscriptions and services revenue to products revenue for the fiscal quarter ended February 2, 2025. We also reclassified the related costs for the upfront license revenue, which were immaterial. See Note 2. “Revenue from Contracts with Customers” in Part I, Item 1. of this Form 10-Q for additional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15" w:lineRule="exact"/>
        <w:rPr>
          <w:sz w:val="20"/>
          <w:szCs w:val="20"/>
          <w:color w:val="auto"/>
        </w:rPr>
      </w:pPr>
    </w:p>
    <w:p>
      <w:pPr>
        <w:ind w:right="100" w:firstLine="405"/>
        <w:spacing w:after="0" w:line="268" w:lineRule="auto"/>
        <w:rPr>
          <w:sz w:val="20"/>
          <w:szCs w:val="20"/>
          <w:color w:val="auto"/>
        </w:rPr>
      </w:pPr>
      <w:r>
        <w:rPr>
          <w:rFonts w:ascii="Arial" w:cs="Arial" w:eastAsia="Arial" w:hAnsi="Arial"/>
          <w:sz w:val="18"/>
          <w:szCs w:val="18"/>
          <w:color w:val="auto"/>
        </w:rPr>
        <w:t>A relatively small number of customers account for a significant portion of our net revenue. Direct sales to one semiconductor solutions customer, which is a distributor, accounted for 42% and 29% of our net revenue for the fiscal quarters ended February 1, 2026 and February 2, 2025, respectively.</w:t>
      </w:r>
    </w:p>
    <w:p>
      <w:pPr>
        <w:spacing w:after="0" w:line="63"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We believe aggregate sales to our top five end customers, through all channels, accounted for approximately 50% and 40% of our net revenue for the fiscal quarters ended February 1, 2026 and February 2, 2025, respectively. We expect to continue to experience significant customer concentration in future periods. The loss of, or significant decrease in demand from, any of our top five end customers could have a material adverse effect on our business, results of operations and financial condition.</w:t>
      </w:r>
    </w:p>
    <w:p>
      <w:pPr>
        <w:spacing w:after="0" w:line="68" w:lineRule="exact"/>
        <w:rPr>
          <w:sz w:val="20"/>
          <w:szCs w:val="20"/>
          <w:color w:val="auto"/>
        </w:rPr>
      </w:pPr>
    </w:p>
    <w:p>
      <w:pPr>
        <w:ind w:right="200" w:firstLine="405"/>
        <w:spacing w:after="0" w:line="262" w:lineRule="auto"/>
        <w:rPr>
          <w:sz w:val="20"/>
          <w:szCs w:val="20"/>
          <w:color w:val="auto"/>
        </w:rPr>
      </w:pPr>
      <w:r>
        <w:rPr>
          <w:rFonts w:ascii="Arial" w:cs="Arial" w:eastAsia="Arial" w:hAnsi="Arial"/>
          <w:sz w:val="18"/>
          <w:szCs w:val="18"/>
          <w:color w:val="auto"/>
        </w:rPr>
        <w:t>From time to time, some of our key semiconductor customers place large orders or delay orders, causing our quarterly net revenue to fluctuate significantly. This is particularly true of our products used in AI and wireless applications as fluctuations may be magnified by the timing of customer deployments, as well as product launches. For infrastructure software, whether or not a customer has the right to terminate causes variations in revenue recognized in each period.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set forth net revenue by segment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Fiscal Quarter Ended</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Net Revenue by Segment</w:t>
            </w:r>
          </w:p>
        </w:tc>
        <w:tc>
          <w:tcPr>
            <w:tcW w:w="100" w:type="dxa"/>
            <w:vAlign w:val="bottom"/>
            <w:vMerge w:val="restart"/>
          </w:tcPr>
          <w:p>
            <w:pPr>
              <w:spacing w:after="0"/>
              <w:rPr>
                <w:sz w:val="12"/>
                <w:szCs w:val="12"/>
                <w:color w:val="auto"/>
              </w:rPr>
            </w:pPr>
          </w:p>
        </w:tc>
        <w:tc>
          <w:tcPr>
            <w:tcW w:w="1100" w:type="dxa"/>
            <w:vAlign w:val="bottom"/>
            <w:gridSpan w:val="3"/>
          </w:tcPr>
          <w:p>
            <w:pPr>
              <w:ind w:left="120"/>
              <w:spacing w:after="0" w:line="147" w:lineRule="exact"/>
              <w:rPr>
                <w:sz w:val="20"/>
                <w:szCs w:val="20"/>
                <w:color w:val="auto"/>
              </w:rPr>
            </w:pPr>
            <w:r>
              <w:rPr>
                <w:rFonts w:ascii="Arial" w:cs="Arial" w:eastAsia="Arial" w:hAnsi="Arial"/>
                <w:sz w:val="14"/>
                <w:szCs w:val="14"/>
                <w:b w:val="1"/>
                <w:bCs w:val="1"/>
                <w:color w:val="auto"/>
              </w:rPr>
              <w:t>February 1,</w:t>
            </w:r>
          </w:p>
        </w:tc>
        <w:tc>
          <w:tcPr>
            <w:tcW w:w="1000" w:type="dxa"/>
            <w:vAlign w:val="bottom"/>
            <w:gridSpan w:val="4"/>
          </w:tcPr>
          <w:p>
            <w:pPr>
              <w:jc w:val="center"/>
              <w:spacing w:after="0" w:line="147" w:lineRule="exact"/>
              <w:rPr>
                <w:sz w:val="20"/>
                <w:szCs w:val="20"/>
                <w:color w:val="auto"/>
              </w:rPr>
            </w:pPr>
            <w:r>
              <w:rPr>
                <w:rFonts w:ascii="Arial" w:cs="Arial" w:eastAsia="Arial" w:hAnsi="Arial"/>
                <w:sz w:val="14"/>
                <w:szCs w:val="14"/>
                <w:b w:val="1"/>
                <w:bCs w:val="1"/>
                <w:color w:val="auto"/>
              </w:rPr>
              <w:t>February 2,</w:t>
            </w:r>
          </w:p>
        </w:tc>
        <w:tc>
          <w:tcPr>
            <w:tcW w:w="120" w:type="dxa"/>
            <w:vAlign w:val="bottom"/>
            <w:vMerge w:val="restart"/>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6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7"/>
          </w:tcPr>
          <w:p>
            <w:pPr>
              <w:ind w:left="22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Semiconductor solutions</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8,212</w:t>
            </w:r>
          </w:p>
        </w:tc>
        <w:tc>
          <w:tcPr>
            <w:tcW w:w="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Infrastructure software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6,704</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 w:type="dxa"/>
            <w:vAlign w:val="bottom"/>
            <w:tcBorders>
              <w:bottom w:val="single" w:sz="8" w:color="auto"/>
            </w:tcBorders>
          </w:tcPr>
          <w:p>
            <w:pPr>
              <w:spacing w:after="0"/>
              <w:rPr>
                <w:sz w:val="19"/>
                <w:szCs w:val="19"/>
                <w:color w:val="auto"/>
              </w:rPr>
            </w:pP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8"/>
        </w:trPr>
        <w:tc>
          <w:tcPr>
            <w:tcW w:w="6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14,916</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404"/>
              <w:spacing w:after="0"/>
              <w:rPr>
                <w:sz w:val="20"/>
                <w:szCs w:val="20"/>
                <w:color w:val="auto"/>
              </w:rPr>
            </w:pPr>
            <w:r>
              <w:rPr>
                <w:rFonts w:ascii="Arial" w:cs="Arial" w:eastAsia="Arial" w:hAnsi="Arial"/>
                <w:sz w:val="14"/>
                <w:szCs w:val="14"/>
                <w:b w:val="1"/>
                <w:bCs w:val="1"/>
                <w:color w:val="auto"/>
              </w:rPr>
              <w:t>Fiscal Quarter Ended</w:t>
            </w:r>
          </w:p>
        </w:tc>
        <w:tc>
          <w:tcPr>
            <w:tcW w:w="0" w:type="dxa"/>
            <w:vAlign w:val="bottom"/>
          </w:tcPr>
          <w:p>
            <w:pPr>
              <w:spacing w:after="0"/>
              <w:rPr>
                <w:sz w:val="1"/>
                <w:szCs w:val="1"/>
                <w:color w:val="auto"/>
              </w:rPr>
            </w:pPr>
          </w:p>
        </w:tc>
      </w:tr>
      <w:tr>
        <w:trPr>
          <w:trHeight w:val="143"/>
        </w:trPr>
        <w:tc>
          <w:tcPr>
            <w:tcW w:w="6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Revenue by Segment</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February 1,</w:t>
            </w:r>
          </w:p>
        </w:tc>
        <w:tc>
          <w:tcPr>
            <w:tcW w:w="100" w:type="dxa"/>
            <w:vAlign w:val="bottom"/>
          </w:tcPr>
          <w:p>
            <w:pPr>
              <w:spacing w:after="0"/>
              <w:rPr>
                <w:sz w:val="12"/>
                <w:szCs w:val="12"/>
                <w:color w:val="auto"/>
              </w:rPr>
            </w:pPr>
          </w:p>
        </w:tc>
        <w:tc>
          <w:tcPr>
            <w:tcW w:w="11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89"/>
        </w:trPr>
        <w:tc>
          <w:tcPr>
            <w:tcW w:w="68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2026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6"/>
        </w:trPr>
        <w:tc>
          <w:tcPr>
            <w:tcW w:w="6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40" w:type="dxa"/>
            <w:vAlign w:val="bottom"/>
            <w:gridSpan w:val="6"/>
          </w:tcPr>
          <w:p>
            <w:pPr>
              <w:jc w:val="right"/>
              <w:ind w:right="4"/>
              <w:spacing w:after="0"/>
              <w:rPr>
                <w:sz w:val="20"/>
                <w:szCs w:val="20"/>
                <w:color w:val="auto"/>
              </w:rPr>
            </w:pPr>
            <w:r>
              <w:rPr>
                <w:rFonts w:ascii="Arial" w:cs="Arial" w:eastAsia="Arial" w:hAnsi="Arial"/>
                <w:sz w:val="14"/>
                <w:szCs w:val="14"/>
                <w:b w:val="1"/>
                <w:bCs w:val="1"/>
                <w:color w:val="auto"/>
              </w:rPr>
              <w:t>(As a percentage of net revenue)</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Semiconductor solutions</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30"/>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Infrastructure software</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155"/>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1240" w:type="dxa"/>
            <w:vAlign w:val="bottom"/>
            <w:gridSpan w:val="2"/>
          </w:tcPr>
          <w:p>
            <w:pPr>
              <w:jc w:val="right"/>
              <w:ind w:right="16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8"/>
        </w:trPr>
        <w:tc>
          <w:tcPr>
            <w:tcW w:w="680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280" w:firstLine="405"/>
        <w:spacing w:after="0" w:line="287" w:lineRule="auto"/>
        <w:rPr>
          <w:sz w:val="20"/>
          <w:szCs w:val="20"/>
          <w:color w:val="auto"/>
        </w:rPr>
      </w:pPr>
      <w:r>
        <w:rPr>
          <w:rFonts w:ascii="Arial" w:cs="Arial" w:eastAsia="Arial" w:hAnsi="Arial"/>
          <w:sz w:val="18"/>
          <w:szCs w:val="18"/>
          <w:color w:val="auto"/>
        </w:rPr>
        <w:t>Net revenue from our semiconductor solutions segment increased in the fiscal quarter ended February 1, 2026 compared to the prior year fiscal period due to strong demand for our networking solutions, primarily custom AI accelerators and AI networking products.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5"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Gross margin was $13,157 million for the fiscal quarter ended February 1, 2026 compared to $10,145 million for the fiscal quarter ended February 2, 2025. The increase was primarily due to strong product demand for our AI-related semiconductor solutions.</w:t>
      </w:r>
    </w:p>
    <w:p>
      <w:pPr>
        <w:spacing w:after="0" w:line="45" w:lineRule="exact"/>
        <w:rPr>
          <w:sz w:val="20"/>
          <w:szCs w:val="20"/>
          <w:color w:val="auto"/>
        </w:rPr>
      </w:pPr>
    </w:p>
    <w:p>
      <w:pPr>
        <w:ind w:right="100" w:firstLine="405"/>
        <w:spacing w:after="0" w:line="287" w:lineRule="auto"/>
        <w:rPr>
          <w:sz w:val="20"/>
          <w:szCs w:val="20"/>
          <w:color w:val="auto"/>
        </w:rPr>
      </w:pPr>
      <w:r>
        <w:rPr>
          <w:rFonts w:ascii="Arial" w:cs="Arial" w:eastAsia="Arial" w:hAnsi="Arial"/>
          <w:sz w:val="18"/>
          <w:szCs w:val="18"/>
          <w:color w:val="auto"/>
        </w:rPr>
        <w:t>As a percentage of net revenue, gross margin was relatively flat. The gross margin benefit from our net revenue growth was offset by a higher mix of semiconductor solutions net revenue.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5" w:lineRule="exact"/>
        <w:rPr>
          <w:sz w:val="20"/>
          <w:szCs w:val="20"/>
          <w:color w:val="auto"/>
        </w:rPr>
      </w:pPr>
    </w:p>
    <w:p>
      <w:pPr>
        <w:ind w:right="380" w:firstLine="405"/>
        <w:spacing w:after="0" w:line="287" w:lineRule="auto"/>
        <w:rPr>
          <w:sz w:val="20"/>
          <w:szCs w:val="20"/>
          <w:color w:val="auto"/>
        </w:rPr>
      </w:pPr>
      <w:r>
        <w:rPr>
          <w:rFonts w:ascii="Arial" w:cs="Arial" w:eastAsia="Arial" w:hAnsi="Arial"/>
          <w:sz w:val="18"/>
          <w:szCs w:val="18"/>
          <w:color w:val="auto"/>
        </w:rPr>
        <w:t>Research and development expense increased $712 million, or 32%, for the fiscal quarter ended February 1, 2026 compared to the prior year fiscal period. The increase was primarily due to higher stock-based compensation.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5" w:lineRule="exact"/>
        <w:rPr>
          <w:sz w:val="20"/>
          <w:szCs w:val="20"/>
          <w:color w:val="auto"/>
        </w:rPr>
      </w:pPr>
    </w:p>
    <w:p>
      <w:pPr>
        <w:ind w:right="20" w:firstLine="405"/>
        <w:spacing w:after="0" w:line="287" w:lineRule="auto"/>
        <w:rPr>
          <w:sz w:val="20"/>
          <w:szCs w:val="20"/>
          <w:color w:val="auto"/>
        </w:rPr>
      </w:pPr>
      <w:r>
        <w:rPr>
          <w:rFonts w:ascii="Arial" w:cs="Arial" w:eastAsia="Arial" w:hAnsi="Arial"/>
          <w:sz w:val="18"/>
          <w:szCs w:val="18"/>
          <w:color w:val="auto"/>
        </w:rPr>
        <w:t>Selling, general and administrative expense increased $70 million, or 7%, for the fiscal quarter ended February 1, 2026 compared to the prior year fiscal period. The increase was primarily due to higher stock-based compensation.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During the second quarter of fiscal year 2025, we granted two-year time- and market-based restricted stock unit awards (the “Two-Year Equity Awards”), in lieu of our annual employee equity awards historically granted in the second quarter of each fiscal year. Each of the Two-Year Equity Awards vests on the same basis as two annual grants with staggered vesting start dates of March 15, 2025 and March 15, 2026 and successive four-year vesting periods. We recognize stock-based compensation expense related to these awards from the grant date through their respective vesting date, ranging from four to five years.</w:t>
      </w:r>
    </w:p>
    <w:p>
      <w:pPr>
        <w:spacing w:after="0" w:line="71" w:lineRule="exact"/>
        <w:rPr>
          <w:sz w:val="20"/>
          <w:szCs w:val="20"/>
          <w:color w:val="auto"/>
        </w:rPr>
      </w:pPr>
    </w:p>
    <w:p>
      <w:pPr>
        <w:ind w:right="440" w:firstLine="405"/>
        <w:spacing w:after="0" w:line="287" w:lineRule="auto"/>
        <w:rPr>
          <w:sz w:val="20"/>
          <w:szCs w:val="20"/>
          <w:color w:val="auto"/>
        </w:rPr>
      </w:pPr>
      <w:r>
        <w:rPr>
          <w:rFonts w:ascii="Arial" w:cs="Arial" w:eastAsia="Arial" w:hAnsi="Arial"/>
          <w:sz w:val="18"/>
          <w:szCs w:val="18"/>
          <w:color w:val="auto"/>
        </w:rPr>
        <w:t>Total stock-based compensation expense was $2,176 million and $1,280 million for the fiscal quarters ended February 1, 2026 and February 2, 2025, respectively. The increase was due to the Two-Year Equity Awards granted at higher grant-date fair values.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0" w:firstLine="405"/>
        <w:spacing w:after="0" w:line="279" w:lineRule="auto"/>
        <w:rPr>
          <w:sz w:val="20"/>
          <w:szCs w:val="20"/>
          <w:color w:val="auto"/>
        </w:rPr>
      </w:pPr>
      <w:r>
        <w:rPr>
          <w:rFonts w:ascii="Arial" w:cs="Arial" w:eastAsia="Arial" w:hAnsi="Arial"/>
          <w:sz w:val="18"/>
          <w:szCs w:val="18"/>
          <w:color w:val="auto"/>
        </w:rPr>
        <w:t>The following table sets forth the total unrecognized compensation cost related to unvested stock-based awards outstanding and expected to vest as of February 1, 2026. The remaining weighted-average service period was 3.2 years.</w:t>
      </w:r>
    </w:p>
    <w:tbl>
      <w:tblPr>
        <w:tblLayout w:type="fixed"/>
        <w:tblInd w:w="0" w:type="dxa"/>
        <w:tblCellMar>
          <w:top w:w="0" w:type="dxa"/>
          <w:left w:w="0" w:type="dxa"/>
          <w:bottom w:w="0" w:type="dxa"/>
          <w:right w:w="0" w:type="dxa"/>
        </w:tblCellMar>
      </w:tblPr>
      <w:tr>
        <w:trPr>
          <w:trHeight w:val="149"/>
        </w:trPr>
        <w:tc>
          <w:tcPr>
            <w:tcW w:w="9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rPr>
              <w:t>Unrecognized</w:t>
            </w:r>
          </w:p>
        </w:tc>
        <w:tc>
          <w:tcPr>
            <w:tcW w:w="0" w:type="dxa"/>
            <w:vAlign w:val="bottom"/>
          </w:tcPr>
          <w:p>
            <w:pPr>
              <w:spacing w:after="0"/>
              <w:rPr>
                <w:sz w:val="1"/>
                <w:szCs w:val="1"/>
                <w:color w:val="auto"/>
              </w:rPr>
            </w:pPr>
          </w:p>
        </w:tc>
      </w:tr>
      <w:tr>
        <w:trPr>
          <w:trHeight w:val="144"/>
        </w:trPr>
        <w:tc>
          <w:tcPr>
            <w:tcW w:w="94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Fiscal Year:</w:t>
            </w:r>
          </w:p>
        </w:tc>
        <w:tc>
          <w:tcPr>
            <w:tcW w:w="17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Compensation Cost, Net</w:t>
            </w:r>
          </w:p>
        </w:tc>
        <w:tc>
          <w:tcPr>
            <w:tcW w:w="0" w:type="dxa"/>
            <w:vAlign w:val="bottom"/>
          </w:tcPr>
          <w:p>
            <w:pPr>
              <w:spacing w:after="0"/>
              <w:rPr>
                <w:sz w:val="1"/>
                <w:szCs w:val="1"/>
                <w:color w:val="auto"/>
              </w:rPr>
            </w:pPr>
          </w:p>
        </w:tc>
      </w:tr>
      <w:tr>
        <w:trPr>
          <w:trHeight w:val="189"/>
        </w:trPr>
        <w:tc>
          <w:tcPr>
            <w:tcW w:w="9460" w:type="dxa"/>
            <w:vAlign w:val="bottom"/>
            <w:vMerge w:val="continue"/>
          </w:tcPr>
          <w:p>
            <w:pPr>
              <w:spacing w:after="0"/>
              <w:rPr>
                <w:sz w:val="16"/>
                <w:szCs w:val="16"/>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of Expected Forfeitures</w:t>
            </w:r>
          </w:p>
        </w:tc>
        <w:tc>
          <w:tcPr>
            <w:tcW w:w="0" w:type="dxa"/>
            <w:vAlign w:val="bottom"/>
          </w:tcPr>
          <w:p>
            <w:pPr>
              <w:spacing w:after="0"/>
              <w:rPr>
                <w:sz w:val="1"/>
                <w:szCs w:val="1"/>
                <w:color w:val="auto"/>
              </w:rPr>
            </w:pPr>
          </w:p>
        </w:tc>
      </w:tr>
      <w:tr>
        <w:trPr>
          <w:trHeight w:val="195"/>
        </w:trPr>
        <w:tc>
          <w:tcPr>
            <w:tcW w:w="9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center"/>
              <w:ind w:right="17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(remainder)</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0" w:type="dxa"/>
            <w:vAlign w:val="bottom"/>
          </w:tcPr>
          <w:p>
            <w:pPr>
              <w:spacing w:after="0"/>
              <w:rPr>
                <w:sz w:val="1"/>
                <w:szCs w:val="1"/>
                <w:color w:val="auto"/>
              </w:rPr>
            </w:pP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2027</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7,184</w:t>
            </w:r>
          </w:p>
        </w:tc>
        <w:tc>
          <w:tcPr>
            <w:tcW w:w="0" w:type="dxa"/>
            <w:vAlign w:val="bottom"/>
          </w:tcPr>
          <w:p>
            <w:pPr>
              <w:spacing w:after="0"/>
              <w:rPr>
                <w:sz w:val="1"/>
                <w:szCs w:val="1"/>
                <w:color w:val="auto"/>
              </w:rPr>
            </w:pP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2029</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23"/>
        </w:trPr>
        <w:tc>
          <w:tcPr>
            <w:tcW w:w="9460" w:type="dxa"/>
            <w:vAlign w:val="bottom"/>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21,971</w:t>
            </w:r>
          </w:p>
        </w:tc>
        <w:tc>
          <w:tcPr>
            <w:tcW w:w="0" w:type="dxa"/>
            <w:vAlign w:val="bottom"/>
          </w:tcPr>
          <w:p>
            <w:pPr>
              <w:spacing w:after="0"/>
              <w:rPr>
                <w:sz w:val="1"/>
                <w:szCs w:val="1"/>
                <w:color w:val="auto"/>
              </w:rPr>
            </w:pPr>
          </w:p>
        </w:tc>
      </w:tr>
      <w:tr>
        <w:trPr>
          <w:trHeight w:val="21"/>
        </w:trPr>
        <w:tc>
          <w:tcPr>
            <w:tcW w:w="9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Results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Fiscal Quarter Ended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Operating Income by Segment</w:t>
            </w:r>
          </w:p>
        </w:tc>
        <w:tc>
          <w:tcPr>
            <w:tcW w:w="100" w:type="dxa"/>
            <w:vAlign w:val="bottom"/>
            <w:vMerge w:val="restart"/>
          </w:tcPr>
          <w:p>
            <w:pPr>
              <w:spacing w:after="0"/>
              <w:rPr>
                <w:sz w:val="12"/>
                <w:szCs w:val="12"/>
                <w:color w:val="auto"/>
              </w:rPr>
            </w:pPr>
          </w:p>
        </w:tc>
        <w:tc>
          <w:tcPr>
            <w:tcW w:w="1100" w:type="dxa"/>
            <w:vAlign w:val="bottom"/>
            <w:gridSpan w:val="3"/>
          </w:tcPr>
          <w:p>
            <w:pPr>
              <w:ind w:left="120"/>
              <w:spacing w:after="0" w:line="143" w:lineRule="exact"/>
              <w:rPr>
                <w:sz w:val="20"/>
                <w:szCs w:val="20"/>
                <w:color w:val="auto"/>
              </w:rPr>
            </w:pPr>
            <w:r>
              <w:rPr>
                <w:rFonts w:ascii="Arial" w:cs="Arial" w:eastAsia="Arial" w:hAnsi="Arial"/>
                <w:sz w:val="14"/>
                <w:szCs w:val="14"/>
                <w:b w:val="1"/>
                <w:bCs w:val="1"/>
                <w:color w:val="auto"/>
              </w:rPr>
              <w:t>February 1,</w:t>
            </w:r>
          </w:p>
        </w:tc>
        <w:tc>
          <w:tcPr>
            <w:tcW w:w="1100" w:type="dxa"/>
            <w:vAlign w:val="bottom"/>
            <w:gridSpan w:val="3"/>
          </w:tcPr>
          <w:p>
            <w:pPr>
              <w:ind w:left="100"/>
              <w:spacing w:after="0" w:line="143" w:lineRule="exact"/>
              <w:rPr>
                <w:sz w:val="20"/>
                <w:szCs w:val="20"/>
                <w:color w:val="auto"/>
              </w:rPr>
            </w:pPr>
            <w:r>
              <w:rPr>
                <w:rFonts w:ascii="Arial" w:cs="Arial" w:eastAsia="Arial" w:hAnsi="Arial"/>
                <w:sz w:val="14"/>
                <w:szCs w:val="14"/>
                <w:b w:val="1"/>
                <w:bCs w:val="1"/>
                <w:color w:val="auto"/>
              </w:rPr>
              <w:t>February 2,</w:t>
            </w:r>
          </w:p>
        </w:tc>
        <w:tc>
          <w:tcPr>
            <w:tcW w:w="140" w:type="dxa"/>
            <w:vAlign w:val="bottom"/>
          </w:tcPr>
          <w:p>
            <w:pPr>
              <w:spacing w:after="0"/>
              <w:rPr>
                <w:sz w:val="12"/>
                <w:szCs w:val="12"/>
                <w:color w:val="auto"/>
              </w:rPr>
            </w:pPr>
          </w:p>
        </w:tc>
        <w:tc>
          <w:tcPr>
            <w:tcW w:w="8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c>
          <w:tcPr>
            <w:tcW w:w="11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6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4"/>
          </w:tcPr>
          <w:p>
            <w:pPr>
              <w:ind w:left="22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Semiconductor solutions</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rPr>
              <w:t>7,503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4,706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3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Infrastructure software</w:t>
            </w:r>
          </w:p>
        </w:tc>
        <w:tc>
          <w:tcPr>
            <w:tcW w:w="220" w:type="dxa"/>
            <w:vAlign w:val="bottom"/>
          </w:tcPr>
          <w:p>
            <w:pPr>
              <w:spacing w:after="0"/>
              <w:rPr>
                <w:sz w:val="19"/>
                <w:szCs w:val="19"/>
                <w:color w:val="auto"/>
              </w:rPr>
            </w:pPr>
          </w:p>
        </w:tc>
        <w:tc>
          <w:tcPr>
            <w:tcW w:w="780" w:type="dxa"/>
            <w:vAlign w:val="bottom"/>
          </w:tcPr>
          <w:p>
            <w:pPr>
              <w:jc w:val="center"/>
              <w:ind w:left="76"/>
              <w:spacing w:after="0"/>
              <w:rPr>
                <w:sz w:val="20"/>
                <w:szCs w:val="20"/>
                <w:color w:val="auto"/>
              </w:rPr>
            </w:pPr>
            <w:r>
              <w:rPr>
                <w:rFonts w:ascii="Arial" w:cs="Arial" w:eastAsia="Arial" w:hAnsi="Arial"/>
                <w:sz w:val="18"/>
                <w:szCs w:val="18"/>
                <w:color w:val="auto"/>
              </w:rPr>
              <w:t>5,323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5,122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Unallocated expenses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center"/>
              <w:ind w:left="56"/>
              <w:spacing w:after="0"/>
              <w:rPr>
                <w:sz w:val="20"/>
                <w:szCs w:val="20"/>
                <w:color w:val="auto"/>
              </w:rPr>
            </w:pPr>
            <w:r>
              <w:rPr>
                <w:rFonts w:ascii="Arial" w:cs="Arial" w:eastAsia="Arial" w:hAnsi="Arial"/>
                <w:sz w:val="18"/>
                <w:szCs w:val="18"/>
                <w:color w:val="auto"/>
                <w:w w:val="98"/>
              </w:rPr>
              <w:t>(4,263)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(3,568)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3"/>
        </w:trPr>
        <w:tc>
          <w:tcPr>
            <w:tcW w:w="6820" w:type="dxa"/>
            <w:vAlign w:val="bottom"/>
            <w:gridSpan w:val="2"/>
          </w:tcPr>
          <w:p>
            <w:pPr>
              <w:ind w:left="140"/>
              <w:spacing w:after="0"/>
              <w:rPr>
                <w:sz w:val="20"/>
                <w:szCs w:val="20"/>
                <w:color w:val="auto"/>
              </w:rPr>
            </w:pPr>
            <w:r>
              <w:rPr>
                <w:rFonts w:ascii="Arial" w:cs="Arial" w:eastAsia="Arial" w:hAnsi="Arial"/>
                <w:sz w:val="18"/>
                <w:szCs w:val="18"/>
                <w:color w:val="auto"/>
              </w:rPr>
              <w:t>Total operating income</w:t>
            </w: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center"/>
              <w:ind w:left="76"/>
              <w:spacing w:after="0"/>
              <w:rPr>
                <w:sz w:val="20"/>
                <w:szCs w:val="20"/>
                <w:color w:val="auto"/>
              </w:rPr>
            </w:pPr>
            <w:r>
              <w:rPr>
                <w:rFonts w:ascii="Arial" w:cs="Arial" w:eastAsia="Arial" w:hAnsi="Arial"/>
                <w:sz w:val="18"/>
                <w:szCs w:val="18"/>
                <w:color w:val="auto"/>
              </w:rPr>
              <w:t>8,563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6,260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180" w:firstLine="405"/>
        <w:spacing w:after="0" w:line="318" w:lineRule="auto"/>
        <w:rPr>
          <w:sz w:val="20"/>
          <w:szCs w:val="20"/>
          <w:color w:val="auto"/>
        </w:rPr>
      </w:pPr>
      <w:r>
        <w:rPr>
          <w:rFonts w:ascii="Arial" w:cs="Arial" w:eastAsia="Arial" w:hAnsi="Arial"/>
          <w:sz w:val="17"/>
          <w:szCs w:val="17"/>
          <w:color w:val="auto"/>
        </w:rPr>
        <w:t>Operating income from our semiconductor solutions segment increased for the fiscal quarter ended February 1, 2026 compared to the prior year fiscal period due to strong demand for our networking solutions, primarily custom AI accelerators and AI networking products.</w:t>
      </w:r>
    </w:p>
    <w:p>
      <w:pPr>
        <w:spacing w:after="0" w:line="22"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Unallocated expenses include stock-based compensation expense, amortization of acquisition-related intangible assets, restructuring and other charges, acquisition-related costs, and other costs, which are not used in evaluating the results of, or in allocating resources to, our segments. Unallocated expenses increased 19% for the fiscal quarter ended February 1, 2026 compared to the prior year fiscal period primarily due to higher stock-based compensation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and Expenses</w:t>
      </w:r>
    </w:p>
    <w:p>
      <w:pPr>
        <w:spacing w:after="0" w:line="115" w:lineRule="exact"/>
        <w:rPr>
          <w:sz w:val="20"/>
          <w:szCs w:val="20"/>
          <w:color w:val="auto"/>
        </w:rPr>
      </w:pPr>
    </w:p>
    <w:p>
      <w:pPr>
        <w:ind w:right="300" w:firstLine="405"/>
        <w:spacing w:after="0" w:line="28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$801 million and $873 million for the fiscal quarters ended February 1, 2026 and February 2,</w:t>
      </w:r>
      <w:r>
        <w:rPr>
          <w:rFonts w:ascii="Arial" w:cs="Arial" w:eastAsia="Arial" w:hAnsi="Arial"/>
          <w:sz w:val="18"/>
          <w:szCs w:val="18"/>
          <w:i w:val="1"/>
          <w:iCs w:val="1"/>
          <w:color w:val="auto"/>
        </w:rPr>
        <w:t xml:space="preserve"> </w:t>
      </w:r>
      <w:r>
        <w:rPr>
          <w:rFonts w:ascii="Arial" w:cs="Arial" w:eastAsia="Arial" w:hAnsi="Arial"/>
          <w:sz w:val="18"/>
          <w:szCs w:val="18"/>
          <w:color w:val="auto"/>
        </w:rPr>
        <w:t>2025, respectively. The decrease was primarily due to an overall reduction in outstanding debt balances and debt refinancing activities.</w:t>
      </w:r>
    </w:p>
    <w:p>
      <w:pPr>
        <w:spacing w:after="0" w:line="4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includes interest income, gains and losses on investments, foreign currency remeasurement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miscellaneous items. Other income, net, was $433 million and $103 million for the fiscal quarters ended February 1, 2026 and February 2, 2025, respectively. Other income, net included a $315 million gain from the reversal of excise tax charges on our acquisition of VMware, Inc. (“VMware”), as the final Inflation Reduction Act of 2022 regulations exempted purchases of common stock on acquisitions from excise tax. In addition, interest income increased as a result of higher invested balances.</w:t>
      </w:r>
    </w:p>
    <w:p>
      <w:pPr>
        <w:spacing w:after="0" w:line="71"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i w:val="1"/>
          <w:iCs w:val="1"/>
          <w:color w:val="auto"/>
        </w:rPr>
        <w:t xml:space="preserve">Provision for (benefit from) income taxes. </w:t>
      </w:r>
      <w:r>
        <w:rPr>
          <w:rFonts w:ascii="Arial" w:cs="Arial" w:eastAsia="Arial" w:hAnsi="Arial"/>
          <w:sz w:val="18"/>
          <w:szCs w:val="18"/>
          <w:color w:val="auto"/>
        </w:rPr>
        <w:t>The provision for income taxes was $846 million for the fiscal quarter ended February 1, 2026</w:t>
      </w:r>
      <w:r>
        <w:rPr>
          <w:rFonts w:ascii="Arial" w:cs="Arial" w:eastAsia="Arial" w:hAnsi="Arial"/>
          <w:sz w:val="18"/>
          <w:szCs w:val="18"/>
          <w:i w:val="1"/>
          <w:iCs w:val="1"/>
          <w:color w:val="auto"/>
        </w:rPr>
        <w:t xml:space="preserve"> </w:t>
      </w:r>
      <w:r>
        <w:rPr>
          <w:rFonts w:ascii="Arial" w:cs="Arial" w:eastAsia="Arial" w:hAnsi="Arial"/>
          <w:sz w:val="18"/>
          <w:szCs w:val="18"/>
          <w:color w:val="auto"/>
        </w:rPr>
        <w:t>and was primarily due to income before income taxes, partially offset by excess tax benefits from stock-based awards. The benefit from income taxes was $13 million for the fiscal quarter ended February 2, 2025 and was primarily due to excess tax benefits from stock-based awards, partially offset by income before income taxes and a shift in the jurisdictional location mix of revenue and expenses.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ind w:right="260" w:firstLine="405"/>
        <w:spacing w:after="0" w:line="268" w:lineRule="auto"/>
        <w:rPr>
          <w:sz w:val="20"/>
          <w:szCs w:val="20"/>
          <w:color w:val="auto"/>
        </w:rPr>
      </w:pPr>
      <w:r>
        <w:rPr>
          <w:rFonts w:ascii="Arial" w:cs="Arial" w:eastAsia="Arial" w:hAnsi="Arial"/>
          <w:sz w:val="18"/>
          <w:szCs w:val="18"/>
          <w:color w:val="auto"/>
        </w:rPr>
        <w:t>The following section discusses our principal liquidity and capital resources as well as our primary liquidity requirements and uses of cash. Our cash and cash equivalents are maintained in highly liquid investments with remaining maturities of 90 days or less at the time of purchase. We believe our cash equivalents are liquid and accessible.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Our primary sources of liquidity as of February 1, 2026 consisted of: (i) $14,174 million in cash and cash equivalents, (ii) cash we expect to generate from operations and (iii) available capacity under our $7.5 billion unsecured revolving credit facility. In addition, we may also generate cash from the sale of assets, and debt or equity financings from time to time.</w:t>
      </w:r>
    </w:p>
    <w:p>
      <w:pPr>
        <w:spacing w:after="0" w:line="63"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Our short-term and long-term liquidity requirements primarily arise from: (i) working capital requirements, (ii) research and development and capital expenditure needs, (iii) cash dividend payments (if and when declared by our Board of Directors), (iv) interest and principal payments related to our $67,970 million of outstanding indebtedness with $2,252 million principal amounts payable within 12 months, (v) payment of income taxes, (vi) discretionary stock repurchases, and (vii) business acquisitions and investments we may make from time to time.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w:t>
      </w:r>
    </w:p>
    <w:p>
      <w:pPr>
        <w:spacing w:after="0" w:line="75"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We believe that our cash and cash equivalents on hand, cash flows from operations and our revolving credit facility will provide sufficient liquidity to operate our business and fund our current obligations for at least the next 12 months. For additional information regarding our cash requirement from contractual obligations and indebtedness, see Note 10. “Commitments and Contingencies” and Note 6. “Borrowings” in Part I, Item 1 of this Form 10-Q.</w:t>
      </w:r>
    </w:p>
    <w:p>
      <w:pPr>
        <w:spacing w:after="0" w:line="68"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From time to time, we engage in discussions with third parties regarding potential acquisitions of, or investments in, businesses, technologies and product lines. Any such transaction, or evaluation of potential transactions, could require significant use of our cash and cash equivalents, or require us to increase our borrowings to fund such transactions. If we do not have sufficient cash to fund our operations or finance growth opportunities, including acquisitions, expansions of new business strategies and models, or unanticipated capital expenditures, our business and financial condition could suffer. In addition, we may agree to financial obligations, including guarantees, or increase our exposure to credit or customer default risks to support our strategic initiatives or other corporate purposes. In such circumstances, we may seek to obtain new debt or equity financing. However, we cannot assure you that such additional financing will be available on terms acceptable to us or at all. Our ability to service our outstanding indebtedness and any other indebtedness we may incur will depend on our ability to generate cash in the future. We may also elect to issue additional debt or equity securities for reasons other than those specified above. From time to time, we manage our indebtedness through financings, redemptions, repayments, exchanges, tender offers and other transactions. Such transactions will depend on prevailing market conditions, our liquidity requirements, the terms of indentures, contractual restrictions and other factors.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5" w:lineRule="exact"/>
        <w:rPr>
          <w:sz w:val="20"/>
          <w:szCs w:val="20"/>
          <w:color w:val="auto"/>
        </w:rPr>
      </w:pPr>
    </w:p>
    <w:p>
      <w:pPr>
        <w:ind w:right="40" w:firstLine="405"/>
        <w:spacing w:after="0" w:line="287" w:lineRule="auto"/>
        <w:rPr>
          <w:sz w:val="20"/>
          <w:szCs w:val="20"/>
          <w:color w:val="auto"/>
        </w:rPr>
      </w:pPr>
      <w:r>
        <w:rPr>
          <w:rFonts w:ascii="Arial" w:cs="Arial" w:eastAsia="Arial" w:hAnsi="Arial"/>
          <w:sz w:val="18"/>
          <w:szCs w:val="18"/>
          <w:color w:val="auto"/>
        </w:rPr>
        <w:t>Working capital increased to $15,203 million at February 1, 2026 from $13,059 million at November 2, 2025. The increase was primarily attributable to the following:</w:t>
      </w:r>
    </w:p>
    <w:p>
      <w:pPr>
        <w:spacing w:after="0" w:line="45" w:lineRule="exact"/>
        <w:rPr>
          <w:sz w:val="20"/>
          <w:szCs w:val="20"/>
          <w:color w:val="auto"/>
        </w:rPr>
      </w:pPr>
    </w:p>
    <w:p>
      <w:pPr>
        <w:ind w:left="660" w:right="320" w:hanging="247"/>
        <w:spacing w:after="0" w:line="287"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 accounts receivable, net increased to $8,460 million at February 1, 2026 from $7,145 million at November 2, 2025 primarily due to higher billings and the timing of collections.</w:t>
      </w:r>
    </w:p>
    <w:p>
      <w:pPr>
        <w:spacing w:after="0" w:line="44" w:lineRule="exact"/>
        <w:rPr>
          <w:rFonts w:ascii="Arial" w:cs="Arial" w:eastAsia="Arial" w:hAnsi="Arial"/>
          <w:sz w:val="18"/>
          <w:szCs w:val="18"/>
          <w:color w:val="auto"/>
        </w:rPr>
      </w:pPr>
    </w:p>
    <w:p>
      <w:pPr>
        <w:ind w:left="660" w:right="600" w:hanging="247"/>
        <w:spacing w:after="0" w:line="287"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 compensation and benefits decreased to $864 million at February 1, 2026 from $2,129 million at November 2, 2025 primarily due to annual employee bonus plan payments.</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increases in working capital were offset in part by the following:</w:t>
      </w:r>
    </w:p>
    <w:p>
      <w:pPr>
        <w:spacing w:after="0" w:line="117" w:lineRule="exact"/>
        <w:rPr>
          <w:sz w:val="20"/>
          <w:szCs w:val="20"/>
          <w:color w:val="auto"/>
        </w:rPr>
      </w:pPr>
    </w:p>
    <w:p>
      <w:pPr>
        <w:ind w:left="660" w:right="300" w:hanging="247"/>
        <w:spacing w:after="0" w:line="268" w:lineRule="auto"/>
        <w:tabs>
          <w:tab w:leader="none" w:pos="6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and cash equivalents decreased to $14,174 million at February 1, 2026 from $16,178 million at November 2, 2025, primarily due to $7,850 million of stock repurchases and $3,086 million of dividend payments, offset in part by $8,260 million in net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Returns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4"/>
                <w:szCs w:val="14"/>
                <w:b w:val="1"/>
                <w:bCs w:val="1"/>
                <w:color w:val="auto"/>
              </w:rPr>
              <w:t>Fiscal Quarter Ended</w:t>
            </w:r>
          </w:p>
        </w:tc>
        <w:tc>
          <w:tcPr>
            <w:tcW w:w="0" w:type="dxa"/>
            <w:vAlign w:val="bottom"/>
          </w:tcPr>
          <w:p>
            <w:pPr>
              <w:spacing w:after="0"/>
              <w:rPr>
                <w:sz w:val="1"/>
                <w:szCs w:val="1"/>
                <w:color w:val="auto"/>
              </w:rPr>
            </w:pPr>
          </w:p>
        </w:tc>
      </w:tr>
      <w:tr>
        <w:trPr>
          <w:trHeight w:val="147"/>
        </w:trPr>
        <w:tc>
          <w:tcPr>
            <w:tcW w:w="8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Cash Dividends Declared and Paid</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February 1,</w:t>
            </w:r>
          </w:p>
        </w:tc>
        <w:tc>
          <w:tcPr>
            <w:tcW w:w="220" w:type="dxa"/>
            <w:vAlign w:val="bottom"/>
          </w:tcPr>
          <w:p>
            <w:pPr>
              <w:spacing w:after="0"/>
              <w:rPr>
                <w:sz w:val="12"/>
                <w:szCs w:val="12"/>
                <w:color w:val="auto"/>
              </w:rPr>
            </w:pPr>
          </w:p>
        </w:tc>
        <w:tc>
          <w:tcPr>
            <w:tcW w:w="1220" w:type="dxa"/>
            <w:vAlign w:val="bottom"/>
          </w:tcPr>
          <w:p>
            <w:pPr>
              <w:jc w:val="right"/>
              <w:ind w:right="259"/>
              <w:spacing w:after="0" w:line="147" w:lineRule="exact"/>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85"/>
        </w:trPr>
        <w:tc>
          <w:tcPr>
            <w:tcW w:w="8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6"/>
        </w:trPr>
        <w:tc>
          <w:tcPr>
            <w:tcW w:w="8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rPr>
              <w:t>(In millions, except per share data)</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per share to common stockholders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3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Dividends to common stockholders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3,086</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auto"/>
        </w:rPr>
        <w:t>In April 2025, our Board of Directors authorized a stock repurchase program to repurchase up to $10 billion of our common stock through December 31, 2025, which was subsequently extended through December 31, 2026 and increased to $11 billion. During the fiscal quarter ended February 1, 2026, we repurchased and retired 23 million shares for $7,850 million. As of February 1, 2026, $700 million of the authorized amount remained available for repurchase under this program.</w:t>
      </w:r>
    </w:p>
    <w:p>
      <w:pPr>
        <w:spacing w:after="0" w:line="68" w:lineRule="exact"/>
        <w:rPr>
          <w:sz w:val="20"/>
          <w:szCs w:val="20"/>
          <w:color w:val="auto"/>
        </w:rPr>
      </w:pPr>
    </w:p>
    <w:p>
      <w:pPr>
        <w:ind w:right="80" w:firstLine="405"/>
        <w:spacing w:after="0" w:line="287" w:lineRule="auto"/>
        <w:rPr>
          <w:sz w:val="20"/>
          <w:szCs w:val="20"/>
          <w:color w:val="auto"/>
        </w:rPr>
      </w:pPr>
      <w:r>
        <w:rPr>
          <w:rFonts w:ascii="Arial" w:cs="Arial" w:eastAsia="Arial" w:hAnsi="Arial"/>
          <w:sz w:val="18"/>
          <w:szCs w:val="18"/>
          <w:color w:val="auto"/>
        </w:rPr>
        <w:t>Subsequent to the fiscal quarter ended February 1, 2026, our Board of Directors in March 2026 authorized a stock repurchase program to repurchase up to $10 billion of our common stock from time to time through December 31, 2026.</w:t>
      </w:r>
    </w:p>
    <w:p>
      <w:pPr>
        <w:spacing w:after="0" w:line="45"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auto"/>
        </w:rPr>
        <w:t>During the fiscal quarter ended February 2, 2025, we paid $2,036 million in employee withholding taxes due upon the vesting of net settled equity awards and withheld 8 million shares from employees in connection with such net share settlements. In the fiscal quarter ended February 1, 2026, we settled withholding taxes upon the vesting of employee equity awards using proceeds from the sale of a portion of the vested shares.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Fiscal Quarter Ended</w:t>
            </w:r>
          </w:p>
        </w:tc>
      </w:tr>
      <w:tr>
        <w:trPr>
          <w:trHeight w:val="143"/>
        </w:trPr>
        <w:tc>
          <w:tcPr>
            <w:tcW w:w="8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ind w:left="120"/>
              <w:spacing w:after="0" w:line="143" w:lineRule="exact"/>
              <w:rPr>
                <w:sz w:val="20"/>
                <w:szCs w:val="20"/>
                <w:color w:val="auto"/>
              </w:rPr>
            </w:pPr>
            <w:r>
              <w:rPr>
                <w:rFonts w:ascii="Arial" w:cs="Arial" w:eastAsia="Arial" w:hAnsi="Arial"/>
                <w:sz w:val="14"/>
                <w:szCs w:val="14"/>
                <w:b w:val="1"/>
                <w:bCs w:val="1"/>
                <w:color w:val="auto"/>
              </w:rPr>
              <w:t>February 1,</w:t>
            </w:r>
          </w:p>
        </w:tc>
        <w:tc>
          <w:tcPr>
            <w:tcW w:w="220" w:type="dxa"/>
            <w:vAlign w:val="bottom"/>
          </w:tcPr>
          <w:p>
            <w:pPr>
              <w:spacing w:after="0"/>
              <w:rPr>
                <w:sz w:val="12"/>
                <w:szCs w:val="12"/>
                <w:color w:val="auto"/>
              </w:rPr>
            </w:pPr>
          </w:p>
        </w:tc>
        <w:tc>
          <w:tcPr>
            <w:tcW w:w="1220" w:type="dxa"/>
            <w:vAlign w:val="bottom"/>
          </w:tcPr>
          <w:p>
            <w:pPr>
              <w:jc w:val="right"/>
              <w:ind w:right="256"/>
              <w:spacing w:after="0" w:line="143" w:lineRule="exact"/>
              <w:rPr>
                <w:sz w:val="20"/>
                <w:szCs w:val="20"/>
                <w:color w:val="auto"/>
              </w:rPr>
            </w:pPr>
            <w:r>
              <w:rPr>
                <w:rFonts w:ascii="Arial" w:cs="Arial" w:eastAsia="Arial" w:hAnsi="Arial"/>
                <w:sz w:val="14"/>
                <w:szCs w:val="14"/>
                <w:b w:val="1"/>
                <w:bCs w:val="1"/>
                <w:color w:val="auto"/>
              </w:rPr>
              <w:t>February 2,</w:t>
            </w:r>
          </w:p>
        </w:tc>
      </w:tr>
      <w:tr>
        <w:trPr>
          <w:trHeight w:val="189"/>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2025</w:t>
            </w:r>
          </w:p>
        </w:tc>
      </w:tr>
      <w:tr>
        <w:trPr>
          <w:trHeight w:val="235"/>
        </w:trPr>
        <w:tc>
          <w:tcPr>
            <w:tcW w:w="8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jc w:val="right"/>
              <w:ind w:right="1016"/>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(5,980)</w:t>
            </w: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Cash flows from operating activities consist of net income adjusted for certain non-cash and other items and changes in assets and liabilities. The $2,147 million increase in cash provided by operations during the fiscal quarter ended February 1, 2026 compared to the prior year fiscal period was primarily due to $1,846 million higher net income and $1,055 million higher non-cash adjustments including stock-based compensation and deferred taxes and other non-cash taxes, offset in part by $754 million from changes in operating assets and liabilities.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5" w:lineRule="exact"/>
        <w:rPr>
          <w:sz w:val="20"/>
          <w:szCs w:val="20"/>
          <w:color w:val="auto"/>
        </w:rPr>
      </w:pPr>
    </w:p>
    <w:p>
      <w:pPr>
        <w:ind w:right="300" w:firstLine="405"/>
        <w:spacing w:after="0" w:line="262" w:lineRule="auto"/>
        <w:rPr>
          <w:sz w:val="20"/>
          <w:szCs w:val="20"/>
          <w:color w:val="auto"/>
        </w:rPr>
      </w:pPr>
      <w:r>
        <w:rPr>
          <w:rFonts w:ascii="Arial" w:cs="Arial" w:eastAsia="Arial" w:hAnsi="Arial"/>
          <w:sz w:val="18"/>
          <w:szCs w:val="18"/>
          <w:color w:val="auto"/>
        </w:rPr>
        <w:t>Cash flows from investing activities primarily consist of capital expenditures and proceeds and payments related to investments. The cash flows from investing activities during the fiscal quarter ended February 1, 2026 was relatively flat compared to the prior year fiscal period as an increase in net proceeds from investments in the current year fiscal period was substantially offset by higher capital expenditures compared to the prior year fiscal period.</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Cash flows from financing activities primarily consist of proceeds and payments related to our borrowings, dividend payments, authorized stock repurchases, and employee withholding tax payments related to net settled equity awards. The $ 4,169 million increase in cash used in financing activities during the fiscal quarter ended February 1, 2026 compared to the prior year fiscal period was primarily due to stock repurchases in the current year fiscal period, offset in part by a decrease in employee withholding tax payments related to net settled equity awards and an increase in net proceeds from borrowings in the current year fiscal period compared to the prior year fiscal period.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right="220" w:firstLine="405"/>
        <w:spacing w:after="0" w:line="287" w:lineRule="auto"/>
        <w:rPr>
          <w:sz w:val="20"/>
          <w:szCs w:val="20"/>
          <w:color w:val="auto"/>
        </w:rPr>
      </w:pPr>
      <w:r>
        <w:rPr>
          <w:rFonts w:ascii="Arial" w:cs="Arial" w:eastAsia="Arial" w:hAnsi="Arial"/>
          <w:sz w:val="18"/>
          <w:szCs w:val="18"/>
          <w:color w:val="auto"/>
        </w:rPr>
        <w:t>There have been no material changes in market risks from the information presented in Part II, Item 7A. “Quantitative and Qualitative Disclosures About Market Risk,” in the 2025 Annual Report on Form 10-K, except as disclosed below.</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interest rates affect the fair value of our outstanding borrowings. As of February 1, 2026 and November 2, 2025, we had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$68.0 billion and $67.1 billion in principal amount of borrowings outstanding, and the estimated aggregate fair value of these borrowings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$65.7 billion and $64.6 billion, respectively. As of February 1, 2026 and November 2, 2025, a hypothetical 50 basis point change in market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rates would change the fair value of our borrowings by approximately $2.0 billion and $1.9 billion, respectively. However,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hypothetical change in interest rates would not impact the interest expense on our borrowings outstanding. To hedge variability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due to changes in the benchmark interest rate of anticipated future debt issuances, we have entered, and in the future may enter, into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treasury rate lock contracts.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right="140" w:firstLine="413"/>
        <w:spacing w:after="0" w:line="255" w:lineRule="auto"/>
        <w:tabs>
          <w:tab w:leader="none" w:pos="67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(“CEO”)</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Financial Officer (“CFO”), evaluated the effectiveness of our disclosure controls and procedures as of February 1, 2026. We maintain disclosure controls and procedures that are designed to ensure that information required to be disclosed in our filings under the Securities Exchange Act of 1934, as amended (the “Exchange Act”) is properly and timely recorded, processed, summarized and reported. These disclosure controls and procedures are also intended to ensure that information is accumulated and communicated to our management, including our CEO and CFO, as appropriate, to allow timely decisions regarding required disclosures. Based on this evaluation, our CEO and CFO concluded that, as of February 1, 2026, our disclosure controls and procedures were effective at the reasonable assurance level.</w:t>
      </w:r>
    </w:p>
    <w:p>
      <w:pPr>
        <w:spacing w:after="0" w:line="77" w:lineRule="exact"/>
        <w:rPr>
          <w:sz w:val="20"/>
          <w:szCs w:val="20"/>
          <w:color w:val="auto"/>
        </w:rPr>
      </w:pPr>
    </w:p>
    <w:p>
      <w:pPr>
        <w:jc w:val="both"/>
        <w:ind w:right="80" w:firstLine="405"/>
        <w:spacing w:after="0" w:line="268" w:lineRule="auto"/>
        <w:rPr>
          <w:sz w:val="20"/>
          <w:szCs w:val="20"/>
          <w:color w:val="auto"/>
        </w:rPr>
      </w:pPr>
      <w:r>
        <w:rPr>
          <w:rFonts w:ascii="Arial" w:cs="Arial" w:eastAsia="Arial" w:hAnsi="Arial"/>
          <w:sz w:val="18"/>
          <w:szCs w:val="18"/>
          <w:color w:val="auto"/>
        </w:rPr>
        <w:t>In designing and evaluating our disclosure controls and procedures,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63" w:lineRule="exact"/>
        <w:rPr>
          <w:sz w:val="20"/>
          <w:szCs w:val="20"/>
          <w:color w:val="auto"/>
        </w:rPr>
      </w:pPr>
    </w:p>
    <w:p>
      <w:pPr>
        <w:ind w:firstLine="413"/>
        <w:spacing w:after="0" w:line="268" w:lineRule="auto"/>
        <w:tabs>
          <w:tab w:leader="none" w:pos="67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was no change in our internal control over financial reporting identified</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the evaluation required by Rules 13a-15(d) and 15d-15(d) of the Exchange Act that occurred during the period covered by this report that has materially affected, or is reasonably likely to materially affect, our internal control over financial reporting.</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right="40" w:firstLine="405"/>
        <w:spacing w:after="0" w:line="287" w:lineRule="auto"/>
        <w:rPr>
          <w:sz w:val="20"/>
          <w:szCs w:val="20"/>
          <w:color w:val="auto"/>
        </w:rPr>
      </w:pPr>
      <w:r>
        <w:rPr>
          <w:rFonts w:ascii="Arial" w:cs="Arial" w:eastAsia="Arial" w:hAnsi="Arial"/>
          <w:sz w:val="18"/>
          <w:szCs w:val="18"/>
          <w:color w:val="auto"/>
        </w:rPr>
        <w:t>The information set forth under Note 10. “Commitments and Contingencies” included in Part I, Item 1 of this Form 10-Q, is incorporated herein by reference. For additional discussion of certain risks associated with legal proceedings, see “Risk Factors” immediately below.</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business, operations and financial results are subject to various risks and uncertainties, including those described below, that could adversely affect our business, financial condition, results of operations, cash flows, and the trading price of our common stock. The following material factors, among others, could cause our actual results to differ materially from historical results and those expressed in forward-looking statements made by us or on our behalf in filings with the SEC, press releases, communications with investors and oral statements. Additional risks, trends and uncertainties not presently known to us or that we currently believe are immaterial may also harm our business, financial condition, results of operations, cash flows, our reputation or the trading price of our common stock.</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material risks that could adversely affect our business, operations and financial results.</w:t>
      </w:r>
    </w:p>
    <w:p>
      <w:pPr>
        <w:spacing w:after="0" w:line="11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61"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global economic conditions could have a negative effect on us.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is subject to various governmental regulations and trade restrictions.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Global political and economic conditions and other factors related to our international operations could adversely affect 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operate in a highly cyclical semiconductor industry that is undergoing profound change due to AI.</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significant reduction in demand or loss of one or more of our significant customers may adversely affect us.</w:t>
      </w:r>
    </w:p>
    <w:p>
      <w:pPr>
        <w:spacing w:after="0" w:line="63" w:lineRule="exact"/>
        <w:rPr>
          <w:rFonts w:ascii="Arial" w:cs="Arial" w:eastAsia="Arial" w:hAnsi="Arial"/>
          <w:sz w:val="18"/>
          <w:szCs w:val="18"/>
          <w:color w:val="auto"/>
        </w:rPr>
      </w:pPr>
    </w:p>
    <w:p>
      <w:pPr>
        <w:ind w:left="660" w:right="160" w:hanging="328"/>
        <w:spacing w:after="0" w:line="281"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slow or the unsuccessful return on our investments in research and development, expansion of our business strategy or adoption of new business models could adversely affect us.</w:t>
      </w:r>
    </w:p>
    <w:p>
      <w:pPr>
        <w:spacing w:after="0" w:line="1" w:lineRule="exact"/>
        <w:rPr>
          <w:rFonts w:ascii="Arial" w:cs="Arial" w:eastAsia="Arial" w:hAnsi="Arial"/>
          <w:sz w:val="18"/>
          <w:szCs w:val="18"/>
          <w:color w:val="auto"/>
        </w:rPr>
      </w:pPr>
    </w:p>
    <w:p>
      <w:pPr>
        <w:ind w:left="660" w:right="240" w:hanging="328"/>
        <w:spacing w:after="0" w:line="268"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Dependence on a limited number of contract manufacturers and suppliers of critical materials, including components, within our supply chain, and potential failure to adjust such manufacturing and supply chain to meet customer demand, may adversely affect our ability to bring products to market and our results of operations.</w:t>
      </w:r>
    </w:p>
    <w:p>
      <w:pPr>
        <w:spacing w:after="0" w:line="8" w:lineRule="exact"/>
        <w:rPr>
          <w:rFonts w:ascii="Arial" w:cs="Arial" w:eastAsia="Arial" w:hAnsi="Arial"/>
          <w:sz w:val="18"/>
          <w:szCs w:val="18"/>
          <w:color w:val="auto"/>
        </w:rPr>
      </w:pPr>
    </w:p>
    <w:p>
      <w:pPr>
        <w:ind w:left="660" w:right="440" w:hanging="328"/>
        <w:spacing w:after="0" w:line="268"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Winning business in the semiconductor solutions industry is an unpredictable process that often requires us to incur significant expenses, evolve our business strategy or adopt a new business model, which may negatively impact our results of operations, gross margin or cash flows.</w:t>
      </w:r>
    </w:p>
    <w:p>
      <w:pPr>
        <w:spacing w:after="0" w:line="8" w:lineRule="exact"/>
        <w:rPr>
          <w:rFonts w:ascii="Arial" w:cs="Arial" w:eastAsia="Arial" w:hAnsi="Arial"/>
          <w:sz w:val="18"/>
          <w:szCs w:val="18"/>
          <w:color w:val="auto"/>
        </w:rPr>
      </w:pPr>
    </w:p>
    <w:p>
      <w:pPr>
        <w:ind w:left="660" w:right="520" w:hanging="328"/>
        <w:spacing w:after="0" w:line="281"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dependent on senior management and if we are unable to attract and retain qualified personnel, we may not be able to execute our business strategy effectively.</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or improve gross margin.</w:t>
      </w:r>
    </w:p>
    <w:p>
      <w:pPr>
        <w:spacing w:after="0" w:line="63" w:lineRule="exact"/>
        <w:rPr>
          <w:rFonts w:ascii="Arial" w:cs="Arial" w:eastAsia="Arial" w:hAnsi="Arial"/>
          <w:sz w:val="18"/>
          <w:szCs w:val="18"/>
          <w:color w:val="auto"/>
        </w:rPr>
      </w:pPr>
    </w:p>
    <w:p>
      <w:pPr>
        <w:ind w:left="660" w:hanging="328"/>
        <w:spacing w:after="0" w:line="268"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Cybersecurity threats or other security breaches, or any other impairment of the confidentiality, integrity or availability of our information technology (“IT”) systems, or those of one or more of our corporate infrastructure vendors, could have a material adverse effect on our business.</w:t>
      </w:r>
    </w:p>
    <w:p>
      <w:pPr>
        <w:spacing w:after="0" w:line="8" w:lineRule="exact"/>
        <w:rPr>
          <w:rFonts w:ascii="Arial" w:cs="Arial" w:eastAsia="Arial" w:hAnsi="Arial"/>
          <w:sz w:val="18"/>
          <w:szCs w:val="18"/>
          <w:color w:val="auto"/>
        </w:rPr>
      </w:pPr>
    </w:p>
    <w:p>
      <w:pPr>
        <w:ind w:left="660" w:right="260" w:hanging="328"/>
        <w:spacing w:after="0" w:line="281"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prolonged disruption of our or our customers’ or suppliers’ facilities or other significant operations could have a material adverse effect on us.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maintain appropriate manufacturing capacity or product yields at our own manufacturing facilities.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risks associated with our distributors and other channel partners.</w:t>
      </w:r>
    </w:p>
    <w:p>
      <w:pPr>
        <w:spacing w:after="0" w:line="63" w:lineRule="exact"/>
        <w:rPr>
          <w:rFonts w:ascii="Arial" w:cs="Arial" w:eastAsia="Arial" w:hAnsi="Arial"/>
          <w:sz w:val="18"/>
          <w:szCs w:val="18"/>
          <w:color w:val="auto"/>
        </w:rPr>
      </w:pPr>
    </w:p>
    <w:p>
      <w:pPr>
        <w:ind w:left="660" w:right="220" w:hanging="328"/>
        <w:spacing w:after="0" w:line="281"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our software portfolio to manage and secure IT infrastructures and environments and our use of open source software in certain software and services could have a material adverse effect on our business.</w:t>
      </w:r>
    </w:p>
    <w:p>
      <w:pPr>
        <w:spacing w:after="0" w:line="1" w:lineRule="exact"/>
        <w:rPr>
          <w:rFonts w:ascii="Arial" w:cs="Arial" w:eastAsia="Arial" w:hAnsi="Arial"/>
          <w:sz w:val="18"/>
          <w:szCs w:val="18"/>
          <w:color w:val="auto"/>
        </w:rPr>
      </w:pPr>
    </w:p>
    <w:p>
      <w:pPr>
        <w:ind w:left="660" w:right="80" w:hanging="328"/>
        <w:spacing w:after="0" w:line="281"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growth of our software business depends on demand for our data center virtualization portfolio, as well as customer acceptance of our software, services and business strategy.</w:t>
      </w:r>
    </w:p>
    <w:p>
      <w:pPr>
        <w:spacing w:after="0" w:line="1" w:lineRule="exact"/>
        <w:rPr>
          <w:rFonts w:ascii="Arial" w:cs="Arial" w:eastAsia="Arial" w:hAnsi="Arial"/>
          <w:sz w:val="18"/>
          <w:szCs w:val="18"/>
          <w:color w:val="auto"/>
        </w:rPr>
      </w:pPr>
    </w:p>
    <w:p>
      <w:pPr>
        <w:ind w:left="660" w:right="240" w:hanging="328"/>
        <w:spacing w:after="0" w:line="281"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our software does not successfully address market trends and competitive developments, demand for our software and services could decrease and materially adversely affect us.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enter into software license agreements on a satisfactory basis could adversely affect us.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sales to government customers subject us to uncertainties and additional governmental regulations.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effectively manage our software solutions and services lifecycles could harm our business.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in our industries could prevent us from growing our revenue.</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operating results are subject to substantial quarterly and annual fluctuations.</w:t>
      </w:r>
    </w:p>
    <w:p>
      <w:pPr>
        <w:spacing w:after="0" w:line="63" w:lineRule="exact"/>
        <w:rPr>
          <w:rFonts w:ascii="Arial" w:cs="Arial" w:eastAsia="Arial" w:hAnsi="Arial"/>
          <w:sz w:val="18"/>
          <w:szCs w:val="18"/>
          <w:color w:val="auto"/>
        </w:rPr>
      </w:pPr>
    </w:p>
    <w:p>
      <w:pPr>
        <w:ind w:left="660" w:right="360" w:hanging="328"/>
        <w:spacing w:after="0" w:line="281"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pursued, and may in the future pursue, mergers, acquisitions, investments, joint ventures and dispositions, which could adversely affect our results of operations.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involved in legal proceedings that could materially adversely affect our business.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protect the IP utilized in our business could adversely affect our business.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warranty claims, product recalls and product liability.</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complexity of our products could result in unforeseen delays or expense or undetected defects or bugs.</w:t>
      </w:r>
    </w:p>
    <w:p>
      <w:pPr>
        <w:spacing w:after="0" w:line="63" w:lineRule="exact"/>
        <w:rPr>
          <w:rFonts w:ascii="Arial" w:cs="Arial" w:eastAsia="Arial" w:hAnsi="Arial"/>
          <w:sz w:val="18"/>
          <w:szCs w:val="18"/>
          <w:color w:val="auto"/>
        </w:rPr>
      </w:pPr>
    </w:p>
    <w:p>
      <w:pPr>
        <w:ind w:left="660" w:right="320" w:hanging="328"/>
        <w:spacing w:after="0" w:line="281"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privacy and data security laws and contractual commitments, and our actual or perceived failure to comply with such laws and commitments could harm our business.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Corporate responsibility matters may adversely affect our relationships with customers and investors and increase compliance costs.</w:t>
      </w:r>
    </w:p>
    <w:p>
      <w:pPr>
        <w:spacing w:after="0" w:line="63" w:lineRule="exact"/>
        <w:rPr>
          <w:rFonts w:ascii="Arial" w:cs="Arial" w:eastAsia="Arial" w:hAnsi="Arial"/>
          <w:sz w:val="18"/>
          <w:szCs w:val="18"/>
          <w:color w:val="auto"/>
        </w:rPr>
      </w:pPr>
    </w:p>
    <w:p>
      <w:pPr>
        <w:ind w:left="660" w:right="560" w:hanging="328"/>
        <w:spacing w:after="0" w:line="287"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must comply with a variety of technical standards, domestic and international laws and regulations in the manufacture and distribution of our semiconductors.</w:t>
      </w:r>
    </w:p>
    <w:p>
      <w:pPr>
        <w:spacing w:after="0" w:line="4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Risks Related to Our Taxes</w:t>
      </w:r>
    </w:p>
    <w:p>
      <w:pPr>
        <w:spacing w:after="0" w:line="61" w:lineRule="exact"/>
        <w:rPr>
          <w:sz w:val="20"/>
          <w:szCs w:val="20"/>
          <w:color w:val="auto"/>
        </w:rPr>
      </w:pPr>
    </w:p>
    <w:p>
      <w:pPr>
        <w:ind w:left="660" w:right="320" w:hanging="328"/>
        <w:spacing w:after="0" w:line="281"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income taxes and overall cash tax costs are affected by a number of factors that could have a material, adverse effect on our financial results.</w:t>
      </w:r>
    </w:p>
    <w:p>
      <w:pPr>
        <w:spacing w:after="0" w:line="1" w:lineRule="exact"/>
        <w:rPr>
          <w:rFonts w:ascii="Arial" w:cs="Arial" w:eastAsia="Arial" w:hAnsi="Arial"/>
          <w:sz w:val="18"/>
          <w:szCs w:val="18"/>
          <w:color w:val="auto"/>
        </w:rPr>
      </w:pPr>
    </w:p>
    <w:p>
      <w:pPr>
        <w:ind w:left="660" w:right="400" w:hanging="328"/>
        <w:spacing w:after="0" w:line="287"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our tax incentives or tax holiday arrangements change or cease to be in effect or applicable, our corporate income taxes could significantly increase.</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right="180" w:hanging="328"/>
        <w:spacing w:after="0" w:line="287" w:lineRule="auto"/>
        <w:tabs>
          <w:tab w:leader="none" w:pos="6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potential tax liabilities as a result of VMware’s former controlling ownership by Dell, which could have an adverse effect on our financial condition and operating results.</w:t>
      </w:r>
    </w:p>
    <w:p>
      <w:pPr>
        <w:spacing w:after="0" w:line="4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Risks Related to Our Indebtedness</w:t>
      </w:r>
    </w:p>
    <w:p>
      <w:pPr>
        <w:spacing w:after="0" w:line="61" w:lineRule="exact"/>
        <w:rPr>
          <w:sz w:val="20"/>
          <w:szCs w:val="20"/>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substantial indebtedness could adversely affect our financial health and our ability to execute our business strategy.</w:t>
      </w:r>
    </w:p>
    <w:p>
      <w:pPr>
        <w:spacing w:after="0" w:line="11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Risks Related to Owning Our Common Stock</w:t>
      </w:r>
    </w:p>
    <w:p>
      <w:pPr>
        <w:spacing w:after="0" w:line="61" w:lineRule="exact"/>
        <w:rPr>
          <w:sz w:val="20"/>
          <w:szCs w:val="20"/>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stock price may be volatile and your investment could lose value.</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and frequency of our stock repurchases may fluctuate.</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can be no assurance that we will continue to declare cash dividends.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a more complete discussion of the material risks facing our business, see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9" w:lineRule="exact"/>
        <w:rPr>
          <w:sz w:val="20"/>
          <w:szCs w:val="20"/>
          <w:color w:val="auto"/>
        </w:rPr>
      </w:pPr>
    </w:p>
    <w:p>
      <w:pPr>
        <w:ind w:right="240" w:firstLine="81"/>
        <w:spacing w:after="0" w:line="294" w:lineRule="auto"/>
        <w:rPr>
          <w:sz w:val="20"/>
          <w:szCs w:val="20"/>
          <w:color w:val="auto"/>
        </w:rPr>
      </w:pPr>
      <w:r>
        <w:rPr>
          <w:rFonts w:ascii="Arial" w:cs="Arial" w:eastAsia="Arial" w:hAnsi="Arial"/>
          <w:sz w:val="18"/>
          <w:szCs w:val="18"/>
          <w:b w:val="1"/>
          <w:bCs w:val="1"/>
          <w:i w:val="1"/>
          <w:iCs w:val="1"/>
          <w:color w:val="auto"/>
        </w:rPr>
        <w:t>Adverse global economic conditions could have a negative effect on our business, results of operations and financial condition and liquidity.</w:t>
      </w:r>
    </w:p>
    <w:p>
      <w:pPr>
        <w:spacing w:after="0" w:line="3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 general weakening of the economy globally or in a particular region or industry, uncertainty and volatility in financial markets, efforts of governments to stimulate or stabilize the economy or to achieve specific policy objectives such as onshoring of semiconductor manufacturing and other unfavorable changes in economic conditions, such as inflation, higher interest rates, tightening of the credit markets, recession or slowing growth, as well as an increase in geopolitical conflicts, trade tensions and related tariffs with U.S. trading partners, could negatively impact our business, financial condition, cash flows and liquidity. Adverse global economic conditions have from time to time caused or exacerbated significant slowdowns in the industries and markets in which we operate, which have adversely affected our business and results of operations. Macroeconomic weakness and uncertainty may also make it more difficult to accurately forecast operating results, and market volatility stemming from current macroeconomic events may materially impact our cash flow and our ability to raise or refinance debt at favorable rates. An escalation of trade tensions between the U.S. and its trading partners may continue to result in trade restrictions and increased protectionism on both ends that harm our ability to participate in some markets or compete effectively.</w:t>
      </w:r>
    </w:p>
    <w:p>
      <w:pPr>
        <w:spacing w:after="0" w:line="77"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Sustained uncertainty about, or worsening of, current global economic conditions, further tariffs and escalations of trade tensions between the U.S. and its trading partners, especially China, increased geopolitical volatility and conflicts, such as in the Middle East, and the decoupling of the global economies could result in a global economic slowdown and long-term changes to global trade. Such events may also (i) cause our customers and end-users to reduce, delay or forgo technology spending, (ii) result in customers sourcing products from other suppliers not subject to such restrictions or tariffs or to develop these products themselves, (iii) lead to the insolvency or consolidation of key suppliers and customers, and (iv) intensify pricing pressures. Any or all of these factors could negatively affect demand for our products and our business, financial condition and results of operations.</w:t>
      </w:r>
    </w:p>
    <w:p>
      <w:pPr>
        <w:spacing w:after="0" w:line="77" w:lineRule="exact"/>
        <w:rPr>
          <w:sz w:val="20"/>
          <w:szCs w:val="20"/>
          <w:color w:val="auto"/>
        </w:rPr>
      </w:pPr>
    </w:p>
    <w:p>
      <w:pPr>
        <w:ind w:firstLine="81"/>
        <w:spacing w:after="0" w:line="294" w:lineRule="auto"/>
        <w:rPr>
          <w:sz w:val="20"/>
          <w:szCs w:val="20"/>
          <w:color w:val="auto"/>
        </w:rPr>
      </w:pPr>
      <w:r>
        <w:rPr>
          <w:rFonts w:ascii="Arial" w:cs="Arial" w:eastAsia="Arial" w:hAnsi="Arial"/>
          <w:sz w:val="18"/>
          <w:szCs w:val="18"/>
          <w:b w:val="1"/>
          <w:bCs w:val="1"/>
          <w:i w:val="1"/>
          <w:iCs w:val="1"/>
          <w:color w:val="auto"/>
        </w:rPr>
        <w:t>Our business is subject to various governmental regulations. Compliance with these regulations may cause us to incur significant expense and failure to maintain compliance with applicable regulations could adversely affect our business.</w:t>
      </w:r>
    </w:p>
    <w:p>
      <w:pPr>
        <w:spacing w:after="0" w:line="3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business is subject to various domestic and international laws and other legal requirements, including antitrust and import/export regulations, such as the U.S. Export Administration Regulations, and applicable executive orders. These laws, regulations, orders, tariffs, federal policies and other governmental actions are complex, continue to evolve and change frequently with limited notice and generally become more stringent over time. We may be required to incur significant expenses to comply with these legal requirements or respond to governmental actions. In addition, if our suppliers or customers fail or choose not to comply with these legal requirements or governmental actions, we may be required to suspend purchasing from such suppliers or selling to such customers, which could damage our reputation and have a material adverse impact on our results of operations. The U.S. government continues to add companies to its restricted entity list and/or technologies to its list of prohibited exports to specific countries and impose other restrictions or requirements, which have had and may in the future have an adverse effect on our revenue, supply chain and our ability to manufacture or sell our products. These restrictive governmental actions and any similar measures that may be imposed on U.S. companies by other governments, especially in light of ongoing trade tensions with U.S. trading partners, will likely limit or prevent us from doing business with certain of our customers or suppliers and harm our ability to compete effectively or otherwise negatively affect our ability to sell our products and services. Furthermore, foreign government authorities have proposed and may take retaliatory actions, impose conditions for the supply of products or require the license or other transfer of IP, which could have a material adverse effect on our business. Uncertainty due to such evolving policies or actions also may disrupt our supply chain and if we are unable to effectively mitigate any adverse impacts from such measures, this could adversely affect our business, financial condition and results of operations.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products and operations are also subject to regulation by U.S. and non-U.S. regulatory agencies, such as the U.S. Federal Trade Commission. We have been, and may in the future be, involved or required to participate in regulatory investigations or inquiries from regulatory authorities in Korea, Japan and the European Union into certain of our contracting and business practices, which have and may in the future evolve into legal or other administrative proceedings. The technology industry is subject to intense media, political and regulatory scrutiny, which can increase our exposure to government investigations, regulations, legal actions and penalties. Involvement in regulatory investigations or inquiries can be costly, lengthy, complex and time-consuming, diverting the attention and energies of our management and technical personnel. If any pending or future governmental investigations result in an unfavorable resolution, we could be required to cease the manufacture and sale of the subject products or technology, pay fines or disgorge profits or other payments, and/or cease certain conduct and/or modify our contracting or business practices, which could have a material adverse effect on our business, financial condition and results of operations.</w:t>
      </w:r>
    </w:p>
    <w:p>
      <w:pPr>
        <w:spacing w:after="0" w:line="79" w:lineRule="exact"/>
        <w:rPr>
          <w:sz w:val="20"/>
          <w:szCs w:val="20"/>
          <w:color w:val="auto"/>
        </w:rPr>
      </w:pPr>
    </w:p>
    <w:p>
      <w:pPr>
        <w:ind w:right="540" w:firstLine="81"/>
        <w:spacing w:after="0" w:line="294" w:lineRule="auto"/>
        <w:rPr>
          <w:sz w:val="20"/>
          <w:szCs w:val="20"/>
          <w:color w:val="auto"/>
        </w:rPr>
      </w:pPr>
      <w:r>
        <w:rPr>
          <w:rFonts w:ascii="Arial" w:cs="Arial" w:eastAsia="Arial" w:hAnsi="Arial"/>
          <w:sz w:val="18"/>
          <w:szCs w:val="18"/>
          <w:b w:val="1"/>
          <w:bCs w:val="1"/>
          <w:i w:val="1"/>
          <w:iCs w:val="1"/>
          <w:color w:val="auto"/>
        </w:rPr>
        <w:t>Global political and economic conditions and other factors related to our international operations could adversely affect our business, financial condition and results of operations.</w:t>
      </w:r>
    </w:p>
    <w:p>
      <w:pPr>
        <w:spacing w:after="0" w:line="31" w:lineRule="exact"/>
        <w:rPr>
          <w:sz w:val="20"/>
          <w:szCs w:val="20"/>
          <w:color w:val="auto"/>
        </w:rPr>
      </w:pPr>
    </w:p>
    <w:p>
      <w:pPr>
        <w:ind w:right="80" w:firstLine="324"/>
        <w:spacing w:after="0" w:line="291" w:lineRule="auto"/>
        <w:rPr>
          <w:sz w:val="20"/>
          <w:szCs w:val="20"/>
          <w:color w:val="auto"/>
        </w:rPr>
      </w:pPr>
      <w:r>
        <w:rPr>
          <w:rFonts w:ascii="Arial" w:cs="Arial" w:eastAsia="Arial" w:hAnsi="Arial"/>
          <w:sz w:val="17"/>
          <w:szCs w:val="17"/>
          <w:color w:val="auto"/>
        </w:rPr>
        <w:t>A majority of our products are produced, sourced and sold internationally and our international revenue represents a significant percentage of our overall revenue. Multiple factors relating to our international operations and to particular countries in which we or our customers operate could have a material adverse effect on our business, financial condition and results of operations. These factors include:</w:t>
      </w:r>
    </w:p>
    <w:p>
      <w:pPr>
        <w:spacing w:after="0" w:line="45" w:lineRule="exact"/>
        <w:rPr>
          <w:sz w:val="20"/>
          <w:szCs w:val="20"/>
          <w:color w:val="auto"/>
        </w:rPr>
      </w:pPr>
    </w:p>
    <w:p>
      <w:pPr>
        <w:ind w:left="660" w:right="440" w:hanging="328"/>
        <w:spacing w:after="0" w:line="268" w:lineRule="auto"/>
        <w:tabs>
          <w:tab w:leader="none" w:pos="6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political, regulatory, legal or economic conditions, geopolitical turmoil or conflict (including China-Taiwan relations), including terrorism, war or political or military coups, state-sponsored or politically motivated cyber-attacks, civil disturbances, or political instability (foreign and domestic);</w:t>
      </w:r>
    </w:p>
    <w:p>
      <w:pPr>
        <w:spacing w:after="0" w:line="62" w:lineRule="exact"/>
        <w:rPr>
          <w:rFonts w:ascii="Arial" w:cs="Arial" w:eastAsia="Arial" w:hAnsi="Arial"/>
          <w:sz w:val="18"/>
          <w:szCs w:val="18"/>
          <w:color w:val="auto"/>
        </w:rPr>
      </w:pPr>
    </w:p>
    <w:p>
      <w:pPr>
        <w:ind w:left="660" w:right="220" w:hanging="328"/>
        <w:spacing w:after="0" w:line="262" w:lineRule="auto"/>
        <w:tabs>
          <w:tab w:leader="none" w:pos="6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restrictive or retaliatory governmental actions, such as restrictions on the transfer or repatriation of funds and foreign investments, data privacy, AI and sustainability-related regulations, trade protection measures, including increasing protectionism and economic nationalism, import/export restrictions (including with regards to advanced technologies), import/export duties and quotas, trade sanctions, and customs duties and tariffs, all of which have increased and may further increase;</w:t>
      </w:r>
    </w:p>
    <w:p>
      <w:pPr>
        <w:spacing w:after="0" w:line="68"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global tax regulations;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obtaining product distribution and support, and transportation delays;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inability to localize our software;</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enforcing contracts, collecting accounts receivables and maintaining appropriate financial controls;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conducting due diligence with respect to business partners;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 health or safety concerns, medical epidemics or pandemics, and other natural- or man-made disasters;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nationalization of businesses and expropriation of assets.</w:t>
      </w:r>
    </w:p>
    <w:p>
      <w:pPr>
        <w:spacing w:after="0" w:line="11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While U.S. tariffs and counter-tariffs, including semiconductor-related tariffs, have not had a material impact on our financial condition or results of operations, tariffs and other macroeconomic factors could materially increase costs and disrupt our supply chain. We continuously manage product availability and costs in our supply chain to mitigate the direct and indirect impact of tariffs and other macroeconomic impacts. The ultimate impact remains uncertain and will depend on several factors outside of our control. If we are unable to effectively navigate these changes, it could have a material adverse effect on our business, operating results and stock price.</w:t>
      </w:r>
    </w:p>
    <w:p>
      <w:pPr>
        <w:spacing w:after="0" w:line="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 significant legal risk associated with conducting business internationally is compliance with the various and differing laws and regulations of the many countries in which we do business. Although our policies and procedures prohibit us, our employees and our agents from engaging in unethical business practices and are designed to satisfy regulatory requirements, there can be no assurance that all of these measures will be effective in preventing violations or claims of violations. Any such violation or perceived violation could have a material adverse effect on our business.</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We operate in a highly cyclical semiconductor industry that is undergoing profound change due to AI.</w:t>
      </w:r>
    </w:p>
    <w:p>
      <w:pPr>
        <w:spacing w:after="0" w:line="115"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 semiconductor industry is highly cyclical and is subject to rapid price increase or erosion, wide fluctuations in product supply and demand, constant and rapid technological change and evolving technical standards and product applications. The semiconductor industry is undergoing profound change due to the adoption and proliferation of AI and has experienced a significant upturn, which may not be sustainable. The growth of AI is creating pressure on the semiconductor industry to timely design, manufacture and deliver semiconductor products and solutions to meet customer demand for computing power and AI infrastructure. Some of these AI customers may have constrained resources or capital and may be unable to pay for their required AI infrastructure and/or seek alternative financings or novel or deferred payment models from their vendors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and suppliers, which could result in credit or customer default risks and negatively impact our business, financial condition or results of operations. If our AI customers substantially reduce their expansion plans, cancel, reduce or delay their orders, are unable to generate the profit required to offset their spending or are otherwise unable to meet their obligations and we cannot offset the downturn in their business, it could have a material adverse effect on our business, operating results, financial condition and stock price.</w:t>
      </w:r>
    </w:p>
    <w:p>
      <w:pPr>
        <w:spacing w:after="0" w:line="70" w:lineRule="exact"/>
        <w:rPr>
          <w:sz w:val="20"/>
          <w:szCs w:val="20"/>
          <w:color w:val="auto"/>
        </w:rPr>
      </w:pPr>
    </w:p>
    <w:p>
      <w:pPr>
        <w:ind w:right="480" w:firstLine="81"/>
        <w:spacing w:after="0" w:line="294" w:lineRule="auto"/>
        <w:rPr>
          <w:sz w:val="20"/>
          <w:szCs w:val="20"/>
          <w:color w:val="auto"/>
        </w:rPr>
      </w:pPr>
      <w:r>
        <w:rPr>
          <w:rFonts w:ascii="Arial" w:cs="Arial" w:eastAsia="Arial" w:hAnsi="Arial"/>
          <w:sz w:val="18"/>
          <w:szCs w:val="18"/>
          <w:b w:val="1"/>
          <w:bCs w:val="1"/>
          <w:i w:val="1"/>
          <w:iCs w:val="1"/>
          <w:color w:val="auto"/>
        </w:rPr>
        <w:t>A significant reduction in demand from certain customers or loss of one or more of our significant customers may adversely affect our business.</w:t>
      </w:r>
    </w:p>
    <w:p>
      <w:pPr>
        <w:spacing w:after="0" w:line="3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historically depended on a small number of end customers, original equipment manufacturers (“OEMs”), their respective contract manufacturers (“CMs”) and certain distributors for a majority of our business and revenue. For fiscal quarter ended February 1, 2026, sales to distributors accounted for 55% of our net revenue. We believe aggregate sales, through all channels, to our top five end customers accounted for approximately 50% of our net revenue for the fiscal quarter ended February 1, 2026. This customer concentration increases the risk of quarterly fluctuations in our operating results and our sensitivity to any material adverse developments experienced by these customers. In addition, some customers may cancel, reduce or delay their orders or decline to purchase from us due to reduced capital expenditure spending, lack of access to sufficient capital, downturn in their business, governmental actions such as being designated a “supply chain risk,” purchases from our competitors or their internal development of competing products or customer-owned tooling.</w:t>
      </w:r>
    </w:p>
    <w:p>
      <w:pPr>
        <w:spacing w:after="0" w:line="7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When our semiconductor customers agree to purchase specific quantities of products or source an agreed portion of their product needs from us, such arrangements often include pricing schedules or methodologies that apply regardless of the volume of products purchased, and those customers from time to time may not or do not purchase the amount of product we expect. Moreover, our top customers, including our AI solutions customers, may make and have made greater demands on us with regards to pricing and contractual terms, such as seeking to lease AI racks or systems based on our XPUs instead of purchasing, as well as alternative financings for such leases or other novel or deferred payment models. As a result, we may not generate the amount of revenue or free cash flow or achieve the level of profitability that we or investors expect under such arrangements. In addition, such arrangements may impose financial obligations, including guarantees, upon us or increase our exposure to credit or customer default risks, and failure to mitigate these risks could negatively impact our business, financial condition or results of operations. The loss of, or any substantial reduction in our sales to, any of our top customers, including our customers for our custom AI accelerators or XPUs or AI racks or systems based on our XPUs, could have a material adverse effect on our business, financial condition, results of operations and cash flows.</w:t>
      </w:r>
    </w:p>
    <w:p>
      <w:pPr>
        <w:spacing w:after="0" w:line="76" w:lineRule="exact"/>
        <w:rPr>
          <w:sz w:val="20"/>
          <w:szCs w:val="20"/>
          <w:color w:val="auto"/>
        </w:rPr>
      </w:pPr>
    </w:p>
    <w:p>
      <w:pPr>
        <w:ind w:right="440" w:firstLine="81"/>
        <w:spacing w:after="0" w:line="294" w:lineRule="auto"/>
        <w:rPr>
          <w:sz w:val="20"/>
          <w:szCs w:val="20"/>
          <w:color w:val="auto"/>
        </w:rPr>
      </w:pPr>
      <w:r>
        <w:rPr>
          <w:rFonts w:ascii="Arial" w:cs="Arial" w:eastAsia="Arial" w:hAnsi="Arial"/>
          <w:sz w:val="18"/>
          <w:szCs w:val="18"/>
          <w:b w:val="1"/>
          <w:bCs w:val="1"/>
          <w:i w:val="1"/>
          <w:iCs w:val="1"/>
          <w:color w:val="auto"/>
        </w:rPr>
        <w:t>A slow or the unsuccessful return on our investments in research and development, expansion of our business strategy or adoption of new business models could materially adversely affect our business, financial condition, cash flows and margins.</w:t>
      </w:r>
    </w:p>
    <w:p>
      <w:pPr>
        <w:spacing w:after="0" w:line="3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industries in which we compete are characterized by rapid technological change, new technological developments such as AI and cloud computing, changes in customer requirements, frequent new product introductions and enhancements, short product cycles, evolving industry standards, and new delivery methods. To compete successfully in the semiconductor industry, we must continue to develop and respond to technological advancements and requirements, such as low-power consumption, higher bandwidth and large compute clusters, and we have, from time to time, evolved our business strategy and adopted new business models to address the needs and challenges of our customers. Failure to successfully develop increasingly advanced technologies, including our custom AI accelerators or XPUs, network switches and other AI-related products, or execute on new strategies or models such as the sale or leasing of AI racks or systems based on our XPUs could impair our competitive position.</w:t>
      </w:r>
    </w:p>
    <w:p>
      <w:pPr>
        <w:spacing w:after="0" w:line="77"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In order to remain competitive, we have made, and expect to continue to make, significant investments in research and development, expand our business strategy and adopt new business models. If we fail to timely develop new and enhanced products and technologies, if we focus on technologies that do not become widely adopted, if new competitive technologies that we do not support become widely accepted, if we are unable to successfully execute on new business strategies or models such as the sale or leasing of AI racks or systems based on our XPUs, or customers proceed with customer-owned tooling, demand for our products and solutions such as our custom AI accelerators or XPUs, network switches or other AI-related products may be reduced. To support our new business strategies or models, we may enter into leasing or other arrangements with customers or other third-parties that could increase our costs and operational complexity. Slow or unsuccessful investments in our research and development efforts or expansion or modification of our business strategies and models and incurring significant expenses for these actions, would have a negative impact on our business, financial condition and margins.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340" w:firstLine="81"/>
        <w:spacing w:after="0" w:line="294" w:lineRule="auto"/>
        <w:rPr>
          <w:sz w:val="20"/>
          <w:szCs w:val="20"/>
          <w:color w:val="auto"/>
        </w:rPr>
      </w:pPr>
      <w:r>
        <w:rPr>
          <w:rFonts w:ascii="Arial" w:cs="Arial" w:eastAsia="Arial" w:hAnsi="Arial"/>
          <w:sz w:val="18"/>
          <w:szCs w:val="18"/>
          <w:b w:val="1"/>
          <w:bCs w:val="1"/>
          <w:i w:val="1"/>
          <w:iCs w:val="1"/>
          <w:color w:val="auto"/>
        </w:rPr>
        <w:t>Dependence on contract manufacturing and suppliers of critical components within our supply chain may adversely affect our ability to bring products to market, damage our reputation and adversely affect our results of operations.</w:t>
      </w:r>
    </w:p>
    <w:p>
      <w:pPr>
        <w:spacing w:after="0" w:line="31" w:lineRule="exact"/>
        <w:rPr>
          <w:sz w:val="20"/>
          <w:szCs w:val="20"/>
          <w:color w:val="auto"/>
        </w:rPr>
      </w:pPr>
    </w:p>
    <w:p>
      <w:pPr>
        <w:ind w:right="200" w:firstLine="324"/>
        <w:spacing w:after="0" w:line="282" w:lineRule="auto"/>
        <w:rPr>
          <w:sz w:val="20"/>
          <w:szCs w:val="20"/>
          <w:color w:val="auto"/>
        </w:rPr>
      </w:pPr>
      <w:r>
        <w:rPr>
          <w:rFonts w:ascii="Arial" w:cs="Arial" w:eastAsia="Arial" w:hAnsi="Arial"/>
          <w:sz w:val="17"/>
          <w:szCs w:val="17"/>
          <w:color w:val="auto"/>
        </w:rPr>
        <w:t>We operate a primarily outsourced manufacturing business model that principally utilizes CMs, such as third-party wafer foundries. Our semiconductor products require wafer manufacturers with state-of-the-art fabrication equipment and techniques, and most of our products are designed to be manufactured in a specific process, typically at one particular fab or foundry, either our own or with a particular CM. Qualifying and establishing reliable production at acceptable yields with a new CM, if at all, is a lengthy and often expensive process.</w:t>
      </w:r>
    </w:p>
    <w:p>
      <w:pPr>
        <w:spacing w:after="0" w:line="53"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We depend on our CMs to allocate sufficient manufacturing capacity and critical components to meet our needs, to produce products of acceptable quality at acceptable yields and prices, and to deliver those products to us on a timely basis. We do not generally have long-term capacity commitments with our CMs and substantially all of our manufacturing services are on a purchase order basis with no minimum quantities. Further, from time to time, our CMs may raise their prices, cease to, or become unable to, manufacture a component for us, and have had and may continue to have capacity constraints in times of unprecedented demand. Our CMs may also fail to timely develop or successfully implement new, advanced manufacturing processes, including transitions to smaller geometry process technologies.</w:t>
      </w:r>
    </w:p>
    <w:p>
      <w:pPr>
        <w:spacing w:after="0" w:line="6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During the fiscal quarter ended February 1, 2026, approximately 95% of the wafers manufactured by our CMs were produced by Taiwan Semiconductor Manufacturing Company Limited (“TSMC”). We believe our wafer requirements represent a meaningful portion of TSMC’s total production capacity. However, TSMC also fabricates wafers for other companies, including some of our competitors, and could choose or be required to materially prioritize capacity for other customers or reduce or eliminate deliveries to us on short notice. In addition, TSMC has raised, and may in the future raise, their prices to manufacture our wafers.</w:t>
      </w:r>
    </w:p>
    <w:p>
      <w:pPr>
        <w:spacing w:after="0" w:line="71"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If any of the foregoing circumstances occur, we may be unable to meet our customers’ demand, or to the same extent as our competitors, fail to meet our contractual obligations or forgo revenue opportunities. This could damage our relationships with our customers, result in litigation for alleged failure to meet our obligations, or result in payment of significant damages, and our net revenue could decline, adversely affecting our business, financial condition, results of operations and gross margin.</w:t>
      </w:r>
    </w:p>
    <w:p>
      <w:pPr>
        <w:spacing w:after="0" w:line="70" w:lineRule="exact"/>
        <w:rPr>
          <w:sz w:val="20"/>
          <w:szCs w:val="20"/>
          <w:color w:val="auto"/>
        </w:rPr>
      </w:pPr>
    </w:p>
    <w:p>
      <w:pPr>
        <w:ind w:right="780" w:firstLine="81"/>
        <w:spacing w:after="0" w:line="294" w:lineRule="auto"/>
        <w:rPr>
          <w:sz w:val="20"/>
          <w:szCs w:val="20"/>
          <w:color w:val="auto"/>
        </w:rPr>
      </w:pPr>
      <w:r>
        <w:rPr>
          <w:rFonts w:ascii="Arial" w:cs="Arial" w:eastAsia="Arial" w:hAnsi="Arial"/>
          <w:sz w:val="18"/>
          <w:szCs w:val="18"/>
          <w:b w:val="1"/>
          <w:bCs w:val="1"/>
          <w:i w:val="1"/>
          <w:iCs w:val="1"/>
          <w:color w:val="auto"/>
        </w:rPr>
        <w:t>We purchase a significant amount of the materials, including components, used in our products from a limited number of suppliers.</w:t>
      </w:r>
    </w:p>
    <w:p>
      <w:pPr>
        <w:spacing w:after="0" w:line="3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manufacturing processes and those of our CMs rely on many materials, including memory chips, silicon, gallium arsenide and indium phosphide (“InP”) wafers, copper lead frames, precious and rare earth metals, mold compound, ceramic packages, various chemicals and gases, and other components. During the fiscal quarter ended February 1, 2026, we purchased more than three-quarters of our manufacturing materials from five materials suppliers, some of which are single source suppliers. The lead time needed to identify and qualify a new supplier is typically lengthy and there is often no readily available alternative source. We do not generally have long-term contracts with our materials suppliers and substantially all of our purchases are on a purchase order basis. Suppliers have previously, and may in the future, extend lead times, limit supplies, place products on allocation, increase prices, or prioritize supplies for other customers, including with respect to memory chips, any of which could disrupt supply or increase demand in the industry and negatively impact our results of operations and our ability to fully meet our customers’ demand. Additionally, the supply of these materials has been, from time to time, impacted by increased trade tensions between the U.S. and its trading partners, particularly China, and the uncertainty due to evolving trade restrictions. Any such supply constraints could result in loss of revenue opportunities and adversely impact our business, financial condition and results of operations.</w:t>
      </w:r>
    </w:p>
    <w:p>
      <w:pPr>
        <w:spacing w:after="0" w:line="84" w:lineRule="exact"/>
        <w:rPr>
          <w:sz w:val="20"/>
          <w:szCs w:val="20"/>
          <w:color w:val="auto"/>
        </w:rPr>
      </w:pPr>
    </w:p>
    <w:p>
      <w:pPr>
        <w:ind w:right="100" w:firstLine="81"/>
        <w:spacing w:after="0" w:line="272" w:lineRule="auto"/>
        <w:rPr>
          <w:sz w:val="20"/>
          <w:szCs w:val="20"/>
          <w:color w:val="auto"/>
        </w:rPr>
      </w:pPr>
      <w:r>
        <w:rPr>
          <w:rFonts w:ascii="Arial" w:cs="Arial" w:eastAsia="Arial" w:hAnsi="Arial"/>
          <w:sz w:val="18"/>
          <w:szCs w:val="18"/>
          <w:b w:val="1"/>
          <w:bCs w:val="1"/>
          <w:i w:val="1"/>
          <w:iCs w:val="1"/>
          <w:color w:val="auto"/>
        </w:rPr>
        <w:t>Winning business in the semiconductor solutions industry is an unpredictable process that is often lengthy and requires us to incur significant expenses, evolve our business strategy or adopt a new business model, which may negatively impact our results of operations, gross margin or cash flows.</w:t>
      </w:r>
    </w:p>
    <w:p>
      <w:pPr>
        <w:spacing w:after="0" w:line="50"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Our semiconductor business is dependent on us winning competitive bid selection processes. These selection processes are often lengthy and can require us to dedicate significant development expenditures and scarce engineering resources in pursuit of a single customer opportunity. Failure to obtain a particular design win may prevent us from obtaining design wins in subsequent generations of a particular product. This can result in lost revenue and can weaken our position in future selection processes.</w:t>
      </w:r>
    </w:p>
    <w:p>
      <w:pPr>
        <w:spacing w:after="0" w:line="6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Winning a product design does not guarantee sales or subsequent sales to a customer. Customers could accelerate, delay or cancel plans, develop and use their own products, purchase products from our competitors, fail to qualify our products, reduce or discontinue use of our products, or fail to successfully market and sell their products, which could reduce demand for our products and cause us to hold a material amount of excess inventory, materially adversely affecting our business, financial condition and results of operations. In addition, we may also be unable to materially recoup our costs or resell our products to other customers due to the custom nature of certain products.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timing of design wins is unpredictable and implementing production for a particular design win or multiple design wins at the same time, such as for our custom AI accelerators or XPUs, network switches and other AI-related products, may strain our resources and those of our CMs. Some of our customers who have selected us may also have constrained resources or capital but require immediate availability of our custom XPUs. We have dedicated, and expect to continue dedicating, significant additional resources to execute on new business strategies or models such as the sale or leasing of AI racks or systems based on our XPUs to our customers with alternative financings or novel or deferred payment models, which could result in additional costs, expenses, credit or customer default risks, reduced gross margin and cash flows.</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Failure to adjust our manufacturing and supply chain to meet customer demand could adversely affect our results of operations.</w:t>
      </w:r>
    </w:p>
    <w:p>
      <w:pPr>
        <w:spacing w:after="0" w:line="11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make significant decisions, including determining the levels of business that we will seek and accept, production schedules, levels of reliance on CMs and outsourcing, internal fabrication utilization and other resource requirements, and evolving our business strategy or adopting new business models such as the sale or leasing of AI racks or systems based on our XPUs, based on customer requirements or estimates thereof, which may not be accurate and could result in reallocation of resources. Many factors could impact our estimates of customers’ demands, including changes in product development cycles, competing technologies and product releases, new or unexpected end-user products or applications, such as demand for AI-related products and solutions, and changes in business, regulatory and economic conditions. Our customers may also underestimate the data center or related power or water capacity needed to address end-user demand, which may impact our ability to timely satisfy their requirements. In addition, where our products are part of larger infrastructure projects like data centers, any supply constraints or availability issues with respect to any one component may impact our revenue or our results of operations. The Creating Helpful Incentives to Produce Semiconductors for America Act could also result in an increase in supply leading to excess inventory and a decrease in average selling prices. If we are unable to timely respond to changes in customer demand or execute on new business strategies or models, this could damage our customer relationships, harm our reputation, prevent us from taking advantage of opportunities and adversely impact our business, financial condition and results of operations.</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Our business would be adversely affected by the departure of existing members of our senior management team.</w:t>
      </w:r>
    </w:p>
    <w:p>
      <w:pPr>
        <w:spacing w:after="0" w:line="11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success depends, in large part, on the continued contributions of our senior management team, and, in particular, the services of Hock E. Tan, our President and Chief Executive Officer. Effective succession planning is also important for our long-term success. Failure to ensure effective transfers of knowledge and smooth transitions involving senior management could hinder our strategic planning and execution. None of our senior management is bound by written employment contracts. In addition, we do not currently maintain key person life insurance covering our senior management. The loss of any of our senior management could harm our ability to implement our business strategy and respond to the rapidly changing market conditions in which we operate.</w:t>
      </w:r>
    </w:p>
    <w:p>
      <w:pPr>
        <w:spacing w:after="0" w:line="76" w:lineRule="exact"/>
        <w:rPr>
          <w:sz w:val="20"/>
          <w:szCs w:val="20"/>
          <w:color w:val="auto"/>
        </w:rPr>
      </w:pPr>
    </w:p>
    <w:p>
      <w:pPr>
        <w:ind w:right="560" w:firstLine="81"/>
        <w:spacing w:after="0" w:line="294" w:lineRule="auto"/>
        <w:rPr>
          <w:sz w:val="20"/>
          <w:szCs w:val="20"/>
          <w:color w:val="auto"/>
        </w:rPr>
      </w:pPr>
      <w:r>
        <w:rPr>
          <w:rFonts w:ascii="Arial" w:cs="Arial" w:eastAsia="Arial" w:hAnsi="Arial"/>
          <w:sz w:val="18"/>
          <w:szCs w:val="18"/>
          <w:b w:val="1"/>
          <w:bCs w:val="1"/>
          <w:i w:val="1"/>
          <w:iCs w:val="1"/>
          <w:color w:val="auto"/>
        </w:rPr>
        <w:t>Our gross margin is dependent on a number of factors, including our product mix, adoption of a new business model, price erosion, level of capacity utilization and commodity prices.</w:t>
      </w:r>
    </w:p>
    <w:p>
      <w:pPr>
        <w:spacing w:after="0" w:line="3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gross margin is highly dependent on our product mix, as well as the timing and amount of our revenue from our semiconductor solutions, software licensing and other products or solutions. In addition, increased competition and the existence of product alternatives, more complex engineering requirements, lower demand, shifts in spending priorities, constrained resources or capital of our customers, supply constraints, unfavorable changes in economic conditions, industry oversupply or reductions in our technological lead compared to our competitors, and other factors have in the past and may in the future lead to further price erosion, lower revenue and lower gross margin. The gross margin for our semiconductor solutions has typically been lower than our infrastructure software solutions. The sale or leasing of AI racks or systems based on our XPUs will likely increase our operating margin but compress or lower future gross margin, which would adversely impact our stock price.</w:t>
      </w:r>
    </w:p>
    <w:p>
      <w:pPr>
        <w:spacing w:after="0" w:line="79" w:lineRule="exact"/>
        <w:rPr>
          <w:sz w:val="20"/>
          <w:szCs w:val="20"/>
          <w:color w:val="auto"/>
        </w:rPr>
      </w:pPr>
    </w:p>
    <w:p>
      <w:pPr>
        <w:jc w:val="both"/>
        <w:ind w:right="200" w:firstLine="81"/>
        <w:spacing w:after="0" w:line="294" w:lineRule="auto"/>
        <w:rPr>
          <w:sz w:val="20"/>
          <w:szCs w:val="20"/>
          <w:color w:val="auto"/>
        </w:rPr>
      </w:pPr>
      <w:r>
        <w:rPr>
          <w:rFonts w:ascii="Arial" w:cs="Arial" w:eastAsia="Arial" w:hAnsi="Arial"/>
          <w:sz w:val="18"/>
          <w:szCs w:val="18"/>
          <w:b w:val="1"/>
          <w:bCs w:val="1"/>
          <w:i w:val="1"/>
          <w:iCs w:val="1"/>
          <w:color w:val="auto"/>
        </w:rPr>
        <w:t>Cybersecurity threats or other security breaches, or any other impairment of the confidentiality, integrity or availability of our IT systems, or those of one or more of our corporate infrastructure vendors, could have a material adverse effect on our business.</w:t>
      </w:r>
    </w:p>
    <w:p>
      <w:pPr>
        <w:spacing w:after="0" w:line="3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business depends on a wide variety of complex IT systems and services, including cloud-based and other critical corporate services relating to, among other things, product research and development, financial reporting, product orders and fulfillment, HR, benefit plan administration, IT network management, and electronic communication and collaboration services. These systems and services are both internally managed and outsourced, and in many cases we rely upon third-party data centers. Any failure of these internal or third-party systems and services to operate effectively could disrupt our operations and could have a material adverse effect on our business, financial condition and results of operations. Our operations are dependent upon our ability to protect our IT infrastructure against damage from business continuity events that could have a significant disruptive effect. Although these systems are designed to protect and secure our customers’,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suppliers’ and employees’ confidential information, as well as our own proprietary information, we are, out of necessity, dependent on our vendors and third-party data centers to adequately address cybersecurity threats to their own systems and infrastructure, and timely deploy necessary mitigations. In addition, software products we use and technologies produced by us have occasionally had in the past and may have in the future, vulnerabilities that, if left unmitigated, could reduce the overall level of security of the systems on which the software is installed.</w:t>
      </w:r>
    </w:p>
    <w:p>
      <w:pPr>
        <w:spacing w:after="0" w:line="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Cyber-attacks are increasing in number and sophistication, are well-financed, in some cases supported by state actors, and are designed to not only attack, but also to evade detection. Since the techniques used to obtain unauthorized access to systems, or to otherwise sabotage them, change frequently and are often not recognized until launched against a target, we have in the past been, and may in the future be, unable to anticipate these techniques or to implement adequate preventative measures. The emergence and maturation of AI capabilities may also lead to new and/or more sophisticated methods of attack, including fraud that relies upon “deep fake” impersonation technology or other forms of generative automation that may scale up the efficiency or effectiveness of cyber threat activity.</w:t>
      </w:r>
    </w:p>
    <w:p>
      <w:pPr>
        <w:spacing w:after="0" w:line="74" w:lineRule="exact"/>
        <w:rPr>
          <w:sz w:val="20"/>
          <w:szCs w:val="20"/>
          <w:color w:val="auto"/>
        </w:rPr>
      </w:pPr>
    </w:p>
    <w:p>
      <w:pPr>
        <w:jc w:val="both"/>
        <w:ind w:right="360" w:firstLine="324"/>
        <w:spacing w:after="0" w:line="262" w:lineRule="auto"/>
        <w:rPr>
          <w:sz w:val="20"/>
          <w:szCs w:val="20"/>
          <w:color w:val="auto"/>
        </w:rPr>
      </w:pPr>
      <w:r>
        <w:rPr>
          <w:rFonts w:ascii="Arial" w:cs="Arial" w:eastAsia="Arial" w:hAnsi="Arial"/>
          <w:sz w:val="18"/>
          <w:szCs w:val="18"/>
          <w:color w:val="auto"/>
        </w:rPr>
        <w:t>As a critical vendor in the digital supply chain for both governmental entities and critical infrastructure operators, we and our products may be targeted by those seeking to threaten the confidentiality, integrity and availability of systems supporting essential public services. Geopolitical instability may increase the likelihood that we will experience direct or collateral consequences from cyber conflicts between nation-states or other politically motivated actors targeting critical technology infrastructure.</w:t>
      </w:r>
    </w:p>
    <w:p>
      <w:pPr>
        <w:spacing w:after="0" w:line="6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Accidental or willful security breaches or other unauthorized access to our information systems or the systems of our service providers and business partners, or the existence of computer viruses or malware (such as ransomware) in our or their data or software have in the past exposed, and could in the future expose, us to a risk of information loss, business disruption, and misappropriation of proprietary and confidential information, including information relating to our products or customers and the personal information of our employees or third parties. Such an event could result in, among other things, unfavorable publicity, damage to our reputation, loss of our trade secrets and other competitive information, litigation by affected parties and possible financial obligations for liabilities and damages related to the theft or misuse of such information, significant remediation costs, disruption of key business operations and significant diversion of our resources, as well as fines and other sanctions resulting from any regulatory non-compliance, any of which could have a material adverse effect on our business, profitability and financial condition. While we may be entitled to damages if our vendors fail to perform under their agreements with us, any award may be insufficient to cover the actual costs incurred by us and, as a result of a vendor’s failure to perform, we may be unable to collect any damages.</w:t>
      </w:r>
    </w:p>
    <w:p>
      <w:pPr>
        <w:spacing w:after="0" w:line="74"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Despite our internal controls and investment in security measures, we have, from time to time, been subject to disruptive cyber-attacks and unauthorized network intrusions and malware on our own IT networks or those of our service providers or business partners. Although no such cybersecurity incidents have been material to us, we continue to devote resources to protect our systems and data from unauthorized access or misuse, and we may be required to expend greater resources in the future. Businesses we acquire have previously increased, and may continue to increase, the scope and complexity of our IT networks, and this has, from time to time, increased our risk exposure to cyber-attacks when there are difficulties integrating diverse legacy systems that support operations for the acquired businesses.</w:t>
      </w:r>
    </w:p>
    <w:p>
      <w:pPr>
        <w:spacing w:after="0" w:line="6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certain aspects of effective cybersecurity are dependent upon our employees, contractors and other trusted partners reliably safeguarding secrets (e.g., application credentials) and adhering to our security policies and access control mechanisms. We have in the past experienced, and expect in the future to experience, security incidents arising from a failure to properly handle such secrets or adhere to such policies and, although no such events have had a material adverse effect on our business, there can be no assurance that an insider threat will not result in a material cyber incident. Our logging, alerting and cyber incident detection mechanisms have technical limitations that, in some instances, have led, and may in the future lead, to gaps in visibility into events occurring on systems targeted by threat actors or other unauthorized activities, and have not and may not always capture or surface information sufficient to timely detect and take responsive action to insider or external threats.</w:t>
      </w:r>
    </w:p>
    <w:p>
      <w:pPr>
        <w:spacing w:after="0" w:line="77"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U.S. and non-U.S. regulators, as well as customers and service providers, have also increased their focus on cybersecurity vulnerabilities and risks. Compliance with laws, regulations, and contractual provisions concerning privacy, cybersecurity, secure technology development, data governance, data protection, confidentiality and IP could result in significant expense, and any failure to comply could result in proceedings against us by regulatory authorities or other third parties and may also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120"/>
        <w:spacing w:after="0" w:line="287" w:lineRule="auto"/>
        <w:rPr>
          <w:sz w:val="20"/>
          <w:szCs w:val="20"/>
          <w:color w:val="auto"/>
        </w:rPr>
      </w:pPr>
      <w:r>
        <w:rPr>
          <w:rFonts w:ascii="Arial" w:cs="Arial" w:eastAsia="Arial" w:hAnsi="Arial"/>
          <w:sz w:val="18"/>
          <w:szCs w:val="18"/>
          <w:color w:val="auto"/>
        </w:rPr>
        <w:t>increase our overall compliance burden. See also “</w:t>
      </w:r>
      <w:r>
        <w:rPr>
          <w:rFonts w:ascii="Arial" w:cs="Arial" w:eastAsia="Arial" w:hAnsi="Arial"/>
          <w:sz w:val="18"/>
          <w:szCs w:val="18"/>
          <w:i w:val="1"/>
          <w:iCs w:val="1"/>
          <w:color w:val="auto"/>
        </w:rPr>
        <w:t>Failure of our software portfolio to manage and secure IT infrastructures and</w:t>
      </w:r>
      <w:r>
        <w:rPr>
          <w:rFonts w:ascii="Arial" w:cs="Arial" w:eastAsia="Arial" w:hAnsi="Arial"/>
          <w:sz w:val="18"/>
          <w:szCs w:val="18"/>
          <w:color w:val="auto"/>
        </w:rPr>
        <w:t xml:space="preserve"> </w:t>
      </w:r>
      <w:r>
        <w:rPr>
          <w:rFonts w:ascii="Arial" w:cs="Arial" w:eastAsia="Arial" w:hAnsi="Arial"/>
          <w:sz w:val="18"/>
          <w:szCs w:val="18"/>
          <w:i w:val="1"/>
          <w:iCs w:val="1"/>
          <w:color w:val="auto"/>
        </w:rPr>
        <w:t>environments could have a material adverse effect on our business.”</w:t>
      </w:r>
    </w:p>
    <w:p>
      <w:pPr>
        <w:spacing w:after="0" w:line="47" w:lineRule="exact"/>
        <w:rPr>
          <w:sz w:val="20"/>
          <w:szCs w:val="20"/>
          <w:color w:val="auto"/>
        </w:rPr>
      </w:pPr>
    </w:p>
    <w:p>
      <w:pPr>
        <w:ind w:right="140" w:firstLine="81"/>
        <w:spacing w:after="0" w:line="294" w:lineRule="auto"/>
        <w:rPr>
          <w:sz w:val="20"/>
          <w:szCs w:val="20"/>
          <w:color w:val="auto"/>
        </w:rPr>
      </w:pPr>
      <w:r>
        <w:rPr>
          <w:rFonts w:ascii="Arial" w:cs="Arial" w:eastAsia="Arial" w:hAnsi="Arial"/>
          <w:sz w:val="18"/>
          <w:szCs w:val="18"/>
          <w:b w:val="1"/>
          <w:bCs w:val="1"/>
          <w:i w:val="1"/>
          <w:iCs w:val="1"/>
          <w:color w:val="auto"/>
        </w:rPr>
        <w:t>If we are unable to attract and retain qualified personnel, especially our engineering and technical personnel, we may not be able to execute our business strategy effectively.</w:t>
      </w:r>
    </w:p>
    <w:p>
      <w:pPr>
        <w:spacing w:after="0" w:line="3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Our future success depends on our ability to attract, retain and motivate qualified personnel. As the source of our technological and product innovations, our engineering and technical personnel, such as our AI-related product engineers and cybersecurity experts, are a significant asset. Competition for these employees is significant in many areas of the world in which we operate, particularly in Silicon Valley and Southeast Asia where qualified engineers are in high demand. In addition, current or future immigration laws may make it more difficult to hire or retain qualified engineers, further limiting the pool of available talent. We believe equity awards provide a powerful long-term retention incentive and have historically granted these awards to the substantial majority of our employees. If we are unable to continue our current equity granting philosophy or our stock underperforms, this could impair our efforts to attract and retain necessary personnel. Any inability to retain, attract or motivate such personnel and provide competitive employment benefits could have a material adverse effect on our business, financial condition and results of operations.</w:t>
      </w:r>
    </w:p>
    <w:p>
      <w:pPr>
        <w:spacing w:after="0" w:line="75" w:lineRule="exact"/>
        <w:rPr>
          <w:sz w:val="20"/>
          <w:szCs w:val="20"/>
          <w:color w:val="auto"/>
        </w:rPr>
      </w:pPr>
    </w:p>
    <w:p>
      <w:pPr>
        <w:ind w:right="600" w:firstLine="81"/>
        <w:spacing w:after="0" w:line="278" w:lineRule="auto"/>
        <w:rPr>
          <w:sz w:val="20"/>
          <w:szCs w:val="20"/>
          <w:color w:val="auto"/>
        </w:rPr>
      </w:pPr>
      <w:r>
        <w:rPr>
          <w:rFonts w:ascii="Arial" w:cs="Arial" w:eastAsia="Arial" w:hAnsi="Arial"/>
          <w:sz w:val="18"/>
          <w:szCs w:val="18"/>
          <w:b w:val="1"/>
          <w:bCs w:val="1"/>
          <w:i w:val="1"/>
          <w:iCs w:val="1"/>
          <w:color w:val="auto"/>
        </w:rPr>
        <w:t>A prolonged disruption of our or our customers’ or suppliers’ facilities or other significant operations could have a material adverse effect on our business, financial condition and results of operations.</w:t>
      </w:r>
    </w:p>
    <w:p>
      <w:pPr>
        <w:spacing w:after="0" w:line="4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Although we operate a primarily outsourced manufacturing business model, we also rely on our own manufacturing facilities, in particular in Fort Collins, Colorado, Singapore, and Breinigsville, Pennsylvania. Our Fort Collins and Breinigsville facilities are the sole sources for the FBAR filters used in many of our wireless devices and for the InP-based wafers used in our fibre optics products, respectively. Many of our facilities, and those of our CMs and suppliers, are concentrated in the same geographic regions of California and the Pacific Rim, which have above average seismic, wildfire, and severe weather activity, and increases the risk of natural disasters impacting multiple suppliers. In addition, a significant majority of our research and development personnel are located in the U.S. and India, and our primary warehouse is in Malaysia.</w:t>
      </w:r>
    </w:p>
    <w:p>
      <w:pPr>
        <w:spacing w:after="0" w:line="7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 prolonged disruption at or shut-down of one or more of our manufacturing or other facilities or those of our CMs, suppliers or customers, including data centers, due to natural- or man-made disasters or other events outside of our control, such as climate change, severe weather events, water or power shortages, political unrest, military conflicts, geopolitical turmoil, trade tensions, government orders, labor shortages, medical epidemics, economic instability, equipment failure or for any other reason, would limit our capacity to meet customer demands and delay new product development until a replacement facility and equipment, if necessary, were found, and could destroy our hardware products, inventory or equipment. To date, such events have not had a material adverse effect on our business. However, such an event could disrupt our operations, forgo revenue opportunities, potentially lose market share, result in us being unable to timely satisfy customer demand, expose us to claims by our customers, result in significant expense to repair or replace our affected facilities, products or equipment, and, in some instances, could significantly curtail our research and development efforts in a particular product area or target market, any of which could materially and adversely affect our business. This disruption could also prevent our customers from resuming their own manufacturing or providing services, including through their AI data centers, following such an event, they may cancel or scale back their orders from us and this may in turn adversely affect our results of operations. We may not have any or sufficient insurance coverage to recoup the losses and such events could also result in increased fixed costs relative to the revenue we generate and adversely affect our results of operations.</w:t>
      </w:r>
    </w:p>
    <w:p>
      <w:pPr>
        <w:spacing w:after="0" w:line="79" w:lineRule="exact"/>
        <w:rPr>
          <w:sz w:val="20"/>
          <w:szCs w:val="20"/>
          <w:color w:val="auto"/>
        </w:rPr>
      </w:pPr>
    </w:p>
    <w:p>
      <w:pPr>
        <w:ind w:right="320" w:firstLine="81"/>
        <w:spacing w:after="0" w:line="325" w:lineRule="auto"/>
        <w:rPr>
          <w:sz w:val="20"/>
          <w:szCs w:val="20"/>
          <w:color w:val="auto"/>
        </w:rPr>
      </w:pPr>
      <w:r>
        <w:rPr>
          <w:rFonts w:ascii="Arial" w:cs="Arial" w:eastAsia="Arial" w:hAnsi="Arial"/>
          <w:sz w:val="17"/>
          <w:szCs w:val="17"/>
          <w:b w:val="1"/>
          <w:bCs w:val="1"/>
          <w:i w:val="1"/>
          <w:iCs w:val="1"/>
          <w:color w:val="auto"/>
        </w:rPr>
        <w:t>We may be unable to maintain appropriate manufacturing capacity or product yields at our own manufacturing facilities, which could adversely affect our relationships with our customers, and our business, financial condition and results of operations.</w:t>
      </w:r>
    </w:p>
    <w:p>
      <w:pPr>
        <w:spacing w:after="0" w:line="9"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We must maintain appropriate capacity and product yields at our own manufacturing facilities to meet anticipated customer demand. From time to time, this requires us to invest in expansion or improvements of those facilities, which may not be sufficient or in time, to meet customer demand and we may have to put customers on product allocation, forgo sales or lose customers as a result. Conversely, if we overestimate customer demand, we would experience excess capacity and fixed costs at these facilities will not be fully absorbed, which could adversely affect our results of operations. Similarly, reduced product yields, due to design or manufacturing issues or otherwise, may involve significant time and cost to remedy and cause delays in our ability to supply product to our customers, all of which could cause us to forgo sales, incur liabilities or lose customers, and harm our results of operations.</w:t>
      </w:r>
    </w:p>
    <w:p>
      <w:pPr>
        <w:spacing w:after="0" w:line="77" w:lineRule="exact"/>
        <w:rPr>
          <w:sz w:val="20"/>
          <w:szCs w:val="20"/>
          <w:color w:val="auto"/>
        </w:rPr>
      </w:pPr>
    </w:p>
    <w:p>
      <w:pPr>
        <w:ind w:right="640" w:firstLine="81"/>
        <w:spacing w:after="0" w:line="294" w:lineRule="auto"/>
        <w:rPr>
          <w:sz w:val="20"/>
          <w:szCs w:val="20"/>
          <w:color w:val="auto"/>
        </w:rPr>
      </w:pPr>
      <w:r>
        <w:rPr>
          <w:rFonts w:ascii="Arial" w:cs="Arial" w:eastAsia="Arial" w:hAnsi="Arial"/>
          <w:sz w:val="18"/>
          <w:szCs w:val="18"/>
          <w:b w:val="1"/>
          <w:bCs w:val="1"/>
          <w:i w:val="1"/>
          <w:iCs w:val="1"/>
          <w:color w:val="auto"/>
        </w:rPr>
        <w:t>We are subject to risks associated with our distributors and other channel partners, including product inventory levels and product sell-through.</w:t>
      </w:r>
    </w:p>
    <w:p>
      <w:pPr>
        <w:spacing w:after="0" w:line="31" w:lineRule="exact"/>
        <w:rPr>
          <w:sz w:val="20"/>
          <w:szCs w:val="20"/>
          <w:color w:val="auto"/>
        </w:rPr>
      </w:pPr>
    </w:p>
    <w:p>
      <w:pPr>
        <w:ind w:right="620" w:firstLine="324"/>
        <w:spacing w:after="0" w:line="268" w:lineRule="auto"/>
        <w:rPr>
          <w:sz w:val="20"/>
          <w:szCs w:val="20"/>
          <w:color w:val="auto"/>
        </w:rPr>
      </w:pPr>
      <w:r>
        <w:rPr>
          <w:rFonts w:ascii="Arial" w:cs="Arial" w:eastAsia="Arial" w:hAnsi="Arial"/>
          <w:sz w:val="18"/>
          <w:szCs w:val="18"/>
          <w:color w:val="auto"/>
        </w:rPr>
        <w:t>We sell our products through a direct sales force and a select network of distributors and other channel partners globally. Sales to distributors accounted for 55% of our net revenue in the fiscal quarter ended February 1, 2026 and are subject to a number of risks, including:</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right="900" w:hanging="328"/>
        <w:spacing w:after="0" w:line="287"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demand based on our distributors’ product inventory levels, and the timing of delivery to and demand of end customers;</w:t>
      </w:r>
    </w:p>
    <w:p>
      <w:pPr>
        <w:spacing w:after="0" w:line="44" w:lineRule="exact"/>
        <w:rPr>
          <w:rFonts w:ascii="Arial" w:cs="Arial" w:eastAsia="Arial" w:hAnsi="Arial"/>
          <w:sz w:val="18"/>
          <w:szCs w:val="18"/>
          <w:color w:val="auto"/>
        </w:rPr>
      </w:pPr>
    </w:p>
    <w:p>
      <w:pPr>
        <w:ind w:left="660" w:right="180" w:hanging="328"/>
        <w:spacing w:after="0" w:line="287"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distributors and other channel partners are generally not subject to minimum sales requirements or any obligation to market our products to their customers and may market and distribute competing products; and</w:t>
      </w:r>
    </w:p>
    <w:p>
      <w:pPr>
        <w:spacing w:after="0" w:line="44" w:lineRule="exact"/>
        <w:rPr>
          <w:rFonts w:ascii="Arial" w:cs="Arial" w:eastAsia="Arial" w:hAnsi="Arial"/>
          <w:sz w:val="18"/>
          <w:szCs w:val="18"/>
          <w:color w:val="auto"/>
        </w:rPr>
      </w:pPr>
    </w:p>
    <w:p>
      <w:pPr>
        <w:ind w:left="660" w:right="40" w:hanging="328"/>
        <w:spacing w:after="0" w:line="287"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distributors’ and other channel partners’ agreements are generally nonexclusive and some may be terminated at any time without cause.</w:t>
      </w:r>
    </w:p>
    <w:p>
      <w:pPr>
        <w:spacing w:after="0" w:line="45" w:lineRule="exact"/>
        <w:rPr>
          <w:sz w:val="20"/>
          <w:szCs w:val="20"/>
          <w:color w:val="auto"/>
        </w:rPr>
      </w:pPr>
    </w:p>
    <w:p>
      <w:pPr>
        <w:jc w:val="both"/>
        <w:ind w:right="80" w:firstLine="324"/>
        <w:spacing w:after="0" w:line="268" w:lineRule="auto"/>
        <w:rPr>
          <w:sz w:val="20"/>
          <w:szCs w:val="20"/>
          <w:color w:val="auto"/>
        </w:rPr>
      </w:pPr>
      <w:r>
        <w:rPr>
          <w:rFonts w:ascii="Arial" w:cs="Arial" w:eastAsia="Arial" w:hAnsi="Arial"/>
          <w:sz w:val="18"/>
          <w:szCs w:val="18"/>
          <w:color w:val="auto"/>
        </w:rPr>
        <w:t>Our dependence on channel partners has increased following the acquisition of VMware. Failure to maintain good relationships with our distributors and channel partners could materially adversely impact our business. In addition, we sell our semiconductor products through an increasingly limited number of distributors, which exposes us to additional customer concentration and related credit risks.</w:t>
      </w:r>
    </w:p>
    <w:p>
      <w:pPr>
        <w:spacing w:after="0" w:line="6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From time to time, we enlist our distributors and channel partners to lead go-to-market and customer relationships for certain products, such as our Accelerate Program and Catalyst Initiative for certain infrastructure software products, with certain sole distribution relationships by region. To the extent these distributors and channel partners fail to maintain good relationships with our customers or we are unable to continue enlisting our distributors and channel partners to lead go-to-market and customer relationships, our business, operating results and cash flow may be adversely impacted.</w:t>
      </w:r>
    </w:p>
    <w:p>
      <w:pPr>
        <w:spacing w:after="0" w:line="71"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We do not always have a direct relationship with the end customers of our products. As a result, our semiconductor products may be used in applications for which they were not necessarily designed or tested, and the misuse or failure of our semiconductor products could result in significant liabilities to us, damage our reputation and harm our business, operating results and cash flow.</w:t>
      </w:r>
    </w:p>
    <w:p>
      <w:pPr>
        <w:spacing w:after="0" w:line="65" w:lineRule="exact"/>
        <w:rPr>
          <w:sz w:val="20"/>
          <w:szCs w:val="20"/>
          <w:color w:val="auto"/>
        </w:rPr>
      </w:pPr>
    </w:p>
    <w:p>
      <w:pPr>
        <w:ind w:right="220" w:firstLine="81"/>
        <w:spacing w:after="0" w:line="294" w:lineRule="auto"/>
        <w:rPr>
          <w:sz w:val="20"/>
          <w:szCs w:val="20"/>
          <w:color w:val="auto"/>
        </w:rPr>
      </w:pPr>
      <w:r>
        <w:rPr>
          <w:rFonts w:ascii="Arial" w:cs="Arial" w:eastAsia="Arial" w:hAnsi="Arial"/>
          <w:sz w:val="18"/>
          <w:szCs w:val="18"/>
          <w:b w:val="1"/>
          <w:bCs w:val="1"/>
          <w:i w:val="1"/>
          <w:iCs w:val="1"/>
          <w:color w:val="auto"/>
        </w:rPr>
        <w:t>Failure of our software portfolio to manage and secure IT infrastructures and environments could have a material adverse effect on our business.</w:t>
      </w:r>
    </w:p>
    <w:p>
      <w:pPr>
        <w:spacing w:after="0" w:line="3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Certain aspects of our software portfolio are intended to manage and secure IT infrastructures and environments, and as a result, we expect these products to be ongoing targets of cyber-attacks. Open source code or other third-party software used in these products could also be targeted and may make our software vulnerable to additional security risks not posed by purely proprietary software. Our software portfolio is complex and, when deployed, has contained in the past and may contain in the future errors, defects or security vulnerabilities, some of which were undiscovered before the software was released, installed and used by customers. The complexity and breadth of our technical and production environments, which involve globally dispersed development and engineering teams, increases the risk that errors, defects or vulnerabilities will be introduced and may delay our ability to detect, mitigate or remediate such incidents.</w:t>
      </w:r>
    </w:p>
    <w:p>
      <w:pPr>
        <w:spacing w:after="0" w:line="75"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In the past, elements of our proprietary source code have been exposed in an unauthorized manner. It is possible that such exposure of source code could reveal unknown security vulnerabilities in our software that could be exploited by malicious actors. Our software is also subject to known and unknown security vulnerabilities, including those resulting from integration with third-party products or services.</w:t>
      </w:r>
    </w:p>
    <w:p>
      <w:pPr>
        <w:spacing w:after="0" w:line="6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Although we continually seek to improve our countermeasures to prevent such incidents, we may be unable to anticipate every scenario and, as a result, certain cyber threats or vulnerabilities have in the past been and may in the future be undetected or unmitigated in time to prevent harm to us or our customers. Additionally, efforts by malicious cyber actors or others could cause interruptions, delays or cessation of our software delivery, or modification of our software, which could cause us to lose existing or potential customers.</w:t>
      </w:r>
    </w:p>
    <w:p>
      <w:pPr>
        <w:spacing w:after="0" w:line="68"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 xml:space="preserve">A successful cyber-attack, or false reports thereof, involving our software could cause customers and potential customers to believe our software is ineffective or unreliable and result in, among other things, the loss of customers, unfavorable publicity, damage to our reputation, difficulty in marketing our software, and allegations by our customers that we have not performed our contractual obligations, and could give rise to significant costs, including costs related to developing solutions or indemnification obligations under our agreements. Any such event could adversely impact our revenue and results of operations. See also </w:t>
      </w:r>
      <w:r>
        <w:rPr>
          <w:rFonts w:ascii="Arial" w:cs="Arial" w:eastAsia="Arial" w:hAnsi="Arial"/>
          <w:sz w:val="18"/>
          <w:szCs w:val="18"/>
          <w:i w:val="1"/>
          <w:iCs w:val="1"/>
          <w:color w:val="auto"/>
        </w:rPr>
        <w:t>“Cybersecurity threats or other security breaches, or any other</w:t>
      </w:r>
      <w:r>
        <w:rPr>
          <w:rFonts w:ascii="Arial" w:cs="Arial" w:eastAsia="Arial" w:hAnsi="Arial"/>
          <w:sz w:val="18"/>
          <w:szCs w:val="18"/>
          <w:color w:val="auto"/>
        </w:rPr>
        <w:t xml:space="preserve"> </w:t>
      </w:r>
      <w:r>
        <w:rPr>
          <w:rFonts w:ascii="Arial" w:cs="Arial" w:eastAsia="Arial" w:hAnsi="Arial"/>
          <w:sz w:val="18"/>
          <w:szCs w:val="18"/>
          <w:i w:val="1"/>
          <w:iCs w:val="1"/>
          <w:color w:val="auto"/>
        </w:rPr>
        <w:t>impairment of the confidentiality, integrity or availability of our IT systems, or those of one or more of our corporate infrastructure vendors, could have a material adverse effect on our business.”</w:t>
      </w:r>
    </w:p>
    <w:p>
      <w:pPr>
        <w:spacing w:after="0" w:line="77" w:lineRule="exact"/>
        <w:rPr>
          <w:sz w:val="20"/>
          <w:szCs w:val="20"/>
          <w:color w:val="auto"/>
        </w:rPr>
      </w:pPr>
    </w:p>
    <w:p>
      <w:pPr>
        <w:ind w:right="820" w:firstLine="81"/>
        <w:spacing w:after="0" w:line="294" w:lineRule="auto"/>
        <w:rPr>
          <w:sz w:val="20"/>
          <w:szCs w:val="20"/>
          <w:color w:val="auto"/>
        </w:rPr>
      </w:pPr>
      <w:r>
        <w:rPr>
          <w:rFonts w:ascii="Arial" w:cs="Arial" w:eastAsia="Arial" w:hAnsi="Arial"/>
          <w:sz w:val="18"/>
          <w:szCs w:val="18"/>
          <w:b w:val="1"/>
          <w:bCs w:val="1"/>
          <w:i w:val="1"/>
          <w:iCs w:val="1"/>
          <w:color w:val="auto"/>
        </w:rPr>
        <w:t>The growth of our software business depends on demand for our data center virtualization portfolio, as well as customer acceptance of our software, services and business strategy.</w:t>
      </w:r>
    </w:p>
    <w:p>
      <w:pPr>
        <w:spacing w:after="0" w:line="31"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Many of our software solutions and services are based on data center virtualization and related hybrid-cloud technologies used to manage distributed computing architectures, which form the foundation for private and hybrid cloud computing. Enabling businesses to modernize applications and efficiently implement their private and hybrid cloud services presents new and difficult technological, operational and compliance challenges. If businesses build new or shift existing compute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workloads off-premises to public cloud providers, this could limit the market for deployments of our data center virtualization portfolio. Current and future customers may not accept our subscription licensing model or perceive benefits associated with adopting our enterprise-grade private and hybrid cloud platform or our simplified product portfolios, including new version releases.</w:t>
      </w:r>
    </w:p>
    <w:p>
      <w:pPr>
        <w:spacing w:after="0" w:line="6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If demand, adoption and continued usage of our software is significantly less than anticipated or we fail to realize the expected returns on our business strategy, the investments we have made to implement our strategy may be of no or limited value, we may lose significant customers and our business, financial condition, results of operations and cash flows may be adversely affected.</w:t>
      </w:r>
    </w:p>
    <w:p>
      <w:pPr>
        <w:spacing w:after="0" w:line="65" w:lineRule="exact"/>
        <w:rPr>
          <w:sz w:val="20"/>
          <w:szCs w:val="20"/>
          <w:color w:val="auto"/>
        </w:rPr>
      </w:pPr>
    </w:p>
    <w:p>
      <w:pPr>
        <w:ind w:right="720" w:firstLine="81"/>
        <w:spacing w:after="0" w:line="294" w:lineRule="auto"/>
        <w:rPr>
          <w:sz w:val="20"/>
          <w:szCs w:val="20"/>
          <w:color w:val="auto"/>
        </w:rPr>
      </w:pPr>
      <w:r>
        <w:rPr>
          <w:rFonts w:ascii="Arial" w:cs="Arial" w:eastAsia="Arial" w:hAnsi="Arial"/>
          <w:sz w:val="18"/>
          <w:szCs w:val="18"/>
          <w:b w:val="1"/>
          <w:bCs w:val="1"/>
          <w:i w:val="1"/>
          <w:iCs w:val="1"/>
          <w:color w:val="auto"/>
        </w:rPr>
        <w:t>If our software does not successfully address market trends and competitive developments, demand for our software and services could decrease, which could materially adversely affect our business.</w:t>
      </w:r>
    </w:p>
    <w:p>
      <w:pPr>
        <w:spacing w:after="0" w:line="3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infrastructure software solutions industry is a very competitive industry and we expect more competition as AI continues to advance and be integrated into the markets in which we compete. We must continually address the challenges of dynamic and accelerating market trends and competitive developments, such as the emergence of advanced persistent threats in the security space and AI capabilities, to compete effectively. We may also be required to make substantial modifications to our software to maintain compatibility with operating systems, systems software and computer hardware used by our customers or to provide our customers with desired features or capabilities. While we continue to enhance our software solutions and capabilities, there can be no assurance that we will successfully adapt our software in response to these developments. Further, our competitors may develop or incorporate solutions, including AI capabilities, into their products more rapidly or effectively than we do.</w:t>
      </w:r>
    </w:p>
    <w:p>
      <w:pPr>
        <w:spacing w:after="0" w:line="7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addition, our software solutions interact with a variety of software and hardware developed by third parties, as well as cloud providers. If we lose access to third-party code and specifications for the development of code or cloud providers fail to support our software or otherwise limit the functionality, compatibility or certification of our software or otherwise impose unfavorable terms and conditions, this could negatively impact our ability to develop compatible software. This could result in higher research and development costs for the enhancement and modification of our existing software or development of new software solutions. Any additional restrictions could materially adversely affect our business, financial condition and operating results and cash flow.</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Failure to enter into software license agreements on a satisfactory basis could materially adversely affect our business.</w:t>
      </w:r>
    </w:p>
    <w:p>
      <w:pPr>
        <w:spacing w:after="0" w:line="11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Many of our existing software customers have multi-year enterprise software license agreements, some of which involve substantial aggregate fee amounts. These customers often do not have a contractual obligation to purchase additional solutions and may have the right to terminate. The failure or inability to renew customer agreements of similar scope, on terms that are commercially attractive to us, could materially adversely affect our business, financial condition, operating results and cash flow. In addition, software license agreements under which customers do not have the right to terminate could cause variations in revenue recognized in each period and our operating results fluctuate from time to time.</w:t>
      </w:r>
    </w:p>
    <w:p>
      <w:pPr>
        <w:spacing w:after="0" w:line="76" w:lineRule="exact"/>
        <w:rPr>
          <w:sz w:val="20"/>
          <w:szCs w:val="20"/>
          <w:color w:val="auto"/>
        </w:rPr>
      </w:pPr>
    </w:p>
    <w:p>
      <w:pPr>
        <w:ind w:right="720" w:firstLine="81"/>
        <w:spacing w:after="0" w:line="294" w:lineRule="auto"/>
        <w:rPr>
          <w:sz w:val="20"/>
          <w:szCs w:val="20"/>
          <w:color w:val="auto"/>
        </w:rPr>
      </w:pPr>
      <w:r>
        <w:rPr>
          <w:rFonts w:ascii="Arial" w:cs="Arial" w:eastAsia="Arial" w:hAnsi="Arial"/>
          <w:sz w:val="18"/>
          <w:szCs w:val="18"/>
          <w:b w:val="1"/>
          <w:bCs w:val="1"/>
          <w:i w:val="1"/>
          <w:iCs w:val="1"/>
          <w:color w:val="auto"/>
        </w:rPr>
        <w:t>Our use of open source software in certain software and services could materially adversely affect our business, financial condition, operating results and cash flow.</w:t>
      </w:r>
    </w:p>
    <w:p>
      <w:pPr>
        <w:spacing w:after="0" w:line="31"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Many of our software solutions and services incorporate open source software, the use of which may subject us to certain conditions, including the obligation to offer such software for no cost or to make the proprietary source code of such software publicly available. Open source licenses are generally “as-is” and do not provide warranties, support or assurance of title or controls on origin, which may expose us to potential liability if the software fails to work or has security vulnerabilities.</w:t>
      </w:r>
    </w:p>
    <w:p>
      <w:pPr>
        <w:spacing w:after="0" w:line="68"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Although we monitor our use of open source software to avoid subjecting our software to unintended conditions and security vulnerabilities, we may receive third-party claims regarding our compliance with the conditions of such open source licenses and we may be required to take steps to remedy an alleged infringement or noncompliance, including modifying or releasing our product code or paying damages.</w:t>
      </w:r>
    </w:p>
    <w:p>
      <w:pPr>
        <w:spacing w:after="0" w:line="70" w:lineRule="exact"/>
        <w:rPr>
          <w:sz w:val="20"/>
          <w:szCs w:val="20"/>
          <w:color w:val="auto"/>
        </w:rPr>
      </w:pPr>
    </w:p>
    <w:p>
      <w:pPr>
        <w:ind w:right="620" w:firstLine="81"/>
        <w:spacing w:after="0" w:line="294" w:lineRule="auto"/>
        <w:rPr>
          <w:sz w:val="20"/>
          <w:szCs w:val="20"/>
          <w:color w:val="auto"/>
        </w:rPr>
      </w:pPr>
      <w:r>
        <w:rPr>
          <w:rFonts w:ascii="Arial" w:cs="Arial" w:eastAsia="Arial" w:hAnsi="Arial"/>
          <w:sz w:val="18"/>
          <w:szCs w:val="18"/>
          <w:b w:val="1"/>
          <w:bCs w:val="1"/>
          <w:i w:val="1"/>
          <w:iCs w:val="1"/>
          <w:color w:val="auto"/>
        </w:rPr>
        <w:t>Our sales to government customers subject us to uncertainties and governmental regulations, which could have a material adverse effect on our business.</w:t>
      </w:r>
    </w:p>
    <w:p>
      <w:pPr>
        <w:spacing w:after="0" w:line="3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contracts signed with the U.S. federal, state and local government and non-U.S. government agencies are generally subject to annual fiscal funding approval and may be renegotiated or terminated at the discretion of the government. Termination, renegotiation or the lack of funding approval for a contract could adversely affect our sales, revenue and reputation. If personnel critical to our performance of these contracts are unable to obtain or maintain the security clearance level required under such contracts, we may be unable to perform these contracts or compete for other projects of this nature, which could adversely affect our results of operations. Additionally, our government contracts and our arrangements with channel partners who may sell directly to government customers are generally subject to requirements that may generally not be present in commercial contracts and/or may be complex, as well as audits and investigations. Failure to meet</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contractual requirements could result in various civil and criminal actions and penalties, and administrative sanctions, including termination of contracts, refund of a portion of fees received, forfeiture of profits, suspension of payments, fines and suspensions or debarment from doing business with the government, which could materially adversely affect our business, financial condition, operating results and cash flow.</w:t>
      </w:r>
    </w:p>
    <w:p>
      <w:pPr>
        <w:spacing w:after="0" w:line="4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Failure to effectively manage our software solutions and services lifecycles could harm our business.</w:t>
      </w:r>
    </w:p>
    <w:p>
      <w:pPr>
        <w:spacing w:after="0" w:line="115"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As part of the natural lifecycle of our software solutions and services, customers are informed when the software or services will be reaching their end of life or end of availability and will no longer be supported or receive updates and security patches. If these software solutions or services remain subject to a service contract, the customer may transition to alternative software or services. Failure to effectively manage our software and services lifecycles and communications thereof have previously led to, and may in the future lead to, customer dissatisfaction and potential contractual liabilities, which could materially adversely affect our business and operating results.</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Competition in our industries could prevent us from growing our revenue.</w:t>
      </w:r>
    </w:p>
    <w:p>
      <w:pPr>
        <w:spacing w:after="0" w:line="11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industries in which we operate are highly competitive and characterized by rapid technological changes, evolving industry standards, changes in customer requirements, often aggressive pricing practices and, in some cases, new delivery methods. Competition in these industries continues to increase as existing competitors improve or expand their product offerings, as new competitors, including our customers, enter our markets or as AI continues to advance and be integrated into the markets in which we compete. To remain competitive, we seek to evolve our business strategy or adopt new business models from time to time, such as the sale or leasing of AI racks or systems based on our XPUs, that require significant financial resources, which could have a material adverse effect on our results of operations. Moreover, we may offer and have offered alternative financings or other novel or deferred payment models for the leasing of AI racks or systems based on our XPUs to effectively compete, which could have a material adverse effect on our revenue, free cash flow and gross margin and expose us to credit or customer default risks.</w:t>
      </w:r>
    </w:p>
    <w:p>
      <w:pPr>
        <w:spacing w:after="0" w:line="7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Some of our competitors, including our customers, have longer operating histories, greater name recognition or presence in key markets, a larger installed customer base, larger technical staff, a more comprehensive IP portfolio or better patent protection, more established relationships with vendors or suppliers, or greater manufacturing, distribution, financial, research and development, technical and marketing resources than us. We face competition from companies that receive financial and other support from their home country government, customers who develop competing products, public cloud providers, numerous smaller companies that specialize in specific aspects of the highly fragmented software industry, including AI, open source authors who provide software and IP for free, and competitors who offer their products through try-and-buy or freemium models. Our competitors, including cloud-based and AI-native vendors, may develop competitive software or AI solutions that could impact our ability to retain existing customers and attract new customers. In addition, the trend toward consolidation is also changing the competitive landscape. We expect this trend to continue, which may result in combined competitors having greater resources than we do.</w:t>
      </w:r>
    </w:p>
    <w:p>
      <w:pPr>
        <w:spacing w:after="0" w:line="7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actions of our competitors, in the areas of pricing and product bundling in particular, could have a substantial adverse impact on us. Further, competitors may leverage their superior market position, as well as IP or other proprietary information, including interface, interoperability or technical information, in new and emerging technologies and platforms that may inhibit our ability to compete effectively. If we are unable to compete successfully, we may lose market share for our products or incur significant reduction in our gross margins, either of which could have a material adverse effect on our business and results of operations.</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Our operating results are subject to substantial quarterly and annual fluctuations.</w:t>
      </w:r>
    </w:p>
    <w:p>
      <w:pPr>
        <w:spacing w:after="0" w:line="115" w:lineRule="exact"/>
        <w:rPr>
          <w:sz w:val="20"/>
          <w:szCs w:val="20"/>
          <w:color w:val="auto"/>
        </w:rPr>
      </w:pPr>
    </w:p>
    <w:p>
      <w:pPr>
        <w:jc w:val="both"/>
        <w:ind w:right="40" w:firstLine="324"/>
        <w:spacing w:after="0" w:line="268" w:lineRule="auto"/>
        <w:rPr>
          <w:sz w:val="20"/>
          <w:szCs w:val="20"/>
          <w:color w:val="auto"/>
        </w:rPr>
      </w:pPr>
      <w:r>
        <w:rPr>
          <w:rFonts w:ascii="Arial" w:cs="Arial" w:eastAsia="Arial" w:hAnsi="Arial"/>
          <w:sz w:val="18"/>
          <w:szCs w:val="18"/>
          <w:color w:val="auto"/>
        </w:rPr>
        <w:t>Our operating results have fluctuated in the past and are likely to fluctuate in the future. These fluctuations may occur on a quarterly and annual basis and are due to a number of factors, many of which are beyond our control. In addition to many of the risks described elsewhere in this “Risk Factors” section, these factors include, among others:</w:t>
      </w:r>
    </w:p>
    <w:p>
      <w:pPr>
        <w:spacing w:after="0" w:line="63" w:lineRule="exact"/>
        <w:rPr>
          <w:sz w:val="20"/>
          <w:szCs w:val="20"/>
          <w:color w:val="auto"/>
        </w:rPr>
      </w:pPr>
    </w:p>
    <w:p>
      <w:pPr>
        <w:ind w:left="660" w:right="20" w:hanging="328"/>
        <w:spacing w:after="0" w:line="287"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launches by our customers of new products in which our products are included and changes in end-user demand for our customers’ products or services;</w:t>
      </w:r>
    </w:p>
    <w:p>
      <w:pPr>
        <w:spacing w:after="0" w:line="44" w:lineRule="exact"/>
        <w:rPr>
          <w:rFonts w:ascii="Arial" w:cs="Arial" w:eastAsia="Arial" w:hAnsi="Arial"/>
          <w:sz w:val="18"/>
          <w:szCs w:val="18"/>
          <w:color w:val="auto"/>
        </w:rPr>
      </w:pPr>
    </w:p>
    <w:p>
      <w:pPr>
        <w:ind w:left="660" w:right="160" w:hanging="328"/>
        <w:spacing w:after="0" w:line="287"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the levels of component or product inventories held by our customers, which may lead to increased requests to delay shipment of our semiconductor products;</w:t>
      </w:r>
    </w:p>
    <w:p>
      <w:pPr>
        <w:spacing w:after="0" w:line="44" w:lineRule="exact"/>
        <w:rPr>
          <w:rFonts w:ascii="Arial" w:cs="Arial" w:eastAsia="Arial" w:hAnsi="Arial"/>
          <w:sz w:val="18"/>
          <w:szCs w:val="18"/>
          <w:color w:val="auto"/>
        </w:rPr>
      </w:pPr>
    </w:p>
    <w:p>
      <w:pPr>
        <w:ind w:left="660" w:right="120" w:hanging="328"/>
        <w:spacing w:after="0" w:line="287"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shift to cloud-based IT solutions and services, such as hyperscale computing, which may adversely affect the timing and volume of sales of our semiconductor products for use in enterprise data centers;</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development and availability of AI data centers that could impact our ability to ship our products;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extent of our software license and subscription revenue, and other non-product revenue;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right="700" w:hanging="328"/>
        <w:spacing w:after="0" w:line="287"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new software contracts and renewals, including the timing of software contracts that do not have termination for convenience clauses;</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any terminations of software contracts that require us to refund to customers any pre-paid amounts under the contract;</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contracts with distributors and channel partners to lead go-to-market and customer relationships for certain products;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our financial metrics to execute our current or new business strategies or models;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extent to which we enter into and utilize factoring arrangements;</w:t>
      </w:r>
    </w:p>
    <w:p>
      <w:pPr>
        <w:spacing w:after="0" w:line="117" w:lineRule="exact"/>
        <w:rPr>
          <w:rFonts w:ascii="Arial" w:cs="Arial" w:eastAsia="Arial" w:hAnsi="Arial"/>
          <w:sz w:val="18"/>
          <w:szCs w:val="18"/>
          <w:color w:val="auto"/>
        </w:rPr>
      </w:pPr>
    </w:p>
    <w:p>
      <w:pPr>
        <w:ind w:left="660" w:right="360" w:hanging="328"/>
        <w:spacing w:after="0" w:line="287"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extent of delivery of and payment for our semiconductor and semiconductor-based solutions, including AI racks or systems based on our XPUs;</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of our customers to pay for our products or services due to their constrained resources or capital;</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timely develop, introduce and market new products and technologies;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product announcements and introductions by us or our competitors;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seasonality or other fluctuations in demand in our markets;</w:t>
      </w:r>
    </w:p>
    <w:p>
      <w:pPr>
        <w:spacing w:after="0" w:line="117"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timing and amount of research and development and related new product expenditures, and the timing of receipt of any research and development grant monies; and</w:t>
      </w:r>
    </w:p>
    <w:p>
      <w:pPr>
        <w:spacing w:after="0" w:line="44" w:lineRule="exact"/>
        <w:rPr>
          <w:rFonts w:ascii="Arial" w:cs="Arial" w:eastAsia="Arial" w:hAnsi="Arial"/>
          <w:sz w:val="18"/>
          <w:szCs w:val="18"/>
          <w:color w:val="auto"/>
        </w:rPr>
      </w:pPr>
    </w:p>
    <w:p>
      <w:pPr>
        <w:ind w:left="660" w:right="560" w:hanging="328"/>
        <w:spacing w:after="0" w:line="287"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timing of any regulatory changes, particularly with respect to trade sanctions and customs duties and tariffs, and tax reform, or changes in the interpretation or enforcement of existing requirements.</w:t>
      </w:r>
    </w:p>
    <w:p>
      <w:pPr>
        <w:spacing w:after="0" w:line="45"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 foregoing factors are often difficult to predict, and these, as well as other factors, could materially adversely affect our quarterly or annual operating results. In addition, a significant amount of our operating expenses are relatively fixed in nature. Any failure to adjust spending quickly enough to compensate for a revenue shortfall could magnify the adverse impact of such revenue shortfall on our results of operations. As a result, we believe that quarter-to-quarter comparisons of our revenue and operating results may not be meaningful or reliable indicators of our future performance. If our operating results in one or more future quarters fail to meet our forecasts or the expectations of securities analysts or investors, a significant decline in the trading price of our common stock may occur, which may happen immediately or over time.</w:t>
      </w:r>
    </w:p>
    <w:p>
      <w:pPr>
        <w:spacing w:after="0" w:line="77" w:lineRule="exact"/>
        <w:rPr>
          <w:sz w:val="20"/>
          <w:szCs w:val="20"/>
          <w:color w:val="auto"/>
        </w:rPr>
      </w:pPr>
    </w:p>
    <w:p>
      <w:pPr>
        <w:ind w:right="40" w:firstLine="81"/>
        <w:spacing w:after="0" w:line="294" w:lineRule="auto"/>
        <w:rPr>
          <w:sz w:val="20"/>
          <w:szCs w:val="20"/>
          <w:color w:val="auto"/>
        </w:rPr>
      </w:pPr>
      <w:r>
        <w:rPr>
          <w:rFonts w:ascii="Arial" w:cs="Arial" w:eastAsia="Arial" w:hAnsi="Arial"/>
          <w:sz w:val="18"/>
          <w:szCs w:val="18"/>
          <w:b w:val="1"/>
          <w:bCs w:val="1"/>
          <w:i w:val="1"/>
          <w:iCs w:val="1"/>
          <w:color w:val="auto"/>
        </w:rPr>
        <w:t>We have pursued, and may in the future pursue, mergers, acquisitions, investments, joint ventures and dispositions, which could adversely affect our results of operations.</w:t>
      </w:r>
    </w:p>
    <w:p>
      <w:pPr>
        <w:spacing w:after="0" w:line="31" w:lineRule="exact"/>
        <w:rPr>
          <w:sz w:val="20"/>
          <w:szCs w:val="20"/>
          <w:color w:val="auto"/>
        </w:rPr>
      </w:pPr>
    </w:p>
    <w:p>
      <w:pPr>
        <w:jc w:val="both"/>
        <w:ind w:right="480" w:firstLine="324"/>
        <w:spacing w:after="0" w:line="268" w:lineRule="auto"/>
        <w:rPr>
          <w:sz w:val="20"/>
          <w:szCs w:val="20"/>
          <w:color w:val="auto"/>
        </w:rPr>
      </w:pPr>
      <w:r>
        <w:rPr>
          <w:rFonts w:ascii="Arial" w:cs="Arial" w:eastAsia="Arial" w:hAnsi="Arial"/>
          <w:sz w:val="18"/>
          <w:szCs w:val="18"/>
          <w:color w:val="auto"/>
        </w:rPr>
        <w:t>Our growth strategy includes acquiring or investing in businesses that offer complementary products, services and technologies, or enhance our market coverage, business strategy or technological capabilities. Any acquisitions we may undertake and their integration involve risks and uncertainties, which could impede the execution of our business strategy, such as:</w:t>
      </w:r>
    </w:p>
    <w:p>
      <w:pPr>
        <w:spacing w:after="0" w:line="63" w:lineRule="exact"/>
        <w:rPr>
          <w:sz w:val="20"/>
          <w:szCs w:val="20"/>
          <w:color w:val="auto"/>
        </w:rPr>
      </w:pPr>
    </w:p>
    <w:p>
      <w:pPr>
        <w:ind w:left="660" w:right="480" w:hanging="328"/>
        <w:spacing w:after="0" w:line="287"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 and non-U.S. regulatory approval may take longer than anticipated, not be forthcoming or contain burdensome conditions, including due to U.S.-international relationships and other geopolitical events;</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incurring additional debt related to acquisitions or other strategic transactions;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volatility impacting our ability or the cost to fund acquisitions or investments;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delays, challenges and related expenses, and disruption of our business;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management’s attention from daily operations and the pursuit of other opportunities;</w:t>
      </w:r>
    </w:p>
    <w:p>
      <w:pPr>
        <w:spacing w:after="0" w:line="117" w:lineRule="exact"/>
        <w:rPr>
          <w:rFonts w:ascii="Arial" w:cs="Arial" w:eastAsia="Arial" w:hAnsi="Arial"/>
          <w:sz w:val="18"/>
          <w:szCs w:val="18"/>
          <w:color w:val="auto"/>
        </w:rPr>
      </w:pPr>
    </w:p>
    <w:p>
      <w:pPr>
        <w:ind w:left="660" w:right="480" w:hanging="328"/>
        <w:spacing w:after="0" w:line="318" w:lineRule="auto"/>
        <w:tabs>
          <w:tab w:leader="none" w:pos="628"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incurring significant restructuring charges and amortization expense, assuming liabilities and ongoing or new lawsuits, potential impairment of acquired goodwill and other intangible assets, and increasing our expenses and working capital requirements;</w:t>
      </w:r>
    </w:p>
    <w:p>
      <w:pPr>
        <w:spacing w:after="0" w:line="21" w:lineRule="exact"/>
        <w:rPr>
          <w:rFonts w:ascii="Arial" w:cs="Arial" w:eastAsia="Arial" w:hAnsi="Arial"/>
          <w:sz w:val="17"/>
          <w:szCs w:val="17"/>
          <w:color w:val="auto"/>
        </w:rPr>
      </w:pPr>
    </w:p>
    <w:p>
      <w:pPr>
        <w:ind w:left="660" w:right="100" w:hanging="328"/>
        <w:spacing w:after="0" w:line="287"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for deficiencies in internal controls of the acquired business, as well as implementing our own management information systems, operating systems and internal controls for the acquired business;</w:t>
      </w:r>
    </w:p>
    <w:p>
      <w:pPr>
        <w:spacing w:after="0" w:line="44" w:lineRule="exact"/>
        <w:rPr>
          <w:rFonts w:ascii="Arial" w:cs="Arial" w:eastAsia="Arial" w:hAnsi="Arial"/>
          <w:sz w:val="18"/>
          <w:szCs w:val="18"/>
          <w:color w:val="auto"/>
        </w:rPr>
      </w:pPr>
    </w:p>
    <w:p>
      <w:pPr>
        <w:ind w:left="660" w:right="180" w:hanging="328"/>
        <w:spacing w:after="0" w:line="268"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due diligence process may fail to identify significant issues with the acquired business’s products, financial disclosures, accounting practices, legal, tax and other contingencies, compliance with local laws and regulations (and interpretations thereof) in the U.S. and multiple international jurisdictions;</w:t>
      </w:r>
    </w:p>
    <w:p>
      <w:pPr>
        <w:spacing w:after="0" w:line="62" w:lineRule="exact"/>
        <w:rPr>
          <w:rFonts w:ascii="Arial" w:cs="Arial" w:eastAsia="Arial" w:hAnsi="Arial"/>
          <w:sz w:val="18"/>
          <w:szCs w:val="18"/>
          <w:color w:val="auto"/>
        </w:rPr>
      </w:pPr>
    </w:p>
    <w:p>
      <w:pPr>
        <w:ind w:left="660" w:right="140" w:hanging="328"/>
        <w:spacing w:after="0" w:line="287"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integrating the acquired business or company and managing and retaining acquired employees, vendors and customers; and</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right="740" w:hanging="328"/>
        <w:spacing w:after="0" w:line="287"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inaccuracies in our original estimates and assumptions used to assess a transaction, which may result in us not realizing the expected financial or strategic benefits of any such transaction.</w:t>
      </w:r>
    </w:p>
    <w:p>
      <w:pPr>
        <w:spacing w:after="0" w:line="4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From time to time, we seek to divest or wind down portions of our business or exit minority investments, any of which could materially affect our cash flows and results of operations. Such dispositions involve risks and uncertainties, including disruption to other parts of our business, potential loss of employees or customers, or exposure to unanticipated liabilities or ongoing obligations following any such dispositions. In addition, dispositions may include the transfer of technology and/or the licensing of certain IP rights to third-party purchasers that limits our ability to utilize such IP rights or assert these rights against third parties. Such events could have a material adverse impact on our business and operations.</w:t>
      </w:r>
    </w:p>
    <w:p>
      <w:pPr>
        <w:spacing w:after="0" w:line="76" w:lineRule="exact"/>
        <w:rPr>
          <w:sz w:val="20"/>
          <w:szCs w:val="20"/>
          <w:color w:val="auto"/>
        </w:rPr>
      </w:pPr>
    </w:p>
    <w:p>
      <w:pPr>
        <w:ind w:right="420" w:firstLine="81"/>
        <w:spacing w:after="0" w:line="294" w:lineRule="auto"/>
        <w:rPr>
          <w:sz w:val="20"/>
          <w:szCs w:val="20"/>
          <w:color w:val="auto"/>
        </w:rPr>
      </w:pPr>
      <w:r>
        <w:rPr>
          <w:rFonts w:ascii="Arial" w:cs="Arial" w:eastAsia="Arial" w:hAnsi="Arial"/>
          <w:sz w:val="18"/>
          <w:szCs w:val="18"/>
          <w:b w:val="1"/>
          <w:bCs w:val="1"/>
          <w:i w:val="1"/>
          <w:iCs w:val="1"/>
          <w:color w:val="auto"/>
        </w:rPr>
        <w:t>We may be involved in legal proceedings, including IP, securities litigation, and employee-related claims, which could, among other things, divert efforts of management and result in significant expense and loss of our IP rights.</w:t>
      </w:r>
    </w:p>
    <w:p>
      <w:pPr>
        <w:spacing w:after="0" w:line="31"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We are often involved in legal proceedings, including cases involving our IP rights and those of others, commercial matters, acquisition-related lawsuits, securities class action lawsuits, employee-related claims and other actions. Litigation or settlement of such actions, regardless of their merit, have been, and can continue to be, costly, lengthy, complex and time consuming, diverting the attention and energies of our management and technical personnel.</w:t>
      </w:r>
    </w:p>
    <w:p>
      <w:pPr>
        <w:spacing w:after="0" w:line="6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industries in which we operate are characterized by companies holding large numbers of patents, copyrights, trademarks and trade secrets and vigorously pursuing, protecting and enforcing IP rights, including actions by patent-holding companies that do not make or sell products. From time to time, third parties assert against us and our customers and distributors their IP rights to technologies that are important to our business. We may be required to indemnify our customers or purchasers for third-party IP infringement claims, including costs to defend those claims, and payment of damages in the case of adverse rulings. However, our CMs and suppliers may or may not be required to indemnify us should we or our customers be subject to such third-party claims. Claims of this sort could also harm our relationships with our customers and might deter future customers from doing business with us. If any pending or future proceedings result in an adverse outcome, we could be required to:</w:t>
      </w:r>
    </w:p>
    <w:p>
      <w:pPr>
        <w:spacing w:after="0" w:line="77" w:lineRule="exact"/>
        <w:rPr>
          <w:sz w:val="20"/>
          <w:szCs w:val="20"/>
          <w:color w:val="auto"/>
        </w:rPr>
      </w:pPr>
    </w:p>
    <w:p>
      <w:pPr>
        <w:ind w:left="660" w:right="360" w:hanging="328"/>
        <w:spacing w:after="0" w:line="287"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cease the manufacture, use or sale of the infringing products, processes or technology and/or make changes to our processes or products;</w:t>
      </w:r>
    </w:p>
    <w:p>
      <w:pPr>
        <w:spacing w:after="0" w:line="44" w:lineRule="exact"/>
        <w:rPr>
          <w:rFonts w:ascii="Arial" w:cs="Arial" w:eastAsia="Arial" w:hAnsi="Arial"/>
          <w:sz w:val="18"/>
          <w:szCs w:val="18"/>
          <w:color w:val="auto"/>
        </w:rPr>
      </w:pPr>
    </w:p>
    <w:p>
      <w:pPr>
        <w:ind w:left="660" w:right="700" w:hanging="328"/>
        <w:spacing w:after="0" w:line="287"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substantial damages for past, present and future use of the infringing technology, including up to treble damages if willful infringement is found;</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technology;</w:t>
      </w:r>
    </w:p>
    <w:p>
      <w:pPr>
        <w:spacing w:after="0" w:line="117" w:lineRule="exact"/>
        <w:rPr>
          <w:rFonts w:ascii="Arial" w:cs="Arial" w:eastAsia="Arial" w:hAnsi="Arial"/>
          <w:sz w:val="18"/>
          <w:szCs w:val="18"/>
          <w:color w:val="auto"/>
        </w:rPr>
      </w:pPr>
    </w:p>
    <w:p>
      <w:pPr>
        <w:ind w:left="660" w:right="100" w:hanging="328"/>
        <w:spacing w:after="0" w:line="287"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44" w:lineRule="exact"/>
        <w:rPr>
          <w:rFonts w:ascii="Arial" w:cs="Arial" w:eastAsia="Arial" w:hAnsi="Arial"/>
          <w:sz w:val="18"/>
          <w:szCs w:val="18"/>
          <w:color w:val="auto"/>
        </w:rPr>
      </w:pPr>
    </w:p>
    <w:p>
      <w:pPr>
        <w:ind w:left="660" w:right="420" w:hanging="328"/>
        <w:spacing w:after="0" w:line="287"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cross-licenses with our competitors, which could weaken our overall IP portfolio and our ability to compete in particular product categories;</w:t>
      </w:r>
    </w:p>
    <w:p>
      <w:pPr>
        <w:spacing w:after="0" w:line="44" w:lineRule="exact"/>
        <w:rPr>
          <w:rFonts w:ascii="Arial" w:cs="Arial" w:eastAsia="Arial" w:hAnsi="Arial"/>
          <w:sz w:val="18"/>
          <w:szCs w:val="18"/>
          <w:color w:val="auto"/>
        </w:rPr>
      </w:pPr>
    </w:p>
    <w:p>
      <w:pPr>
        <w:ind w:left="660" w:right="620" w:hanging="328"/>
        <w:spacing w:after="0" w:line="287"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substantial damages to our direct or end customers to discontinue use or replace infringing technology with non-infringing technology; or</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relinquish IP rights associated with one or more of our patent claims.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w:t>
      </w:r>
    </w:p>
    <w:p>
      <w:pPr>
        <w:spacing w:after="0" w:line="119" w:lineRule="exact"/>
        <w:rPr>
          <w:sz w:val="20"/>
          <w:szCs w:val="20"/>
          <w:color w:val="auto"/>
        </w:rPr>
      </w:pPr>
    </w:p>
    <w:p>
      <w:pPr>
        <w:ind w:right="280" w:firstLine="81"/>
        <w:spacing w:after="0" w:line="294" w:lineRule="auto"/>
        <w:rPr>
          <w:sz w:val="20"/>
          <w:szCs w:val="20"/>
          <w:color w:val="auto"/>
        </w:rPr>
      </w:pPr>
      <w:r>
        <w:rPr>
          <w:rFonts w:ascii="Arial" w:cs="Arial" w:eastAsia="Arial" w:hAnsi="Arial"/>
          <w:sz w:val="18"/>
          <w:szCs w:val="18"/>
          <w:b w:val="1"/>
          <w:bCs w:val="1"/>
          <w:i w:val="1"/>
          <w:iCs w:val="1"/>
          <w:color w:val="auto"/>
        </w:rPr>
        <w:t>We utilize a significant amount of IP in our business. Failure to protect the IP utilized in our business could adversely affect our business.</w:t>
      </w:r>
    </w:p>
    <w:p>
      <w:pPr>
        <w:spacing w:after="0" w:line="3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success depends in part upon protecting our IP. To accomplish this, we rely on a combination of IP rights, including patents, copyrights, trademarks and trade secrets, as well as customary contractual protections with our customers, suppliers, employees and consultants. We spend significant resources to monitor and protect our IP rights, including the unauthorized use of our products and usage rates of the software seat licenses and subscriptions that we sell. Even with significant expenditures, we may not be able to protect the IP rights that are valuable to our business or have sufficient IP rights to protect our products or our business. Further, effective IP protection may be unavailable or more limited in other jurisdictions, relative to those protections available in the U.S., and may not be applied for or may be abandoned in one or more relevant jurisdictions. In addition, when patents expire, we lose the protection and competitive advantages they provided to us.</w:t>
      </w:r>
    </w:p>
    <w:p>
      <w:pPr>
        <w:spacing w:after="0" w:line="77"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We also generate revenue from licensing royalty payments and from technology claim settlements relating to certain of our IP. Licensing of our IP rights, particularly exclusive licenses, may limit our ability to assert those IP rights against third parties, including the licensee of those rights. In addition, from time to time, we acquire companies with IP that is subject to</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licensing obligations to other third parties. These licensing obligations have extended, and may in the future extend, to our own IP, limiting our ability to assert our IP rights.</w:t>
      </w:r>
    </w:p>
    <w:p>
      <w:pPr>
        <w:spacing w:after="0" w:line="45" w:lineRule="exact"/>
        <w:rPr>
          <w:sz w:val="20"/>
          <w:szCs w:val="20"/>
          <w:color w:val="auto"/>
        </w:rPr>
      </w:pPr>
    </w:p>
    <w:p>
      <w:pPr>
        <w:ind w:right="180" w:firstLine="324"/>
        <w:spacing w:after="0" w:line="278" w:lineRule="auto"/>
        <w:rPr>
          <w:sz w:val="20"/>
          <w:szCs w:val="20"/>
          <w:color w:val="auto"/>
        </w:rPr>
      </w:pPr>
      <w:r>
        <w:rPr>
          <w:rFonts w:ascii="Arial" w:cs="Arial" w:eastAsia="Arial" w:hAnsi="Arial"/>
          <w:sz w:val="17"/>
          <w:szCs w:val="17"/>
          <w:color w:val="auto"/>
        </w:rPr>
        <w:t>From time to time, we pursue litigation to assert our IP rights, including, in some cases, against our customers and suppliers. Claims of this sort could also harm our relationships with our customers and might deter future customers from doing business with us. Conversely, third parties have and may in the future pursue IP litigation against us, including as a result of our IP licensing business. Any inability to adequately protect our IP could limit the value of our technology, result in the loss of opportunities to sell or license our technology to others or limit our collection of royalty payments, any of which could negatively impact our business, financial condition and results of operations.</w:t>
      </w:r>
    </w:p>
    <w:p>
      <w:pPr>
        <w:spacing w:after="0" w:line="56"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color w:val="auto"/>
        </w:rPr>
        <w:t>In addition, from time to time, we obtain or renew IP licenses. Our inability to obtain or renew these licenses on acceptable terms, or at all, could have a material adverse effect on our business and results of operations.</w:t>
      </w:r>
    </w:p>
    <w:p>
      <w:pPr>
        <w:spacing w:after="0" w:line="4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We are subject to warranty claims, product recalls and product liability.</w:t>
      </w:r>
    </w:p>
    <w:p>
      <w:pPr>
        <w:spacing w:after="0" w:line="11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From time to time, we may be subject to warranty or product liability claims that may lead to significant expense. Our customer contracts typically contain warranty and indemnification provisions, and in certain cases may also contain liquidated damages provisions. The potential liabilities associated with such provisions are significant, and in some cases, including in agreements with some of our largest customers, are potentially unlimited. Any such liabilities may greatly exceed any revenue we receive from the relevant products. Costs, payments or damages incurred or paid by us in connection with warranty and product liability claims and product recalls could materially adversely affect our financial condition and results of operations. We may also be exposed to such claims as a result of any acquisition we may undertake in the future. Although we maintain self-insured retentions for reasonably estimable liabilities, our reserves may be inadequate to cover such claims.</w:t>
      </w:r>
    </w:p>
    <w:p>
      <w:pPr>
        <w:spacing w:after="0" w:line="79" w:lineRule="exact"/>
        <w:rPr>
          <w:sz w:val="20"/>
          <w:szCs w:val="20"/>
          <w:color w:val="auto"/>
        </w:rPr>
      </w:pPr>
    </w:p>
    <w:p>
      <w:pPr>
        <w:ind w:right="640" w:firstLine="81"/>
        <w:spacing w:after="0" w:line="272" w:lineRule="auto"/>
        <w:rPr>
          <w:sz w:val="20"/>
          <w:szCs w:val="20"/>
          <w:color w:val="auto"/>
        </w:rPr>
      </w:pPr>
      <w:r>
        <w:rPr>
          <w:rFonts w:ascii="Arial" w:cs="Arial" w:eastAsia="Arial" w:hAnsi="Arial"/>
          <w:sz w:val="18"/>
          <w:szCs w:val="18"/>
          <w:b w:val="1"/>
          <w:bCs w:val="1"/>
          <w:i w:val="1"/>
          <w:iCs w:val="1"/>
          <w:color w:val="auto"/>
        </w:rPr>
        <w:t>The complexity of our products could result in unforeseen delays or expense or undetected defects or bugs, which could adversely affect the market acceptance of new products, damage our reputation with current or prospective customers, and materially and adversely affect our operating costs.</w:t>
      </w:r>
    </w:p>
    <w:p>
      <w:pPr>
        <w:spacing w:after="0" w:line="5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Highly complex products, such as those we offer, have in the past contained, and may in the future contain, defects and bugs when they are first introduced or as new versions, software documentation or enhancements are released, or their release may be delayed due to unforeseen difficulties during product development. If any of our products or third-party components used in our products, contain defects or bugs, or have reliability, quality or compatibility problems, we may not be able to successfully design workarounds. Furthermore, if any of these problems are not discovered until after we have commenced commercial production or deployment, we may be required to incur additional development costs and product recall, repair or replacement costs. Significant technical challenges also arise with our software portfolio because our customers are managing more complex, larger cloud infrastructures for more complex computing environments, license and deploy our portfolio across a variety of computer platforms and integrate them with a number of third-party software applications, databases and environments. As a result, if there is system-wide failure or an actual or perceived breach of information integrity, security or availability occurs in one of our end-user customer’s system, it can be difficult to determine which product is at fault and we could ultimately be harmed by the failure of another supplier’s product. Consequently, our reputation may be damaged, customers may be reluctant to buy our products, and we may have to invest significant capital and other resources, which could materially and adversely affect our ability to retain existing customers or attract new customers. As a result, our financial results could be materially adversely affected.</w:t>
      </w:r>
    </w:p>
    <w:p>
      <w:pPr>
        <w:spacing w:after="0" w:line="81" w:lineRule="exact"/>
        <w:rPr>
          <w:sz w:val="20"/>
          <w:szCs w:val="20"/>
          <w:color w:val="auto"/>
        </w:rPr>
      </w:pPr>
    </w:p>
    <w:p>
      <w:pPr>
        <w:ind w:right="680" w:firstLine="81"/>
        <w:spacing w:after="0" w:line="272" w:lineRule="auto"/>
        <w:rPr>
          <w:sz w:val="20"/>
          <w:szCs w:val="20"/>
          <w:color w:val="auto"/>
        </w:rPr>
      </w:pPr>
      <w:r>
        <w:rPr>
          <w:rFonts w:ascii="Arial" w:cs="Arial" w:eastAsia="Arial" w:hAnsi="Arial"/>
          <w:sz w:val="18"/>
          <w:szCs w:val="18"/>
          <w:b w:val="1"/>
          <w:bCs w:val="1"/>
          <w:i w:val="1"/>
          <w:iCs w:val="1"/>
          <w:color w:val="auto"/>
        </w:rPr>
        <w:t>We collect, use, store, or otherwise process personal information, which subjects us to privacy and data security laws and contractual commitments, and our actual or perceived failure to comply with such laws and commitments could harm our business.</w:t>
      </w:r>
    </w:p>
    <w:p>
      <w:pPr>
        <w:spacing w:after="0" w:line="50"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We collect, use and store (collectively referred to as “process” in this paragraph) certain personal information in connection with the operation of our business. This creates various levels of privacy risks across different parts of our business, depending on the type of personal information, the jurisdiction in question and the purpose of their processing. The personal information we process is subject to an increasing number of federal, state, local, and foreign laws and regulations regarding privacy and data security, as well as contractual commitments. Privacy legislation and other data protection regulations, enforcement and policy activity in this area are expanding rapidly in many jurisdictions and creating a complex regulatory compliance environment. Sectoral legislation, certification requirements and technical standards applying to certain categories of our customers, such as those in the financial services or public sector, have exacerbated this trend. The cost of complying with and implementing these privacy-related and data governance measures could increase depending on any additional burdensome security, business processes, or business record or data localization requirements. Additionally, concerns about government interference and digital sovereignty, as well as expanding privacy, cybersecurity and data governance legislation, particularly in cloud computing and AI, could adversely affect our customers, our products and services and our own data management practices. The theft, loss or misuse of personal data collected, used, stored or transferred by us to run our business could result in significantly increased business and security costs or costs related to</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defending legal claims. Any inadvertent failure or perceived failure by us to comply with privacy, data governance or cybersecurity obligations may result in governmental enforcement actions, litigation, substantial fines and damages, and could cause our customers to lose trust in us, which could have an adverse effect on our reputation and business.</w:t>
      </w:r>
    </w:p>
    <w:p>
      <w:pPr>
        <w:spacing w:after="0" w:line="65" w:lineRule="exact"/>
        <w:rPr>
          <w:sz w:val="20"/>
          <w:szCs w:val="20"/>
          <w:color w:val="auto"/>
        </w:rPr>
      </w:pPr>
    </w:p>
    <w:p>
      <w:pPr>
        <w:ind w:right="260" w:firstLine="81"/>
        <w:spacing w:after="0" w:line="294" w:lineRule="auto"/>
        <w:rPr>
          <w:sz w:val="20"/>
          <w:szCs w:val="20"/>
          <w:color w:val="auto"/>
        </w:rPr>
      </w:pPr>
      <w:r>
        <w:rPr>
          <w:rFonts w:ascii="Arial" w:cs="Arial" w:eastAsia="Arial" w:hAnsi="Arial"/>
          <w:sz w:val="18"/>
          <w:szCs w:val="18"/>
          <w:b w:val="1"/>
          <w:bCs w:val="1"/>
          <w:i w:val="1"/>
          <w:iCs w:val="1"/>
          <w:color w:val="auto"/>
        </w:rPr>
        <w:t>Corporate responsibility matters may adversely affect our relationships with customers and investors and increase compliance costs.</w:t>
      </w:r>
    </w:p>
    <w:p>
      <w:pPr>
        <w:spacing w:after="0" w:line="31"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Various jurisdictions, investors, customers and other stakeholders continue to focus on corporate responsibility matters. A number of our customers have adopted, or may adopt, procurement policies that include corporate responsibility provisions or requirements that their suppliers should comply with, or seek to include such provisions or requirements in their procurement terms and conditions. Some investors are asking companies to publicly disclose corporate responsibility-related policies, practices and metrics.</w:t>
      </w:r>
    </w:p>
    <w:p>
      <w:pPr>
        <w:spacing w:after="0" w:line="6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In addition, various jurisdictions have adopted, or are developing, complex and lengthy corporate responsibility-related laws or regulations that may be difficult to comply with and will increase our direct compliance costs, as well as indirect costs passed on to us from our customers and suppliers. If we fail to materially comply with or meet the evolving legal and regulatory requirements or expectations of our various stakeholders, we may be subject to enforcement actions, required to pay fines, face decreased customer demand or lose investors, which could harm our reputation, revenue and results of operations. Our actual or perceived failure to achieve our publicly disclosed corporate responsibility initiatives could negatively impact our reputation, subject us to litigation or enforcement actions, or otherwise harm our business.</w:t>
      </w:r>
    </w:p>
    <w:p>
      <w:pPr>
        <w:spacing w:after="0" w:line="75"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Various adopted or proposed regulations and customer requirements could also adversely affect the sourcing, availability and pricing of minerals and materials used in or for the manufacture of semiconductor products. As a result, we may face difficulties in satisfying our customers’ demands, which may harm our revenue and results of operations.</w:t>
      </w:r>
    </w:p>
    <w:p>
      <w:pPr>
        <w:spacing w:after="0" w:line="65" w:lineRule="exact"/>
        <w:rPr>
          <w:sz w:val="20"/>
          <w:szCs w:val="20"/>
          <w:color w:val="auto"/>
        </w:rPr>
      </w:pPr>
    </w:p>
    <w:p>
      <w:pPr>
        <w:ind w:firstLine="81"/>
        <w:spacing w:after="0" w:line="272" w:lineRule="auto"/>
        <w:rPr>
          <w:sz w:val="20"/>
          <w:szCs w:val="20"/>
          <w:color w:val="auto"/>
        </w:rPr>
      </w:pPr>
      <w:r>
        <w:rPr>
          <w:rFonts w:ascii="Arial" w:cs="Arial" w:eastAsia="Arial" w:hAnsi="Arial"/>
          <w:sz w:val="18"/>
          <w:szCs w:val="18"/>
          <w:b w:val="1"/>
          <w:bCs w:val="1"/>
          <w:i w:val="1"/>
          <w:iCs w:val="1"/>
          <w:color w:val="auto"/>
        </w:rPr>
        <w:t>We must comply with technical standards and a variety of domestic and international laws and regulations in the manufacture and distribution of our semiconductors, the costs of which could have a material adverse effect on our business, financial condition and results of operations.</w:t>
      </w:r>
    </w:p>
    <w:p>
      <w:pPr>
        <w:spacing w:after="0" w:line="5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manufacture and distribution of our semiconductors must comply with technical standards and a variety of domestic and international laws and regulations, including those related to the materials composition or packaging of our semiconductor products, and the use, disposal, clean-up of and human exposure to hazardous materials. This could increase the complexity and costs of our product design and procurement operations, require us to stop distributing our products commercially until they comply with such new standards, lead our customers to suspend imports of their products into that country, require us to re-engineer our products and disrupt cross-border manufacturing relationships. In addition, we may be required to modify our manufacturing process or equipment, or be restricted in our ability to expand our facilities. Any failure by us to comply with such requirements could result in litigation against us and the payment of significant fines and damages by us in the event of a significant adverse judgment. Any such event could have a material adverse effect on our business, financial condition and results of operations. Complying with any cleanup or remediation obligations for which we are or become responsible could also be costly and have a material adverse effect on our business,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Taxes</w:t>
      </w:r>
    </w:p>
    <w:p>
      <w:pPr>
        <w:spacing w:after="0" w:line="119" w:lineRule="exact"/>
        <w:rPr>
          <w:sz w:val="20"/>
          <w:szCs w:val="20"/>
          <w:color w:val="auto"/>
        </w:rPr>
      </w:pPr>
    </w:p>
    <w:p>
      <w:pPr>
        <w:ind w:right="120" w:firstLine="81"/>
        <w:spacing w:after="0" w:line="294" w:lineRule="auto"/>
        <w:rPr>
          <w:sz w:val="20"/>
          <w:szCs w:val="20"/>
          <w:color w:val="auto"/>
        </w:rPr>
      </w:pPr>
      <w:r>
        <w:rPr>
          <w:rFonts w:ascii="Arial" w:cs="Arial" w:eastAsia="Arial" w:hAnsi="Arial"/>
          <w:sz w:val="18"/>
          <w:szCs w:val="18"/>
          <w:b w:val="1"/>
          <w:bCs w:val="1"/>
          <w:i w:val="1"/>
          <w:iCs w:val="1"/>
          <w:color w:val="auto"/>
        </w:rPr>
        <w:t>Our income taxes and overall cash tax costs are affected by a number of factors that could have a material, adverse effect on our financial results.</w:t>
      </w:r>
    </w:p>
    <w:p>
      <w:pPr>
        <w:spacing w:after="0" w:line="31" w:lineRule="exact"/>
        <w:rPr>
          <w:sz w:val="20"/>
          <w:szCs w:val="20"/>
          <w:color w:val="auto"/>
        </w:rPr>
      </w:pPr>
    </w:p>
    <w:p>
      <w:pPr>
        <w:jc w:val="both"/>
        <w:ind w:right="140" w:firstLine="324"/>
        <w:spacing w:after="0" w:line="268" w:lineRule="auto"/>
        <w:rPr>
          <w:sz w:val="20"/>
          <w:szCs w:val="20"/>
          <w:color w:val="auto"/>
        </w:rPr>
      </w:pPr>
      <w:r>
        <w:rPr>
          <w:rFonts w:ascii="Arial" w:cs="Arial" w:eastAsia="Arial" w:hAnsi="Arial"/>
          <w:sz w:val="18"/>
          <w:szCs w:val="18"/>
          <w:color w:val="auto"/>
        </w:rPr>
        <w:t>Our income taxes are subject to volatility and could be adversely affected by numerous factors, including reorganization or restructuring of our business, tax structure, business combinations, jurisdictional location mix of our income and assets, and changes in tax legislation or accounting policies or related interpretations.</w:t>
      </w:r>
    </w:p>
    <w:p>
      <w:pPr>
        <w:spacing w:after="0" w:line="63"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Our global income is subject to tax in the U.S. In addition, many countries are implementing anti-base-erosion legislation and guidance aimed at standardizing and modernizing global corporate tax policy, including changes to cross-border tax, transfer pricing documentation rules, and nexus-based tax incentive practices. Many countries have implemented or are in the process of implementing a global minimum tax, which have materially increased and we expect may further materially increase our effective tax rate and cash tax costs. Substantial changes in domestic or international corporate tax policies, regulations or guidance, including the One Big Beautiful Bill Act, as well as enforcement activities or legislative investigations and inquiries may materially adversely affect our business and impact our provision for income taxes, net income, cash flow and our results of operations generally.</w:t>
      </w:r>
    </w:p>
    <w:p>
      <w:pPr>
        <w:spacing w:after="0" w:line="75"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Significant judgment is required in determining our worldwide income taxes, and our calculations of income taxes payable currently and on a deferred basis are based on our interpretations of applicable tax laws. Although we believe our tax estimates are reasonable, there is no assurance that the final determination of our income tax liability will not be materially different than what is reflected in our income tax provisions and accruals. In addition, we are subject to, and are under, tax</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audits in various jurisdictions. Although we believe our tax positions are reasonable, the final determination of tax audits could be materially different from our income tax provisions and accruals, which could have a material adverse effect on our results of operations and cash flows in the period or periods for which that determination is made.</w:t>
      </w:r>
    </w:p>
    <w:p>
      <w:pPr>
        <w:spacing w:after="0" w:line="65" w:lineRule="exact"/>
        <w:rPr>
          <w:sz w:val="20"/>
          <w:szCs w:val="20"/>
          <w:color w:val="auto"/>
        </w:rPr>
      </w:pPr>
    </w:p>
    <w:p>
      <w:pPr>
        <w:ind w:right="160" w:firstLine="81"/>
        <w:spacing w:after="0" w:line="294" w:lineRule="auto"/>
        <w:rPr>
          <w:sz w:val="20"/>
          <w:szCs w:val="20"/>
          <w:color w:val="auto"/>
        </w:rPr>
      </w:pPr>
      <w:r>
        <w:rPr>
          <w:rFonts w:ascii="Arial" w:cs="Arial" w:eastAsia="Arial" w:hAnsi="Arial"/>
          <w:sz w:val="18"/>
          <w:szCs w:val="18"/>
          <w:b w:val="1"/>
          <w:bCs w:val="1"/>
          <w:i w:val="1"/>
          <w:iCs w:val="1"/>
          <w:color w:val="auto"/>
        </w:rPr>
        <w:t>If our tax incentives or tax holiday arrangements change or cease to be in effect or applicable, our corporate income taxes could significantly increase.</w:t>
      </w:r>
    </w:p>
    <w:p>
      <w:pPr>
        <w:spacing w:after="0" w:line="3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operations have benefitted from various tax incentives extended to us in various jurisdictions to encourage investment or employment. If a tax incentive or tax holiday is modified or terminated prior to its expiration absent a new incentive, we could suffer material adverse tax and other financial consequences, which would increase our expenses, reduce our profitability and adversely affect our cash flows. In addition, we may be required, or elect, to modify our operational structure and tax strategy in order to keep an incentive, which could result in a decrease in the benefits of the incentive. Adoption of global minimum tax provisions in a country in which we have an existing tax incentive has materially increased our provision for income taxes. If additional countries in which we have tax incentives adopt similar tax provisions, this could have a further material adverse impact on our provision for income taxes.</w:t>
      </w:r>
    </w:p>
    <w:p>
      <w:pPr>
        <w:spacing w:after="0" w:line="77" w:lineRule="exact"/>
        <w:rPr>
          <w:sz w:val="20"/>
          <w:szCs w:val="20"/>
          <w:color w:val="auto"/>
        </w:rPr>
      </w:pPr>
    </w:p>
    <w:p>
      <w:pPr>
        <w:ind w:right="140" w:firstLine="81"/>
        <w:spacing w:after="0" w:line="294" w:lineRule="auto"/>
        <w:rPr>
          <w:sz w:val="20"/>
          <w:szCs w:val="20"/>
          <w:color w:val="auto"/>
        </w:rPr>
      </w:pPr>
      <w:r>
        <w:rPr>
          <w:rFonts w:ascii="Arial" w:cs="Arial" w:eastAsia="Arial" w:hAnsi="Arial"/>
          <w:sz w:val="18"/>
          <w:szCs w:val="18"/>
          <w:b w:val="1"/>
          <w:bCs w:val="1"/>
          <w:i w:val="1"/>
          <w:iCs w:val="1"/>
          <w:color w:val="auto"/>
        </w:rPr>
        <w:t>We have potential tax liabilities as a result of VMware’s former controlling ownership by Dell, which could have an adverse effect on our financial condition and operating results.</w:t>
      </w:r>
    </w:p>
    <w:p>
      <w:pPr>
        <w:spacing w:after="0" w:line="3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If the VMware spin-off from Dell in November 2021 is determined to not be tax-free for any reason, we could be liable for all or a portion of the tax liability, which could have a material adverse effect on our financial condition and operating results. Further, if the acquisition of VMware results in the spin-off failing to qualify as a tax-free transaction under Section 355 of the Internal Revenue Code, Dell, its affiliates and, potentially, its stockholders would incur significant tax liabilities and we may be required to indemnify Dell and its affiliates for any such tax liabilities, which could be material.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1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health and our ability to execute our business strategy.</w:t>
      </w:r>
    </w:p>
    <w:p>
      <w:pPr>
        <w:spacing w:after="0" w:line="115"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From time to time, we require significant expenditures to support our growth and respond to business challenges, and as a result we have additional cash requirements to support the payment of interest on our outstanding indebtedness. As of February 1, 2026, the aggregate indebtedness was $67,970 million. Our substantial indebtedness and the instruments governing our indebtedness could have important consequences including:</w:t>
      </w:r>
    </w:p>
    <w:p>
      <w:pPr>
        <w:spacing w:after="0" w:line="55" w:lineRule="exact"/>
        <w:rPr>
          <w:sz w:val="20"/>
          <w:szCs w:val="20"/>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our vulnerability to adverse general economic and industry conditions;</w:t>
      </w:r>
    </w:p>
    <w:p>
      <w:pPr>
        <w:spacing w:after="0" w:line="76"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the economy and the industries in which we operate;</w:t>
      </w:r>
    </w:p>
    <w:p>
      <w:pPr>
        <w:spacing w:after="0" w:line="76"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with less indebtedness;</w:t>
      </w:r>
    </w:p>
    <w:p>
      <w:pPr>
        <w:spacing w:after="0" w:line="90" w:lineRule="exact"/>
        <w:rPr>
          <w:rFonts w:ascii="Arial" w:cs="Arial" w:eastAsia="Arial" w:hAnsi="Arial"/>
          <w:sz w:val="18"/>
          <w:szCs w:val="18"/>
          <w:color w:val="auto"/>
        </w:rPr>
      </w:pPr>
    </w:p>
    <w:p>
      <w:pPr>
        <w:ind w:left="660" w:right="120" w:hanging="328"/>
        <w:spacing w:after="0" w:line="287" w:lineRule="auto"/>
        <w:tabs>
          <w:tab w:leader="none" w:pos="6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making it more difficult to borrow additional funds in the future to fund growth, acquisitions, working capital, capital expenditures and other purposes; and</w:t>
      </w:r>
    </w:p>
    <w:p>
      <w:pPr>
        <w:spacing w:after="0" w:line="4" w:lineRule="exact"/>
        <w:rPr>
          <w:rFonts w:ascii="Arial" w:cs="Arial" w:eastAsia="Arial" w:hAnsi="Arial"/>
          <w:sz w:val="18"/>
          <w:szCs w:val="18"/>
          <w:color w:val="auto"/>
        </w:rPr>
      </w:pPr>
    </w:p>
    <w:p>
      <w:pPr>
        <w:ind w:left="660" w:right="180" w:hanging="328"/>
        <w:spacing w:after="0" w:line="287" w:lineRule="auto"/>
        <w:tabs>
          <w:tab w:leader="none" w:pos="6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potentially requiring us to dedicate a substantial portion of our cash flow from operations to payments on our indebtedness, thereby reducing the availability of our cash flow to fund our other business needs.</w:t>
      </w:r>
    </w:p>
    <w:p>
      <w:pPr>
        <w:spacing w:after="0" w:line="45"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Furthermore, we may enter into other financing arrangements, such as guarantees, to support our strategic initiatives or other corporate purposes, which could increase our fixed obligations, have a negative impact on our financial condition and reduce our financial and business flexibility.</w:t>
      </w:r>
    </w:p>
    <w:p>
      <w:pPr>
        <w:spacing w:after="0" w:line="6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receive debt ratings from the major credit rating agencies in the U.S., and any downgrade in our credit rating or the ratings of our indebtedness, or adverse conditions in the debt capital markets, could materially adversely affect our business, financial condition and results of operations. In addition, the current market volatility may adversely impact our ability to manage our debt, including through borrowing at favorable interest rates or due to reduced cash flows.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11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Our stock price has been, and may in the future be, volatile and your investment could lose value.</w:t>
      </w:r>
    </w:p>
    <w:p>
      <w:pPr>
        <w:spacing w:after="0" w:line="115"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The trading price of our common stock has, at times, fluctuated significantly and could be subject to wide fluctuations in response to any of the risk factors listed in this “Risk Factors” section, and others, including:</w:t>
      </w:r>
    </w:p>
    <w:p>
      <w:pPr>
        <w:spacing w:after="0" w:line="45" w:lineRule="exact"/>
        <w:rPr>
          <w:sz w:val="20"/>
          <w:szCs w:val="20"/>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issuance of new or updated research or other reports by securities analysts;</w:t>
      </w:r>
    </w:p>
    <w:p>
      <w:pPr>
        <w:spacing w:after="0" w:line="117" w:lineRule="exact"/>
        <w:rPr>
          <w:rFonts w:ascii="Arial" w:cs="Arial" w:eastAsia="Arial" w:hAnsi="Arial"/>
          <w:sz w:val="18"/>
          <w:szCs w:val="18"/>
          <w:color w:val="auto"/>
        </w:rPr>
      </w:pPr>
    </w:p>
    <w:p>
      <w:pPr>
        <w:ind w:left="660" w:right="80" w:hanging="328"/>
        <w:spacing w:after="0" w:line="287" w:lineRule="auto"/>
        <w:tabs>
          <w:tab w:leader="none" w:pos="6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anticipated or actual demand for products used in AI-related solutions, including ASICs such as custom AI accelerators or XPUs and network switches;</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broad market, industry and competitor-related fluctuations;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negative publicity regarding us or our business, or that of our significant customers, whether accurate or not;</w:t>
      </w:r>
    </w:p>
    <w:p>
      <w:pPr>
        <w:spacing w:after="0" w:line="117" w:lineRule="exact"/>
        <w:rPr>
          <w:rFonts w:ascii="Arial" w:cs="Arial" w:eastAsia="Arial" w:hAnsi="Arial"/>
          <w:sz w:val="18"/>
          <w:szCs w:val="18"/>
          <w:color w:val="auto"/>
        </w:rPr>
      </w:pPr>
    </w:p>
    <w:p>
      <w:pPr>
        <w:ind w:left="660" w:right="140" w:hanging="328"/>
        <w:spacing w:after="0" w:line="287" w:lineRule="auto"/>
        <w:tabs>
          <w:tab w:leader="none" w:pos="6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the valuation and results of operations of our significant customers as well as companies perceived by investors to be comparable to us;</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proposed acquisitions by us or our competitors;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or expectations of, additional debt or equity financing transactions;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hedging or arbitrage trading activity involving our common stock;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sales of our common stock by one or more of our largest investors.</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These fluctuations are often unrelated or disproportionate to our operating performance. Broad market and industry fluctuations, as well as general economic, political and market conditions such as recessions, interest rate changes, market corrections or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may be the target of this type of litigation in the future. In addition, we have been, and in the future we may be, subject to lawsuits stemming from our acquisitions. Securities litigation against us, including the lawsuits related to such acquisitions, could result in substantial costs and divert our management’s attention from other business concerns, which could seriously harm our business.</w:t>
      </w:r>
    </w:p>
    <w:p>
      <w:pPr>
        <w:spacing w:after="0" w:line="7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The amount and frequency of our stock repurchases may fluctuate.</w:t>
      </w:r>
    </w:p>
    <w:p>
      <w:pPr>
        <w:spacing w:after="0" w:line="11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amount, timing and execution of our stock repurchase program may fluctuate based on our priorities for the use of cash for other purposes. These purposes include operational spending, capital spending, acquisitions, repayment of debt and returning cash to our stockholders as dividend payments. Changes in cash flows, tax laws and our stock price could also impact our stock repurchase program. We are not obligated to repurchase any specific amount of shares of common stock, and the stock repurchase program may be suspended or terminated at any time.</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There can be no assurance that we will continue to declare cash dividends.</w:t>
      </w:r>
    </w:p>
    <w:p>
      <w:pPr>
        <w:spacing w:after="0" w:line="11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Our Board of Directors has adopted a dividend policy pursuant to which we currently pay a cash dividend on our common stock on a quarterly basis. The declaration and payment of any dividend is subject to the approval of our Board of Directors and our dividend may be discontinued or reduced at any time. Because we are a holding company, our ability to pay cash dividends is also limited by restrictions or limitations on our ability to obtain sufficient funds through dividends from subsidiaries. There can be no assurance that we will declare cash dividends in the future in any particular amounts, or at all. A reduction in our cash dividend payments could have a negative effect on our stock price.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5420"/>
        <w:spacing w:after="0" w:line="375" w:lineRule="auto"/>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spacing w:after="0" w:line="1" w:lineRule="exact"/>
        <w:rPr>
          <w:sz w:val="20"/>
          <w:szCs w:val="20"/>
          <w:color w:val="auto"/>
        </w:rPr>
      </w:pPr>
    </w:p>
    <w:p>
      <w:pPr>
        <w:jc w:val="both"/>
        <w:ind w:right="100" w:firstLine="405"/>
        <w:spacing w:after="0" w:line="268" w:lineRule="auto"/>
        <w:rPr>
          <w:sz w:val="20"/>
          <w:szCs w:val="20"/>
          <w:color w:val="auto"/>
        </w:rPr>
      </w:pPr>
      <w:r>
        <w:rPr>
          <w:rFonts w:ascii="Arial" w:cs="Arial" w:eastAsia="Arial" w:hAnsi="Arial"/>
          <w:sz w:val="18"/>
          <w:szCs w:val="18"/>
          <w:color w:val="auto"/>
        </w:rPr>
        <w:t>The following table presents our repurchases during the fiscal quarter ended February 1, 2026 pursuant to a stock repurchase program to repurchase up to $10 billion of our common stock through December 31, 2025 authorized by our Board of Directors in the second quarter of fiscal year 2025, which was subsequently extended through December 31, 2026 and increased to $11 billion.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ind w:right="20"/>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Purchased as Part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center"/>
              <w:ind w:right="40"/>
              <w:spacing w:after="0" w:line="145"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per Share</w:t>
            </w:r>
          </w:p>
        </w:tc>
        <w:tc>
          <w:tcPr>
            <w:tcW w:w="100" w:type="dxa"/>
            <w:vAlign w:val="bottom"/>
            <w:vMerge w:val="restart"/>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Publicly Announced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89"/>
        </w:trPr>
        <w:tc>
          <w:tcPr>
            <w:tcW w:w="3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6"/>
                <w:szCs w:val="16"/>
                <w:color w:val="auto"/>
              </w:rPr>
            </w:pPr>
          </w:p>
        </w:tc>
        <w:tc>
          <w:tcPr>
            <w:tcW w:w="17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Under the Plan</w:t>
            </w:r>
          </w:p>
        </w:tc>
        <w:tc>
          <w:tcPr>
            <w:tcW w:w="0" w:type="dxa"/>
            <w:vAlign w:val="bottom"/>
          </w:tcPr>
          <w:p>
            <w:pPr>
              <w:spacing w:after="0"/>
              <w:rPr>
                <w:sz w:val="1"/>
                <w:szCs w:val="1"/>
                <w:color w:val="auto"/>
              </w:rPr>
            </w:pPr>
          </w:p>
        </w:tc>
      </w:tr>
      <w:tr>
        <w:trPr>
          <w:trHeight w:val="235"/>
        </w:trPr>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8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(In millions, except per share data)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3, 2025 - November 30, 2025</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229"/>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December 1, 2025 - December 28, 2025</w:t>
            </w:r>
          </w:p>
        </w:tc>
        <w:tc>
          <w:tcPr>
            <w:tcW w:w="1700" w:type="dxa"/>
            <w:vAlign w:val="bottom"/>
          </w:tcPr>
          <w:p>
            <w:pPr>
              <w:jc w:val="right"/>
              <w:spacing w:after="0"/>
              <w:rPr>
                <w:sz w:val="20"/>
                <w:szCs w:val="20"/>
                <w:color w:val="auto"/>
              </w:rPr>
            </w:pPr>
            <w:r>
              <w:rPr>
                <w:rFonts w:ascii="Arial" w:cs="Arial" w:eastAsia="Arial" w:hAnsi="Arial"/>
                <w:sz w:val="18"/>
                <w:szCs w:val="18"/>
                <w:color w:val="auto"/>
              </w:rPr>
              <w:t>15</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337.23</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29, 2025 - February 1, 2026</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345.40</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340.15</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firstLine="405"/>
        <w:spacing w:after="0" w:line="287" w:lineRule="auto"/>
        <w:rPr>
          <w:sz w:val="20"/>
          <w:szCs w:val="20"/>
          <w:color w:val="auto"/>
        </w:rPr>
      </w:pPr>
      <w:r>
        <w:rPr>
          <w:rFonts w:ascii="Arial" w:cs="Arial" w:eastAsia="Arial" w:hAnsi="Arial"/>
          <w:sz w:val="18"/>
          <w:szCs w:val="18"/>
          <w:color w:val="auto"/>
        </w:rPr>
        <w:t>Subsequent to the fiscal quarter ended February 1, 2026, our Board of Directors authorized a stock repurchase program to repurchase up to $10 billion of our common stock from time to time through December 31, 2026.</w:t>
      </w:r>
    </w:p>
    <w:p>
      <w:pPr>
        <w:spacing w:after="0" w:line="4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Repurchases under our stock repurchase programs may be made through a variety of methods, including open market or privately negotiated purchases. The timing and amount of shares repurchased will depend on the stock price, business and market conditions, corporate and regulatory requirements, alternative investment opportunities, acquisition opportunities and other factors. We are not obligated to repurchase any specific amount of shares of common stock, and the stock repurchase programs may be suspended or terminated at any time.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w:t>
      </w:r>
    </w:p>
    <w:p>
      <w:pPr>
        <w:spacing w:after="0" w:line="11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Henry Samueli, Ph.D., our Chairman of the Board, has voting and dispositive power over the shares held by D95GT, LLC (“D95GT”) and H&amp;S Investments I, L.P. (“H&amp;S Investments”) and disclaims beneficial ownership of these shares, except to the extent of his pecuniary interest. Dr. Samueli does not have a pecuniary interest in the shares held by the Samueli Foundation or The Rinks Foundation, but the Samueli Foundation and The Rinks Foundation may be deemed an affiliate of Dr. Samueli. On December 16, 2025, D95GT, H&amp;S Investments, the Samueli Foundation and The Rinks Foundation adopted a trading plan intended to satisfy Rule 10b5-1(c) under the Exchange Act (the “Trading Plan”). Pursuant to the Trading Plan, (i) D95GT will gift up to $105,678,000 in shares of Broadcom common stock to the Samueli Foundation and (ii) H&amp;S Investments will gift up to $94,322,000 in shares of Broadcom common stock to the Samueli Foundation, up to $ 9,000,000 in shares of Broadcom common stock to The Rinks Foundation and up to $105,000,000 in shares of Broadcom common stock to a charity. The Samueli Foundation and The Rinks Foundation will subsequently sell all shares donated to them as provided above. Pursuant to the Trading Plan, D95GT will also sell up to $ 660,000,000 in shares of Broadcom common stock and H&amp;S Investments will also sell up to $340,000,000 in shares of Broadcom common stock. The Trading Plan will expire on December 31, 2026, subject to early termination for certain specified events set forth in the Trading Plan.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color w:val="auto"/>
              </w:rPr>
              <w:t>Incorporated by Reference</w:t>
            </w: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00" w:type="dxa"/>
            <w:vAlign w:val="bottom"/>
            <w:gridSpan w:val="2"/>
          </w:tcPr>
          <w:p>
            <w:pPr>
              <w:spacing w:after="0" w:line="135" w:lineRule="exact"/>
              <w:rPr>
                <w:sz w:val="20"/>
                <w:szCs w:val="20"/>
                <w:color w:val="auto"/>
              </w:rPr>
            </w:pPr>
            <w:r>
              <w:rPr>
                <w:rFonts w:ascii="Arial" w:cs="Arial" w:eastAsia="Arial" w:hAnsi="Arial"/>
                <w:sz w:val="14"/>
                <w:szCs w:val="14"/>
                <w:color w:val="auto"/>
              </w:rPr>
              <w:t>Exhibit</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80" w:type="dxa"/>
            <w:vAlign w:val="bottom"/>
            <w:gridSpan w:val="32"/>
            <w:vMerge w:val="restart"/>
          </w:tcPr>
          <w:p>
            <w:pPr>
              <w:ind w:left="160"/>
              <w:spacing w:after="0"/>
              <w:rPr>
                <w:sz w:val="20"/>
                <w:szCs w:val="20"/>
                <w:color w:val="auto"/>
              </w:rPr>
            </w:pPr>
            <w:r>
              <w:rPr>
                <w:rFonts w:ascii="Arial" w:cs="Arial" w:eastAsia="Arial" w:hAnsi="Arial"/>
                <w:sz w:val="14"/>
                <w:szCs w:val="14"/>
                <w:color w:val="auto"/>
              </w:rPr>
              <w:t>Description</w:t>
            </w:r>
          </w:p>
        </w:tc>
        <w:tc>
          <w:tcPr>
            <w:tcW w:w="880" w:type="dxa"/>
            <w:vAlign w:val="bottom"/>
            <w:gridSpan w:val="2"/>
            <w:vMerge w:val="restart"/>
          </w:tcPr>
          <w:p>
            <w:pPr>
              <w:ind w:left="220"/>
              <w:spacing w:after="0"/>
              <w:rPr>
                <w:sz w:val="20"/>
                <w:szCs w:val="20"/>
                <w:color w:val="auto"/>
              </w:rPr>
            </w:pPr>
            <w:r>
              <w:rPr>
                <w:rFonts w:ascii="Arial" w:cs="Arial" w:eastAsia="Arial" w:hAnsi="Arial"/>
                <w:sz w:val="14"/>
                <w:szCs w:val="14"/>
                <w:color w:val="auto"/>
              </w:rPr>
              <w:t>Form</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File No.</w:t>
            </w:r>
          </w:p>
        </w:tc>
        <w:tc>
          <w:tcPr>
            <w:tcW w:w="760" w:type="dxa"/>
            <w:vAlign w:val="bottom"/>
            <w:gridSpan w:val="3"/>
            <w:vMerge w:val="restart"/>
          </w:tcPr>
          <w:p>
            <w:pPr>
              <w:jc w:val="center"/>
              <w:ind w:right="180"/>
              <w:spacing w:after="0"/>
              <w:rPr>
                <w:sz w:val="20"/>
                <w:szCs w:val="20"/>
                <w:color w:val="auto"/>
              </w:rPr>
            </w:pPr>
            <w:r>
              <w:rPr>
                <w:rFonts w:ascii="Arial" w:cs="Arial" w:eastAsia="Arial" w:hAnsi="Arial"/>
                <w:sz w:val="14"/>
                <w:szCs w:val="14"/>
                <w:color w:val="auto"/>
                <w:w w:val="99"/>
              </w:rPr>
              <w:t>Exhibit</w:t>
            </w: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rPr>
              <w:t>Filing Date</w:t>
            </w:r>
          </w:p>
        </w:tc>
        <w:tc>
          <w:tcPr>
            <w:tcW w:w="800" w:type="dxa"/>
            <w:vAlign w:val="bottom"/>
          </w:tcPr>
          <w:p>
            <w:pPr>
              <w:jc w:val="center"/>
              <w:spacing w:after="0" w:line="135" w:lineRule="exact"/>
              <w:rPr>
                <w:sz w:val="20"/>
                <w:szCs w:val="20"/>
                <w:color w:val="auto"/>
              </w:rPr>
            </w:pPr>
            <w:r>
              <w:rPr>
                <w:rFonts w:ascii="Arial" w:cs="Arial" w:eastAsia="Arial" w:hAnsi="Arial"/>
                <w:sz w:val="14"/>
                <w:szCs w:val="14"/>
                <w:color w:val="auto"/>
              </w:rPr>
              <w:t>Filed</w:t>
            </w:r>
          </w:p>
        </w:tc>
        <w:tc>
          <w:tcPr>
            <w:tcW w:w="0" w:type="dxa"/>
            <w:vAlign w:val="bottom"/>
          </w:tcPr>
          <w:p>
            <w:pPr>
              <w:spacing w:after="0"/>
              <w:rPr>
                <w:sz w:val="1"/>
                <w:szCs w:val="1"/>
                <w:color w:val="auto"/>
              </w:rPr>
            </w:pPr>
          </w:p>
        </w:tc>
      </w:tr>
      <w:tr>
        <w:trPr>
          <w:trHeight w:val="189"/>
        </w:trPr>
        <w:tc>
          <w:tcPr>
            <w:tcW w:w="1000" w:type="dxa"/>
            <w:vAlign w:val="bottom"/>
            <w:gridSpan w:val="2"/>
          </w:tcPr>
          <w:p>
            <w:pPr>
              <w:spacing w:after="0"/>
              <w:rPr>
                <w:sz w:val="20"/>
                <w:szCs w:val="20"/>
                <w:color w:val="auto"/>
              </w:rPr>
            </w:pPr>
            <w:r>
              <w:rPr>
                <w:rFonts w:ascii="Arial" w:cs="Arial" w:eastAsia="Arial" w:hAnsi="Arial"/>
                <w:sz w:val="14"/>
                <w:szCs w:val="14"/>
                <w:color w:val="auto"/>
              </w:rPr>
              <w:t>Number</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80" w:type="dxa"/>
            <w:vAlign w:val="bottom"/>
            <w:gridSpan w:val="3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Herewith</w:t>
            </w:r>
          </w:p>
        </w:tc>
        <w:tc>
          <w:tcPr>
            <w:tcW w:w="0" w:type="dxa"/>
            <w:vAlign w:val="bottom"/>
          </w:tcPr>
          <w:p>
            <w:pPr>
              <w:spacing w:after="0"/>
              <w:rPr>
                <w:sz w:val="1"/>
                <w:szCs w:val="1"/>
                <w:color w:val="auto"/>
              </w:rPr>
            </w:pPr>
          </w:p>
        </w:tc>
      </w:tr>
      <w:tr>
        <w:trPr>
          <w:trHeight w:val="183"/>
        </w:trPr>
        <w:tc>
          <w:tcPr>
            <w:tcW w:w="8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880" w:type="dxa"/>
            <w:vAlign w:val="bottom"/>
            <w:tcBorders>
              <w:top w:val="single" w:sz="8" w:color="auto"/>
              <w:bottom w:val="single" w:sz="8" w:color="0000FF"/>
            </w:tcBorders>
            <w:gridSpan w:val="35"/>
          </w:tcPr>
          <w:p>
            <w:pPr>
              <w:spacing w:after="0" w:line="182" w:lineRule="exact"/>
              <w:rPr>
                <w:rFonts w:ascii="Arial" w:cs="Arial" w:eastAsia="Arial" w:hAnsi="Arial"/>
                <w:sz w:val="18"/>
                <w:szCs w:val="18"/>
                <w:color w:val="0000FF"/>
                <w:w w:val="99"/>
              </w:rPr>
            </w:pPr>
            <w:hyperlink r:id="rId66">
              <w:r>
                <w:rPr>
                  <w:rFonts w:ascii="Arial" w:cs="Arial" w:eastAsia="Arial" w:hAnsi="Arial"/>
                  <w:sz w:val="18"/>
                  <w:szCs w:val="18"/>
                  <w:color w:val="0000FF"/>
                  <w:w w:val="99"/>
                </w:rPr>
                <w:t>Agreement and Plan of Merger, dated as of May 26, 2022, by</w:t>
              </w:r>
            </w:hyperlink>
          </w:p>
        </w:tc>
        <w:tc>
          <w:tcPr>
            <w:tcW w:w="180" w:type="dxa"/>
            <w:vAlign w:val="bottom"/>
            <w:tcBorders>
              <w:top w:val="single" w:sz="8" w:color="auto"/>
            </w:tcBorders>
            <w:gridSpan w:val="5"/>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8-K</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5"/>
                <w:szCs w:val="15"/>
                <w:color w:val="auto"/>
              </w:rPr>
            </w:pPr>
          </w:p>
        </w:tc>
        <w:tc>
          <w:tcPr>
            <w:tcW w:w="6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ind w:right="11"/>
              <w:spacing w:after="0" w:line="182" w:lineRule="exact"/>
              <w:rPr>
                <w:sz w:val="20"/>
                <w:szCs w:val="20"/>
                <w:color w:val="auto"/>
              </w:rPr>
            </w:pPr>
            <w:r>
              <w:rPr>
                <w:rFonts w:ascii="Arial" w:cs="Arial" w:eastAsia="Arial" w:hAnsi="Arial"/>
                <w:sz w:val="18"/>
                <w:szCs w:val="18"/>
                <w:color w:val="auto"/>
                <w:w w:val="99"/>
              </w:rPr>
              <w:t>05-26-2022</w:t>
            </w:r>
          </w:p>
        </w:tc>
        <w:tc>
          <w:tcPr>
            <w:tcW w:w="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gridSpan w:val="41"/>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and among Broadcom Inc., VMware, Inc., Verona Holdco, Inc.,</w:t>
              </w:r>
            </w:hyperlink>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Verona Merger Sub, Inc., Barcelona Merger Sub 2, Inc. and</w:t>
              </w:r>
            </w:hyperlink>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4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99"/>
              </w:rPr>
            </w:pPr>
            <w:hyperlink r:id="rId66">
              <w:r>
                <w:rPr>
                  <w:rFonts w:ascii="Arial" w:cs="Arial" w:eastAsia="Arial" w:hAnsi="Arial"/>
                  <w:sz w:val="18"/>
                  <w:szCs w:val="18"/>
                  <w:color w:val="0000FF"/>
                  <w:w w:val="99"/>
                </w:rPr>
                <w:t>Barcelona Merger Sub 3, LLC.</w:t>
              </w:r>
            </w:hyperlink>
          </w:p>
        </w:tc>
        <w:tc>
          <w:tcPr>
            <w:tcW w:w="2300" w:type="dxa"/>
            <w:vAlign w:val="bottom"/>
            <w:tcBorders>
              <w:top w:val="single" w:sz="8" w:color="0000FF"/>
            </w:tcBorders>
            <w:gridSpan w:val="20"/>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41"/>
          </w:tcPr>
          <w:p>
            <w:pPr>
              <w:spacing w:after="0"/>
              <w:rPr>
                <w:rFonts w:ascii="Arial" w:cs="Arial" w:eastAsia="Arial" w:hAnsi="Arial"/>
                <w:sz w:val="18"/>
                <w:szCs w:val="18"/>
                <w:color w:val="0000FF"/>
              </w:rPr>
            </w:pPr>
            <w:hyperlink r:id="rId67">
              <w:r>
                <w:rPr>
                  <w:rFonts w:ascii="Arial" w:cs="Arial" w:eastAsia="Arial" w:hAnsi="Arial"/>
                  <w:sz w:val="18"/>
                  <w:szCs w:val="18"/>
                  <w:color w:val="0000FF"/>
                </w:rPr>
                <w:t>Amended and Restated Certificate of Incorporation (including</w:t>
              </w:r>
            </w:hyperlink>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7"/>
              </w:rPr>
              <w:t>09-11-2024</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8"/>
              </w:rPr>
            </w:pPr>
            <w:hyperlink r:id="rId67">
              <w:r>
                <w:rPr>
                  <w:rFonts w:ascii="Arial" w:cs="Arial" w:eastAsia="Arial" w:hAnsi="Arial"/>
                  <w:sz w:val="18"/>
                  <w:szCs w:val="18"/>
                  <w:color w:val="0000FF"/>
                  <w:w w:val="98"/>
                </w:rPr>
                <w:t>all amendments thereto).</w:t>
              </w:r>
            </w:hyperlink>
          </w:p>
        </w:tc>
        <w:tc>
          <w:tcPr>
            <w:tcW w:w="288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41"/>
          </w:tcPr>
          <w:p>
            <w:pPr>
              <w:spacing w:after="0"/>
              <w:rPr>
                <w:rFonts w:ascii="Arial" w:cs="Arial" w:eastAsia="Arial" w:hAnsi="Arial"/>
                <w:sz w:val="18"/>
                <w:szCs w:val="18"/>
                <w:color w:val="0000FF"/>
              </w:rPr>
            </w:pPr>
            <w:hyperlink r:id="rId68">
              <w:r>
                <w:rPr>
                  <w:rFonts w:ascii="Arial" w:cs="Arial" w:eastAsia="Arial" w:hAnsi="Arial"/>
                  <w:sz w:val="18"/>
                  <w:szCs w:val="18"/>
                  <w:color w:val="0000FF"/>
                </w:rPr>
                <w:t>Amended and Restated Bylaws.</w:t>
              </w:r>
            </w:hyperlink>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8-K12B</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04-04-2018</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0" w:type="dxa"/>
            <w:vAlign w:val="bottom"/>
            <w:tcBorders>
              <w:bottom w:val="single" w:sz="8" w:color="0000FF"/>
            </w:tcBorders>
            <w:gridSpan w:val="13"/>
          </w:tcPr>
          <w:p>
            <w:pPr>
              <w:spacing w:after="0"/>
              <w:rPr>
                <w:rFonts w:ascii="Arial" w:cs="Arial" w:eastAsia="Arial" w:hAnsi="Arial"/>
                <w:sz w:val="18"/>
                <w:szCs w:val="18"/>
                <w:color w:val="0000FF"/>
                <w:w w:val="98"/>
              </w:rPr>
            </w:pPr>
            <w:hyperlink r:id="rId69">
              <w:r>
                <w:rPr>
                  <w:rFonts w:ascii="Arial" w:cs="Arial" w:eastAsia="Arial" w:hAnsi="Arial"/>
                  <w:sz w:val="18"/>
                  <w:szCs w:val="18"/>
                  <w:color w:val="0000FF"/>
                  <w:w w:val="98"/>
                </w:rPr>
                <w:t>Form of Common Stock Certificate.</w:t>
              </w:r>
            </w:hyperlink>
          </w:p>
        </w:tc>
        <w:tc>
          <w:tcPr>
            <w:tcW w:w="2360" w:type="dxa"/>
            <w:vAlign w:val="bottom"/>
            <w:gridSpan w:val="28"/>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06-14-2018</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Borders>
              <w:bottom w:val="single" w:sz="8" w:color="0000FF"/>
            </w:tcBorders>
            <w:gridSpan w:val="10"/>
          </w:tcPr>
          <w:p>
            <w:pPr>
              <w:spacing w:after="0"/>
              <w:rPr>
                <w:rFonts w:ascii="Arial" w:cs="Arial" w:eastAsia="Arial" w:hAnsi="Arial"/>
                <w:sz w:val="18"/>
                <w:szCs w:val="18"/>
                <w:color w:val="0000FF"/>
                <w:w w:val="98"/>
              </w:rPr>
            </w:pPr>
            <w:hyperlink r:id="rId70">
              <w:r>
                <w:rPr>
                  <w:rFonts w:ascii="Arial" w:cs="Arial" w:eastAsia="Arial" w:hAnsi="Arial"/>
                  <w:sz w:val="18"/>
                  <w:szCs w:val="18"/>
                  <w:color w:val="0000FF"/>
                  <w:w w:val="98"/>
                </w:rPr>
                <w:t>Description of Common Stock.</w:t>
              </w:r>
            </w:hyperlink>
          </w:p>
        </w:tc>
        <w:tc>
          <w:tcPr>
            <w:tcW w:w="2740" w:type="dxa"/>
            <w:vAlign w:val="bottom"/>
            <w:gridSpan w:val="31"/>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10-K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12-20-2024</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20" w:type="dxa"/>
            <w:vAlign w:val="bottom"/>
            <w:tcBorders>
              <w:bottom w:val="single" w:sz="8" w:color="0000FF"/>
            </w:tcBorders>
            <w:gridSpan w:val="24"/>
          </w:tcPr>
          <w:p>
            <w:pPr>
              <w:spacing w:after="0"/>
              <w:rPr>
                <w:rFonts w:ascii="Arial" w:cs="Arial" w:eastAsia="Arial" w:hAnsi="Arial"/>
                <w:sz w:val="18"/>
                <w:szCs w:val="18"/>
                <w:color w:val="0000FF"/>
                <w:w w:val="99"/>
              </w:rPr>
            </w:pPr>
            <w:hyperlink r:id="rId71">
              <w:r>
                <w:rPr>
                  <w:rFonts w:ascii="Arial" w:cs="Arial" w:eastAsia="Arial" w:hAnsi="Arial"/>
                  <w:sz w:val="18"/>
                  <w:szCs w:val="18"/>
                  <w:color w:val="0000FF"/>
                  <w:w w:val="99"/>
                </w:rPr>
                <w:t>Indenture, dated as of January 19, 2017, by and among</w:t>
              </w:r>
            </w:hyperlink>
          </w:p>
        </w:tc>
        <w:tc>
          <w:tcPr>
            <w:tcW w:w="740" w:type="dxa"/>
            <w:vAlign w:val="bottom"/>
            <w:gridSpan w:val="17"/>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001-37690</w:t>
            </w:r>
          </w:p>
        </w:tc>
        <w:tc>
          <w:tcPr>
            <w:tcW w:w="1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01-20-2017</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gridSpan w:val="41"/>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the Broadcom Corporation and Broadcom Cayman Finance</w:t>
              </w:r>
            </w:hyperlink>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Limited (the “Co-Issuers”), the guarantors and Wilmington</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60" w:type="dxa"/>
            <w:vAlign w:val="bottom"/>
            <w:tcBorders>
              <w:top w:val="single" w:sz="8" w:color="0000FF"/>
              <w:bottom w:val="single" w:sz="8" w:color="0000FF"/>
            </w:tcBorders>
            <w:gridSpan w:val="14"/>
          </w:tcPr>
          <w:p>
            <w:pPr>
              <w:spacing w:after="0" w:line="169" w:lineRule="exact"/>
              <w:rPr>
                <w:rFonts w:ascii="Arial" w:cs="Arial" w:eastAsia="Arial" w:hAnsi="Arial"/>
                <w:sz w:val="18"/>
                <w:szCs w:val="18"/>
                <w:color w:val="0000FF"/>
                <w:w w:val="98"/>
              </w:rPr>
            </w:pPr>
            <w:hyperlink r:id="rId71">
              <w:r>
                <w:rPr>
                  <w:rFonts w:ascii="Arial" w:cs="Arial" w:eastAsia="Arial" w:hAnsi="Arial"/>
                  <w:sz w:val="18"/>
                  <w:szCs w:val="18"/>
                  <w:color w:val="0000FF"/>
                  <w:w w:val="98"/>
                </w:rPr>
                <w:t>Trust, National Association, as trustee.</w:t>
              </w:r>
            </w:hyperlink>
          </w:p>
        </w:tc>
        <w:tc>
          <w:tcPr>
            <w:tcW w:w="152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41"/>
          </w:tcPr>
          <w:p>
            <w:pPr>
              <w:spacing w:after="0"/>
              <w:rPr>
                <w:rFonts w:ascii="Arial" w:cs="Arial" w:eastAsia="Arial" w:hAnsi="Arial"/>
                <w:sz w:val="18"/>
                <w:szCs w:val="18"/>
                <w:color w:val="0000FF"/>
              </w:rPr>
            </w:pPr>
            <w:hyperlink r:id="rId72">
              <w:r>
                <w:rPr>
                  <w:rFonts w:ascii="Arial" w:cs="Arial" w:eastAsia="Arial" w:hAnsi="Arial"/>
                  <w:sz w:val="18"/>
                  <w:szCs w:val="18"/>
                  <w:color w:val="0000FF"/>
                </w:rPr>
                <w:t>First Supplemental Indenture to the January 2017 Indenture,</w:t>
              </w:r>
            </w:hyperlink>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04-09-2018</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72">
              <w:r>
                <w:rPr>
                  <w:rFonts w:ascii="Arial" w:cs="Arial" w:eastAsia="Arial" w:hAnsi="Arial"/>
                  <w:sz w:val="18"/>
                  <w:szCs w:val="18"/>
                  <w:color w:val="0000FF"/>
                </w:rPr>
                <w:t>dated as of April 9, 2018.</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41"/>
          </w:tcPr>
          <w:p>
            <w:pPr>
              <w:spacing w:after="0"/>
              <w:rPr>
                <w:rFonts w:ascii="Arial" w:cs="Arial" w:eastAsia="Arial" w:hAnsi="Arial"/>
                <w:sz w:val="18"/>
                <w:szCs w:val="18"/>
                <w:color w:val="0000FF"/>
              </w:rPr>
            </w:pPr>
            <w:hyperlink r:id="rId73">
              <w:r>
                <w:rPr>
                  <w:rFonts w:ascii="Arial" w:cs="Arial" w:eastAsia="Arial" w:hAnsi="Arial"/>
                  <w:sz w:val="18"/>
                  <w:szCs w:val="18"/>
                  <w:color w:val="0000FF"/>
                </w:rPr>
                <w:t>Second Supplemental Indenture to the January 2017</w:t>
              </w:r>
            </w:hyperlink>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01-25-2019</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73">
              <w:r>
                <w:rPr>
                  <w:rFonts w:ascii="Arial" w:cs="Arial" w:eastAsia="Arial" w:hAnsi="Arial"/>
                  <w:sz w:val="18"/>
                  <w:szCs w:val="18"/>
                  <w:color w:val="0000FF"/>
                </w:rPr>
                <w:t>Indenture, dated as of January 25, 2019.</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41"/>
          </w:tcPr>
          <w:p>
            <w:pPr>
              <w:spacing w:after="0"/>
              <w:rPr>
                <w:rFonts w:ascii="Arial" w:cs="Arial" w:eastAsia="Arial" w:hAnsi="Arial"/>
                <w:sz w:val="18"/>
                <w:szCs w:val="18"/>
                <w:color w:val="0000FF"/>
              </w:rPr>
            </w:pPr>
            <w:hyperlink r:id="rId74">
              <w:r>
                <w:rPr>
                  <w:rFonts w:ascii="Arial" w:cs="Arial" w:eastAsia="Arial" w:hAnsi="Arial"/>
                  <w:sz w:val="18"/>
                  <w:szCs w:val="18"/>
                  <w:color w:val="0000FF"/>
                </w:rPr>
                <w:t>Indenture, dated as of October 17, 2017, by and among</w:t>
              </w:r>
            </w:hyperlink>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001-37690</w:t>
            </w:r>
          </w:p>
        </w:tc>
        <w:tc>
          <w:tcPr>
            <w:tcW w:w="1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10-17-2017</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tcBorders>
              <w:top w:val="single" w:sz="8" w:color="0000FF"/>
            </w:tcBorders>
            <w:gridSpan w:val="24"/>
          </w:tcPr>
          <w:p>
            <w:pPr>
              <w:spacing w:after="0" w:line="162" w:lineRule="exact"/>
              <w:rPr>
                <w:rFonts w:ascii="Arial" w:cs="Arial" w:eastAsia="Arial" w:hAnsi="Arial"/>
                <w:sz w:val="18"/>
                <w:szCs w:val="18"/>
                <w:color w:val="0000FF"/>
              </w:rPr>
            </w:pPr>
            <w:hyperlink r:id="rId74">
              <w:r>
                <w:rPr>
                  <w:rFonts w:ascii="Arial" w:cs="Arial" w:eastAsia="Arial" w:hAnsi="Arial"/>
                  <w:sz w:val="18"/>
                  <w:szCs w:val="18"/>
                  <w:color w:val="0000FF"/>
                </w:rPr>
                <w:t>the Co-Issuers, the guarantors and Wilmington Trust,</w:t>
              </w:r>
            </w:hyperlink>
          </w:p>
        </w:tc>
        <w:tc>
          <w:tcPr>
            <w:tcW w:w="740" w:type="dxa"/>
            <w:vAlign w:val="bottom"/>
            <w:gridSpan w:val="17"/>
          </w:tcPr>
          <w:p>
            <w:pPr>
              <w:spacing w:after="0" w:line="162" w:lineRule="exact"/>
              <w:rPr>
                <w:rFonts w:ascii="Arial" w:cs="Arial" w:eastAsia="Arial" w:hAnsi="Arial"/>
                <w:sz w:val="18"/>
                <w:szCs w:val="18"/>
                <w:color w:val="0000FF"/>
              </w:rPr>
            </w:pPr>
            <w:hyperlink r:id="rId74">
              <w:r>
                <w:rPr>
                  <w:rFonts w:ascii="Arial" w:cs="Arial" w:eastAsia="Arial" w:hAnsi="Arial"/>
                  <w:sz w:val="18"/>
                  <w:szCs w:val="18"/>
                  <w:color w:val="0000FF"/>
                </w:rPr>
                <w:t>National</w:t>
              </w:r>
            </w:hyperlink>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8"/>
              </w:rPr>
            </w:pPr>
            <w:hyperlink r:id="rId74">
              <w:r>
                <w:rPr>
                  <w:rFonts w:ascii="Arial" w:cs="Arial" w:eastAsia="Arial" w:hAnsi="Arial"/>
                  <w:sz w:val="18"/>
                  <w:szCs w:val="18"/>
                  <w:color w:val="0000FF"/>
                  <w:w w:val="98"/>
                </w:rPr>
                <w:t>Association, as trustee.</w:t>
              </w:r>
            </w:hyperlink>
          </w:p>
        </w:tc>
        <w:tc>
          <w:tcPr>
            <w:tcW w:w="3060" w:type="dxa"/>
            <w:vAlign w:val="bottom"/>
            <w:tcBorders>
              <w:top w:val="single" w:sz="8" w:color="0000FF"/>
            </w:tcBorders>
            <w:gridSpan w:val="30"/>
          </w:tcPr>
          <w:p>
            <w:pPr>
              <w:spacing w:after="0"/>
              <w:rPr>
                <w:sz w:val="13"/>
                <w:szCs w:val="13"/>
                <w:color w:val="auto"/>
              </w:rPr>
            </w:pPr>
          </w:p>
        </w:tc>
        <w:tc>
          <w:tcPr>
            <w:tcW w:w="8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41"/>
          </w:tcPr>
          <w:p>
            <w:pPr>
              <w:spacing w:after="0"/>
              <w:rPr>
                <w:rFonts w:ascii="Arial" w:cs="Arial" w:eastAsia="Arial" w:hAnsi="Arial"/>
                <w:sz w:val="18"/>
                <w:szCs w:val="18"/>
                <w:color w:val="0000FF"/>
              </w:rPr>
            </w:pPr>
            <w:hyperlink r:id="rId75">
              <w:r>
                <w:rPr>
                  <w:rFonts w:ascii="Arial" w:cs="Arial" w:eastAsia="Arial" w:hAnsi="Arial"/>
                  <w:sz w:val="18"/>
                  <w:szCs w:val="18"/>
                  <w:color w:val="0000FF"/>
                </w:rPr>
                <w:t>Supplemental Indenture to the October 2017 Indenture, dated</w:t>
              </w:r>
            </w:hyperlink>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04-09-2018</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75">
              <w:r>
                <w:rPr>
                  <w:rFonts w:ascii="Arial" w:cs="Arial" w:eastAsia="Arial" w:hAnsi="Arial"/>
                  <w:sz w:val="18"/>
                  <w:szCs w:val="18"/>
                  <w:color w:val="0000FF"/>
                </w:rPr>
                <w:t>as of April 9, 2018.</w:t>
              </w:r>
            </w:hyperlink>
          </w:p>
        </w:tc>
        <w:tc>
          <w:tcPr>
            <w:tcW w:w="10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41"/>
          </w:tcPr>
          <w:p>
            <w:pPr>
              <w:spacing w:after="0"/>
              <w:rPr>
                <w:rFonts w:ascii="Arial" w:cs="Arial" w:eastAsia="Arial" w:hAnsi="Arial"/>
                <w:sz w:val="18"/>
                <w:szCs w:val="18"/>
                <w:color w:val="0000FF"/>
              </w:rPr>
            </w:pPr>
            <w:hyperlink r:id="rId76">
              <w:r>
                <w:rPr>
                  <w:rFonts w:ascii="Arial" w:cs="Arial" w:eastAsia="Arial" w:hAnsi="Arial"/>
                  <w:sz w:val="18"/>
                  <w:szCs w:val="18"/>
                  <w:color w:val="0000FF"/>
                </w:rPr>
                <w:t>Second Supplemental Indenture to the October 2017</w:t>
              </w:r>
            </w:hyperlink>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01-25-2019</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76">
              <w:r>
                <w:rPr>
                  <w:rFonts w:ascii="Arial" w:cs="Arial" w:eastAsia="Arial" w:hAnsi="Arial"/>
                  <w:sz w:val="18"/>
                  <w:szCs w:val="18"/>
                  <w:color w:val="0000FF"/>
                </w:rPr>
                <w:t>Indenture, dated as of January 25, 2019.</w:t>
              </w:r>
            </w:hyperlink>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80" w:type="dxa"/>
            <w:vAlign w:val="bottom"/>
            <w:gridSpan w:val="6"/>
          </w:tcPr>
          <w:p>
            <w:pPr>
              <w:spacing w:after="0"/>
              <w:rPr>
                <w:sz w:val="13"/>
                <w:szCs w:val="13"/>
                <w:color w:val="auto"/>
              </w:rPr>
            </w:pPr>
          </w:p>
        </w:tc>
        <w:tc>
          <w:tcPr>
            <w:tcW w:w="1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41"/>
          </w:tcPr>
          <w:p>
            <w:pPr>
              <w:spacing w:after="0"/>
              <w:rPr>
                <w:rFonts w:ascii="Arial" w:cs="Arial" w:eastAsia="Arial" w:hAnsi="Arial"/>
                <w:sz w:val="18"/>
                <w:szCs w:val="18"/>
                <w:color w:val="0000FF"/>
              </w:rPr>
            </w:pPr>
            <w:hyperlink r:id="rId74">
              <w:r>
                <w:rPr>
                  <w:rFonts w:ascii="Arial" w:cs="Arial" w:eastAsia="Arial" w:hAnsi="Arial"/>
                  <w:sz w:val="18"/>
                  <w:szCs w:val="18"/>
                  <w:color w:val="0000FF"/>
                </w:rPr>
                <w:t>Form of 3.500% Senior Notes due 2028 (included in Exhibit</w:t>
              </w:r>
            </w:hyperlink>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001-37690</w:t>
            </w:r>
          </w:p>
        </w:tc>
        <w:tc>
          <w:tcPr>
            <w:tcW w:w="1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10-17-2017</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74">
              <w:r>
                <w:rPr>
                  <w:rFonts w:ascii="Arial" w:cs="Arial" w:eastAsia="Arial" w:hAnsi="Arial"/>
                  <w:sz w:val="18"/>
                  <w:szCs w:val="18"/>
                  <w:color w:val="0000FF"/>
                  <w:w w:val="88"/>
                </w:rPr>
                <w:t>4.</w:t>
              </w:r>
              <w:r>
                <w:rPr>
                  <w:rFonts w:ascii="Arial" w:cs="Arial" w:eastAsia="Arial" w:hAnsi="Arial"/>
                  <w:sz w:val="18"/>
                  <w:szCs w:val="18"/>
                  <w:u w:val="single" w:color="auto"/>
                  <w:color w:val="0000FF"/>
                  <w:w w:val="88"/>
                </w:rPr>
                <w:t>7)</w:t>
              </w:r>
              <w:r>
                <w:rPr>
                  <w:rFonts w:ascii="Arial" w:cs="Arial" w:eastAsia="Arial" w:hAnsi="Arial"/>
                  <w:sz w:val="18"/>
                  <w:szCs w:val="18"/>
                  <w:color w:val="0000FF"/>
                  <w:w w:val="88"/>
                </w:rPr>
                <w:t>.</w:t>
              </w:r>
            </w:hyperlink>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60" w:type="dxa"/>
            <w:vAlign w:val="bottom"/>
            <w:tcBorders>
              <w:bottom w:val="single" w:sz="8" w:color="0000FF"/>
            </w:tcBorders>
            <w:gridSpan w:val="23"/>
          </w:tcPr>
          <w:p>
            <w:pPr>
              <w:spacing w:after="0"/>
              <w:rPr>
                <w:rFonts w:ascii="Arial" w:cs="Arial" w:eastAsia="Arial" w:hAnsi="Arial"/>
                <w:sz w:val="18"/>
                <w:szCs w:val="18"/>
                <w:color w:val="0000FF"/>
                <w:w w:val="99"/>
              </w:rPr>
            </w:pPr>
            <w:hyperlink r:id="rId77">
              <w:r>
                <w:rPr>
                  <w:rFonts w:ascii="Arial" w:cs="Arial" w:eastAsia="Arial" w:hAnsi="Arial"/>
                  <w:sz w:val="18"/>
                  <w:szCs w:val="18"/>
                  <w:color w:val="0000FF"/>
                  <w:w w:val="99"/>
                </w:rPr>
                <w:t>Indenture, dated as of April 5, 2019, by and among the</w:t>
              </w:r>
            </w:hyperlink>
          </w:p>
        </w:tc>
        <w:tc>
          <w:tcPr>
            <w:tcW w:w="800" w:type="dxa"/>
            <w:vAlign w:val="bottom"/>
            <w:gridSpan w:val="18"/>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04-05-2019</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gridSpan w:val="41"/>
          </w:tcPr>
          <w:p>
            <w:pPr>
              <w:spacing w:after="0" w:line="156" w:lineRule="exact"/>
              <w:rPr>
                <w:rFonts w:ascii="Arial" w:cs="Arial" w:eastAsia="Arial" w:hAnsi="Arial"/>
                <w:sz w:val="18"/>
                <w:szCs w:val="18"/>
                <w:color w:val="0000FF"/>
              </w:rPr>
            </w:pPr>
            <w:hyperlink r:id="rId77">
              <w:r>
                <w:rPr>
                  <w:rFonts w:ascii="Arial" w:cs="Arial" w:eastAsia="Arial" w:hAnsi="Arial"/>
                  <w:sz w:val="18"/>
                  <w:szCs w:val="18"/>
                  <w:color w:val="0000FF"/>
                </w:rPr>
                <w:t>Company as Issuer, Broadcom Technologies Inc., Broadcom</w:t>
              </w:r>
            </w:hyperlink>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77">
              <w:r>
                <w:rPr>
                  <w:rFonts w:ascii="Arial" w:cs="Arial" w:eastAsia="Arial" w:hAnsi="Arial"/>
                  <w:sz w:val="18"/>
                  <w:szCs w:val="18"/>
                  <w:color w:val="0000FF"/>
                </w:rPr>
                <w:t>Corporation and Broadcom Cayman Finance Limited, and</w:t>
              </w:r>
            </w:hyperlink>
          </w:p>
        </w:tc>
        <w:tc>
          <w:tcPr>
            <w:tcW w:w="180" w:type="dxa"/>
            <w:vAlign w:val="bottom"/>
            <w:gridSpan w:val="6"/>
          </w:tcPr>
          <w:p>
            <w:pPr>
              <w:spacing w:after="0"/>
              <w:rPr>
                <w:sz w:val="13"/>
                <w:szCs w:val="13"/>
                <w:color w:val="auto"/>
              </w:rPr>
            </w:pPr>
          </w:p>
        </w:tc>
        <w:tc>
          <w:tcPr>
            <w:tcW w:w="1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16"/>
          </w:tcPr>
          <w:p>
            <w:pPr>
              <w:spacing w:after="0" w:line="169" w:lineRule="exact"/>
              <w:rPr>
                <w:rFonts w:ascii="Arial" w:cs="Arial" w:eastAsia="Arial" w:hAnsi="Arial"/>
                <w:sz w:val="18"/>
                <w:szCs w:val="18"/>
                <w:color w:val="0000FF"/>
                <w:w w:val="98"/>
              </w:rPr>
            </w:pPr>
            <w:hyperlink r:id="rId77">
              <w:r>
                <w:rPr>
                  <w:rFonts w:ascii="Arial" w:cs="Arial" w:eastAsia="Arial" w:hAnsi="Arial"/>
                  <w:sz w:val="18"/>
                  <w:szCs w:val="18"/>
                  <w:color w:val="0000FF"/>
                  <w:w w:val="98"/>
                </w:rPr>
                <w:t>Wilmington Trust, National Association, as trustee.</w:t>
              </w:r>
            </w:hyperlink>
          </w:p>
        </w:tc>
        <w:tc>
          <w:tcPr>
            <w:tcW w:w="60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9"/>
          </w:tcPr>
          <w:p>
            <w:pPr>
              <w:spacing w:after="0"/>
              <w:rPr>
                <w:sz w:val="14"/>
                <w:szCs w:val="14"/>
                <w:color w:val="auto"/>
              </w:rPr>
            </w:pPr>
          </w:p>
        </w:tc>
        <w:tc>
          <w:tcPr>
            <w:tcW w:w="16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41"/>
          </w:tcPr>
          <w:p>
            <w:pPr>
              <w:spacing w:after="0"/>
              <w:rPr>
                <w:rFonts w:ascii="Arial" w:cs="Arial" w:eastAsia="Arial" w:hAnsi="Arial"/>
                <w:sz w:val="18"/>
                <w:szCs w:val="18"/>
                <w:color w:val="0000FF"/>
              </w:rPr>
            </w:pPr>
            <w:hyperlink r:id="rId77">
              <w:r>
                <w:rPr>
                  <w:rFonts w:ascii="Arial" w:cs="Arial" w:eastAsia="Arial" w:hAnsi="Arial"/>
                  <w:sz w:val="18"/>
                  <w:szCs w:val="18"/>
                  <w:color w:val="0000FF"/>
                </w:rPr>
                <w:t>Form of 4.750% Senior Notes due 2029 (included in Exhibit</w:t>
              </w:r>
            </w:hyperlink>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04-05-2019</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10)</w:t>
              </w:r>
              <w:r>
                <w:rPr>
                  <w:rFonts w:ascii="Arial" w:cs="Arial" w:eastAsia="Arial" w:hAnsi="Arial"/>
                  <w:sz w:val="18"/>
                  <w:szCs w:val="18"/>
                  <w:color w:val="0000FF"/>
                  <w:w w:val="91"/>
                </w:rPr>
                <w:t>.</w:t>
              </w:r>
            </w:hyperlink>
          </w:p>
        </w:tc>
        <w:tc>
          <w:tcPr>
            <w:tcW w:w="14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41"/>
          </w:tcPr>
          <w:p>
            <w:pPr>
              <w:spacing w:after="0"/>
              <w:rPr>
                <w:rFonts w:ascii="Arial" w:cs="Arial" w:eastAsia="Arial" w:hAnsi="Arial"/>
                <w:sz w:val="18"/>
                <w:szCs w:val="18"/>
                <w:color w:val="0000FF"/>
              </w:rPr>
            </w:pPr>
            <w:hyperlink r:id="rId78">
              <w:r>
                <w:rPr>
                  <w:rFonts w:ascii="Arial" w:cs="Arial" w:eastAsia="Arial" w:hAnsi="Arial"/>
                  <w:sz w:val="18"/>
                  <w:szCs w:val="18"/>
                  <w:color w:val="0000FF"/>
                </w:rPr>
                <w:t>Indenture, dated as of April 9, 2020, by and among the</w:t>
              </w:r>
            </w:hyperlink>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04-09-2020</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22"/>
          </w:tcPr>
          <w:p>
            <w:pPr>
              <w:spacing w:after="0" w:line="156" w:lineRule="exact"/>
              <w:rPr>
                <w:rFonts w:ascii="Arial" w:cs="Arial" w:eastAsia="Arial" w:hAnsi="Arial"/>
                <w:sz w:val="18"/>
                <w:szCs w:val="18"/>
                <w:color w:val="0000FF"/>
                <w:w w:val="99"/>
              </w:rPr>
            </w:pPr>
            <w:hyperlink r:id="rId78">
              <w:r>
                <w:rPr>
                  <w:rFonts w:ascii="Arial" w:cs="Arial" w:eastAsia="Arial" w:hAnsi="Arial"/>
                  <w:sz w:val="18"/>
                  <w:szCs w:val="18"/>
                  <w:color w:val="0000FF"/>
                  <w:w w:val="99"/>
                </w:rPr>
                <w:t>Company, as Issuer, Broadcom Technologies Inc. and</w:t>
              </w:r>
            </w:hyperlink>
          </w:p>
        </w:tc>
        <w:tc>
          <w:tcPr>
            <w:tcW w:w="18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9"/>
          </w:tcPr>
          <w:p>
            <w:pPr>
              <w:spacing w:after="0"/>
              <w:rPr>
                <w:sz w:val="13"/>
                <w:szCs w:val="13"/>
                <w:color w:val="auto"/>
              </w:rPr>
            </w:pPr>
          </w:p>
        </w:tc>
        <w:tc>
          <w:tcPr>
            <w:tcW w:w="1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78">
              <w:r>
                <w:rPr>
                  <w:rFonts w:ascii="Arial" w:cs="Arial" w:eastAsia="Arial" w:hAnsi="Arial"/>
                  <w:sz w:val="18"/>
                  <w:szCs w:val="18"/>
                  <w:color w:val="0000FF"/>
                </w:rPr>
                <w:t>Broadcom Corporation (the “2020 Guarantors”), and</w:t>
              </w:r>
            </w:hyperlink>
          </w:p>
        </w:tc>
        <w:tc>
          <w:tcPr>
            <w:tcW w:w="4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9"/>
          </w:tcPr>
          <w:p>
            <w:pPr>
              <w:spacing w:after="0"/>
              <w:rPr>
                <w:sz w:val="13"/>
                <w:szCs w:val="13"/>
                <w:color w:val="auto"/>
              </w:rPr>
            </w:pPr>
          </w:p>
        </w:tc>
        <w:tc>
          <w:tcPr>
            <w:tcW w:w="1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16"/>
          </w:tcPr>
          <w:p>
            <w:pPr>
              <w:spacing w:after="0" w:line="169" w:lineRule="exact"/>
              <w:rPr>
                <w:rFonts w:ascii="Arial" w:cs="Arial" w:eastAsia="Arial" w:hAnsi="Arial"/>
                <w:sz w:val="18"/>
                <w:szCs w:val="18"/>
                <w:color w:val="0000FF"/>
                <w:w w:val="98"/>
              </w:rPr>
            </w:pPr>
            <w:hyperlink r:id="rId78">
              <w:r>
                <w:rPr>
                  <w:rFonts w:ascii="Arial" w:cs="Arial" w:eastAsia="Arial" w:hAnsi="Arial"/>
                  <w:sz w:val="18"/>
                  <w:szCs w:val="18"/>
                  <w:color w:val="0000FF"/>
                  <w:w w:val="98"/>
                </w:rPr>
                <w:t>Wilmington Trust, National Association, as trustee.</w:t>
              </w:r>
            </w:hyperlink>
          </w:p>
        </w:tc>
        <w:tc>
          <w:tcPr>
            <w:tcW w:w="140" w:type="dxa"/>
            <w:vAlign w:val="bottom"/>
            <w:tcBorders>
              <w:top w:val="single" w:sz="8" w:color="0000FF"/>
            </w:tcBorders>
          </w:tcPr>
          <w:p>
            <w:pPr>
              <w:spacing w:after="0"/>
              <w:rPr>
                <w:sz w:val="14"/>
                <w:szCs w:val="14"/>
                <w:color w:val="auto"/>
              </w:rPr>
            </w:pPr>
          </w:p>
        </w:tc>
        <w:tc>
          <w:tcPr>
            <w:tcW w:w="180" w:type="dxa"/>
            <w:vAlign w:val="bottom"/>
            <w:gridSpan w:val="4"/>
          </w:tcPr>
          <w:p>
            <w:pPr>
              <w:spacing w:after="0"/>
              <w:rPr>
                <w:sz w:val="14"/>
                <w:szCs w:val="14"/>
                <w:color w:val="auto"/>
              </w:rPr>
            </w:pPr>
          </w:p>
        </w:tc>
        <w:tc>
          <w:tcPr>
            <w:tcW w:w="200" w:type="dxa"/>
            <w:vAlign w:val="bottom"/>
            <w:gridSpan w:val="4"/>
          </w:tcPr>
          <w:p>
            <w:pPr>
              <w:spacing w:after="0"/>
              <w:rPr>
                <w:sz w:val="14"/>
                <w:szCs w:val="14"/>
                <w:color w:val="auto"/>
              </w:rPr>
            </w:pPr>
          </w:p>
        </w:tc>
        <w:tc>
          <w:tcPr>
            <w:tcW w:w="10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9"/>
          </w:tcPr>
          <w:p>
            <w:pPr>
              <w:spacing w:after="0"/>
              <w:rPr>
                <w:sz w:val="14"/>
                <w:szCs w:val="14"/>
                <w:color w:val="auto"/>
              </w:rPr>
            </w:pPr>
          </w:p>
        </w:tc>
        <w:tc>
          <w:tcPr>
            <w:tcW w:w="16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41"/>
          </w:tcPr>
          <w:p>
            <w:pPr>
              <w:spacing w:after="0"/>
              <w:rPr>
                <w:rFonts w:ascii="Arial" w:cs="Arial" w:eastAsia="Arial" w:hAnsi="Arial"/>
                <w:sz w:val="18"/>
                <w:szCs w:val="18"/>
                <w:color w:val="0000FF"/>
              </w:rPr>
            </w:pPr>
            <w:hyperlink r:id="rId78">
              <w:r>
                <w:rPr>
                  <w:rFonts w:ascii="Arial" w:cs="Arial" w:eastAsia="Arial" w:hAnsi="Arial"/>
                  <w:sz w:val="18"/>
                  <w:szCs w:val="18"/>
                  <w:color w:val="0000FF"/>
                </w:rPr>
                <w:t>Form of 5.000% Senior Notes due 2030 (included in Exhibit</w:t>
              </w:r>
            </w:hyperlink>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04-09-2020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tcBorders>
            <w:gridSpan w:val="3"/>
          </w:tcPr>
          <w:p>
            <w:pPr>
              <w:spacing w:after="0" w:line="15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12)</w:t>
              </w:r>
              <w:r>
                <w:rPr>
                  <w:rFonts w:ascii="Arial" w:cs="Arial" w:eastAsia="Arial" w:hAnsi="Arial"/>
                  <w:sz w:val="18"/>
                  <w:szCs w:val="18"/>
                  <w:color w:val="000000"/>
                  <w:w w:val="91"/>
                </w:rPr>
                <w:t>.</w:t>
              </w:r>
            </w:hyperlink>
          </w:p>
        </w:tc>
        <w:tc>
          <w:tcPr>
            <w:tcW w:w="14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20" w:type="dxa"/>
            <w:vAlign w:val="bottom"/>
            <w:gridSpan w:val="1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20" w:type="dxa"/>
            <w:vAlign w:val="bottom"/>
            <w:tcBorders>
              <w:bottom w:val="single" w:sz="8" w:color="0000FF"/>
            </w:tcBorders>
            <w:gridSpan w:val="21"/>
          </w:tcPr>
          <w:p>
            <w:pPr>
              <w:spacing w:after="0"/>
              <w:rPr>
                <w:rFonts w:ascii="Arial" w:cs="Arial" w:eastAsia="Arial" w:hAnsi="Arial"/>
                <w:sz w:val="18"/>
                <w:szCs w:val="18"/>
                <w:color w:val="0000FF"/>
                <w:w w:val="99"/>
              </w:rPr>
            </w:pPr>
            <w:hyperlink r:id="rId79">
              <w:r>
                <w:rPr>
                  <w:rFonts w:ascii="Arial" w:cs="Arial" w:eastAsia="Arial" w:hAnsi="Arial"/>
                  <w:sz w:val="18"/>
                  <w:szCs w:val="18"/>
                  <w:color w:val="0000FF"/>
                  <w:w w:val="99"/>
                </w:rPr>
                <w:t>Indenture, dated as of May 8, 2020, by and among the</w:t>
              </w:r>
            </w:hyperlink>
          </w:p>
        </w:tc>
        <w:tc>
          <w:tcPr>
            <w:tcW w:w="840" w:type="dxa"/>
            <w:vAlign w:val="bottom"/>
            <w:gridSpan w:val="20"/>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05-08-2020</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gridSpan w:val="41"/>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Company as Issuer, the 2020 Guarantors, and Wilmington</w:t>
              </w:r>
            </w:hyperlink>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8"/>
              </w:rPr>
            </w:pPr>
            <w:hyperlink r:id="rId79">
              <w:r>
                <w:rPr>
                  <w:rFonts w:ascii="Arial" w:cs="Arial" w:eastAsia="Arial" w:hAnsi="Arial"/>
                  <w:sz w:val="18"/>
                  <w:szCs w:val="18"/>
                  <w:color w:val="0000FF"/>
                  <w:w w:val="98"/>
                </w:rPr>
                <w:t>Trust, National Association, as trustee.</w:t>
              </w:r>
            </w:hyperlink>
          </w:p>
        </w:tc>
        <w:tc>
          <w:tcPr>
            <w:tcW w:w="1560" w:type="dxa"/>
            <w:vAlign w:val="bottom"/>
            <w:tcBorders>
              <w:top w:val="single" w:sz="8" w:color="0000FF"/>
            </w:tcBorders>
            <w:gridSpan w:val="14"/>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9"/>
          </w:tcPr>
          <w:p>
            <w:pPr>
              <w:spacing w:after="0"/>
              <w:rPr>
                <w:sz w:val="13"/>
                <w:szCs w:val="13"/>
                <w:color w:val="auto"/>
              </w:rPr>
            </w:pPr>
          </w:p>
        </w:tc>
        <w:tc>
          <w:tcPr>
            <w:tcW w:w="1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41"/>
          </w:tcPr>
          <w:p>
            <w:pPr>
              <w:spacing w:after="0"/>
              <w:rPr>
                <w:rFonts w:ascii="Arial" w:cs="Arial" w:eastAsia="Arial" w:hAnsi="Arial"/>
                <w:sz w:val="18"/>
                <w:szCs w:val="18"/>
                <w:color w:val="0000FF"/>
              </w:rPr>
            </w:pPr>
            <w:hyperlink r:id="rId79">
              <w:r>
                <w:rPr>
                  <w:rFonts w:ascii="Arial" w:cs="Arial" w:eastAsia="Arial" w:hAnsi="Arial"/>
                  <w:sz w:val="18"/>
                  <w:szCs w:val="18"/>
                  <w:color w:val="0000FF"/>
                </w:rPr>
                <w:t>Form of 3.150% Senior Notes due 2025 (included in Exhibit</w:t>
              </w:r>
            </w:hyperlink>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05-08-2020</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14)</w:t>
              </w:r>
              <w:r>
                <w:rPr>
                  <w:rFonts w:ascii="Arial" w:cs="Arial" w:eastAsia="Arial" w:hAnsi="Arial"/>
                  <w:sz w:val="18"/>
                  <w:szCs w:val="18"/>
                  <w:color w:val="0000FF"/>
                  <w:w w:val="91"/>
                </w:rPr>
                <w:t>.</w:t>
              </w:r>
            </w:hyperlink>
          </w:p>
        </w:tc>
        <w:tc>
          <w:tcPr>
            <w:tcW w:w="14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41"/>
          </w:tcPr>
          <w:p>
            <w:pPr>
              <w:spacing w:after="0"/>
              <w:rPr>
                <w:rFonts w:ascii="Arial" w:cs="Arial" w:eastAsia="Arial" w:hAnsi="Arial"/>
                <w:sz w:val="18"/>
                <w:szCs w:val="18"/>
                <w:color w:val="0000FF"/>
              </w:rPr>
            </w:pPr>
            <w:hyperlink r:id="rId79">
              <w:r>
                <w:rPr>
                  <w:rFonts w:ascii="Arial" w:cs="Arial" w:eastAsia="Arial" w:hAnsi="Arial"/>
                  <w:sz w:val="18"/>
                  <w:szCs w:val="18"/>
                  <w:color w:val="0000FF"/>
                </w:rPr>
                <w:t>Form of 4.150% Senior Notes due 2030 (included in Exhibit</w:t>
              </w:r>
            </w:hyperlink>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05-08-2020</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14)</w:t>
              </w:r>
              <w:r>
                <w:rPr>
                  <w:rFonts w:ascii="Arial" w:cs="Arial" w:eastAsia="Arial" w:hAnsi="Arial"/>
                  <w:sz w:val="18"/>
                  <w:szCs w:val="18"/>
                  <w:color w:val="0000FF"/>
                  <w:w w:val="91"/>
                </w:rPr>
                <w:t>.</w:t>
              </w:r>
            </w:hyperlink>
          </w:p>
        </w:tc>
        <w:tc>
          <w:tcPr>
            <w:tcW w:w="14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41"/>
          </w:tcPr>
          <w:p>
            <w:pPr>
              <w:spacing w:after="0"/>
              <w:rPr>
                <w:rFonts w:ascii="Arial" w:cs="Arial" w:eastAsia="Arial" w:hAnsi="Arial"/>
                <w:sz w:val="18"/>
                <w:szCs w:val="18"/>
                <w:color w:val="0000FF"/>
              </w:rPr>
            </w:pPr>
            <w:hyperlink r:id="rId79">
              <w:r>
                <w:rPr>
                  <w:rFonts w:ascii="Arial" w:cs="Arial" w:eastAsia="Arial" w:hAnsi="Arial"/>
                  <w:sz w:val="18"/>
                  <w:szCs w:val="18"/>
                  <w:color w:val="0000FF"/>
                </w:rPr>
                <w:t>Form of 4.300% Senior Notes due 2032 (included in Exhibit</w:t>
              </w:r>
            </w:hyperlink>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05-08-2020</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14)</w:t>
              </w:r>
              <w:r>
                <w:rPr>
                  <w:rFonts w:ascii="Arial" w:cs="Arial" w:eastAsia="Arial" w:hAnsi="Arial"/>
                  <w:sz w:val="18"/>
                  <w:szCs w:val="18"/>
                  <w:color w:val="0000FF"/>
                  <w:w w:val="91"/>
                </w:rPr>
                <w:t>.</w:t>
              </w:r>
            </w:hyperlink>
          </w:p>
        </w:tc>
        <w:tc>
          <w:tcPr>
            <w:tcW w:w="14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41"/>
          </w:tcPr>
          <w:p>
            <w:pPr>
              <w:spacing w:after="0"/>
              <w:rPr>
                <w:rFonts w:ascii="Arial" w:cs="Arial" w:eastAsia="Arial" w:hAnsi="Arial"/>
                <w:sz w:val="18"/>
                <w:szCs w:val="18"/>
                <w:color w:val="0000FF"/>
              </w:rPr>
            </w:pPr>
            <w:hyperlink r:id="rId80">
              <w:r>
                <w:rPr>
                  <w:rFonts w:ascii="Arial" w:cs="Arial" w:eastAsia="Arial" w:hAnsi="Arial"/>
                  <w:sz w:val="18"/>
                  <w:szCs w:val="18"/>
                  <w:color w:val="0000FF"/>
                </w:rPr>
                <w:t>Indenture, dated as of May 21, 2020, by and among the</w:t>
              </w:r>
            </w:hyperlink>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05-21-2020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tcBorders>
              <w:top w:val="single" w:sz="8" w:color="0000FF"/>
            </w:tcBorders>
            <w:gridSpan w:val="24"/>
          </w:tcPr>
          <w:p>
            <w:pPr>
              <w:spacing w:after="0" w:line="162" w:lineRule="exact"/>
              <w:rPr>
                <w:rFonts w:ascii="Arial" w:cs="Arial" w:eastAsia="Arial" w:hAnsi="Arial"/>
                <w:sz w:val="18"/>
                <w:szCs w:val="18"/>
                <w:color w:val="0000FF"/>
              </w:rPr>
            </w:pPr>
            <w:hyperlink r:id="rId80">
              <w:r>
                <w:rPr>
                  <w:rFonts w:ascii="Arial" w:cs="Arial" w:eastAsia="Arial" w:hAnsi="Arial"/>
                  <w:sz w:val="18"/>
                  <w:szCs w:val="18"/>
                  <w:color w:val="0000FF"/>
                </w:rPr>
                <w:t>Company, the 2020 Guarantors and Wilmington Trust,</w:t>
              </w:r>
            </w:hyperlink>
          </w:p>
        </w:tc>
        <w:tc>
          <w:tcPr>
            <w:tcW w:w="740" w:type="dxa"/>
            <w:vAlign w:val="bottom"/>
            <w:gridSpan w:val="17"/>
          </w:tcPr>
          <w:p>
            <w:pPr>
              <w:spacing w:after="0" w:line="162" w:lineRule="exact"/>
              <w:rPr>
                <w:rFonts w:ascii="Arial" w:cs="Arial" w:eastAsia="Arial" w:hAnsi="Arial"/>
                <w:sz w:val="18"/>
                <w:szCs w:val="18"/>
                <w:color w:val="0000FF"/>
              </w:rPr>
            </w:pPr>
            <w:hyperlink r:id="rId80">
              <w:r>
                <w:rPr>
                  <w:rFonts w:ascii="Arial" w:cs="Arial" w:eastAsia="Arial" w:hAnsi="Arial"/>
                  <w:sz w:val="18"/>
                  <w:szCs w:val="18"/>
                  <w:color w:val="0000FF"/>
                </w:rPr>
                <w:t>National</w:t>
              </w:r>
            </w:hyperlink>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80">
              <w:r>
                <w:rPr>
                  <w:rFonts w:ascii="Arial" w:cs="Arial" w:eastAsia="Arial" w:hAnsi="Arial"/>
                  <w:sz w:val="18"/>
                  <w:szCs w:val="18"/>
                  <w:color w:val="0000FF"/>
                </w:rPr>
                <w:t>Association, as trustee.</w:t>
              </w:r>
            </w:hyperlink>
          </w:p>
        </w:tc>
        <w:tc>
          <w:tcPr>
            <w:tcW w:w="1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20" w:type="dxa"/>
            <w:vAlign w:val="bottom"/>
            <w:gridSpan w:val="17"/>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41"/>
          </w:tcPr>
          <w:p>
            <w:pPr>
              <w:spacing w:after="0"/>
              <w:rPr>
                <w:rFonts w:ascii="Arial" w:cs="Arial" w:eastAsia="Arial" w:hAnsi="Arial"/>
                <w:sz w:val="18"/>
                <w:szCs w:val="18"/>
                <w:color w:val="0000FF"/>
              </w:rPr>
            </w:pPr>
            <w:hyperlink r:id="rId80">
              <w:r>
                <w:rPr>
                  <w:rFonts w:ascii="Arial" w:cs="Arial" w:eastAsia="Arial" w:hAnsi="Arial"/>
                  <w:sz w:val="18"/>
                  <w:szCs w:val="18"/>
                  <w:color w:val="0000FF"/>
                </w:rPr>
                <w:t>Form of 3.459% Senior Notes due 2026 (included in Exhibit</w:t>
              </w:r>
            </w:hyperlink>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05-21-2020</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18)</w:t>
              </w:r>
              <w:r>
                <w:rPr>
                  <w:rFonts w:ascii="Arial" w:cs="Arial" w:eastAsia="Arial" w:hAnsi="Arial"/>
                  <w:sz w:val="18"/>
                  <w:szCs w:val="18"/>
                  <w:color w:val="0000FF"/>
                  <w:w w:val="91"/>
                </w:rPr>
                <w:t>.</w:t>
              </w:r>
            </w:hyperlink>
          </w:p>
        </w:tc>
        <w:tc>
          <w:tcPr>
            <w:tcW w:w="14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20" w:type="dxa"/>
            <w:vAlign w:val="bottom"/>
            <w:tcBorders>
              <w:bottom w:val="single" w:sz="8" w:color="0000FF"/>
            </w:tcBorders>
            <w:gridSpan w:val="30"/>
          </w:tcPr>
          <w:p>
            <w:pPr>
              <w:spacing w:after="0"/>
              <w:rPr>
                <w:rFonts w:ascii="Arial" w:cs="Arial" w:eastAsia="Arial" w:hAnsi="Arial"/>
                <w:sz w:val="18"/>
                <w:szCs w:val="18"/>
                <w:color w:val="0000FF"/>
                <w:w w:val="99"/>
              </w:rPr>
            </w:pPr>
            <w:hyperlink r:id="rId81">
              <w:r>
                <w:rPr>
                  <w:rFonts w:ascii="Arial" w:cs="Arial" w:eastAsia="Arial" w:hAnsi="Arial"/>
                  <w:sz w:val="18"/>
                  <w:szCs w:val="18"/>
                  <w:color w:val="0000FF"/>
                  <w:w w:val="99"/>
                </w:rPr>
                <w:t>Indenture, dated as of January 19, 2021, by and among the</w:t>
              </w:r>
            </w:hyperlink>
          </w:p>
        </w:tc>
        <w:tc>
          <w:tcPr>
            <w:tcW w:w="440" w:type="dxa"/>
            <w:vAlign w:val="bottom"/>
            <w:gridSpan w:val="11"/>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01-19-2021</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gridSpan w:val="41"/>
          </w:tcPr>
          <w:p>
            <w:pPr>
              <w:spacing w:after="0" w:line="156" w:lineRule="exact"/>
              <w:rPr>
                <w:rFonts w:ascii="Arial" w:cs="Arial" w:eastAsia="Arial" w:hAnsi="Arial"/>
                <w:sz w:val="18"/>
                <w:szCs w:val="18"/>
                <w:color w:val="0000FF"/>
              </w:rPr>
            </w:pPr>
            <w:hyperlink r:id="rId81">
              <w:r>
                <w:rPr>
                  <w:rFonts w:ascii="Arial" w:cs="Arial" w:eastAsia="Arial" w:hAnsi="Arial"/>
                  <w:sz w:val="18"/>
                  <w:szCs w:val="18"/>
                  <w:color w:val="0000FF"/>
                </w:rPr>
                <w:t>Company, the 2020 Guarantors and Wilmington Trust, National</w:t>
              </w:r>
            </w:hyperlink>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7"/>
              </w:rPr>
            </w:pPr>
            <w:hyperlink r:id="rId81">
              <w:r>
                <w:rPr>
                  <w:rFonts w:ascii="Arial" w:cs="Arial" w:eastAsia="Arial" w:hAnsi="Arial"/>
                  <w:sz w:val="18"/>
                  <w:szCs w:val="18"/>
                  <w:color w:val="0000FF"/>
                  <w:w w:val="97"/>
                </w:rPr>
                <w:t>Association, as Trustee.</w:t>
              </w:r>
            </w:hyperlink>
          </w:p>
        </w:tc>
        <w:tc>
          <w:tcPr>
            <w:tcW w:w="3100" w:type="dxa"/>
            <w:vAlign w:val="bottom"/>
            <w:tcBorders>
              <w:top w:val="single" w:sz="8" w:color="0000FF"/>
            </w:tcBorders>
            <w:gridSpan w:val="31"/>
          </w:tcPr>
          <w:p>
            <w:pPr>
              <w:spacing w:after="0"/>
              <w:rPr>
                <w:sz w:val="13"/>
                <w:szCs w:val="13"/>
                <w:color w:val="auto"/>
              </w:rPr>
            </w:pPr>
          </w:p>
        </w:tc>
        <w:tc>
          <w:tcPr>
            <w:tcW w:w="1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41"/>
          </w:tcPr>
          <w:p>
            <w:pPr>
              <w:spacing w:after="0"/>
              <w:rPr>
                <w:rFonts w:ascii="Arial" w:cs="Arial" w:eastAsia="Arial" w:hAnsi="Arial"/>
                <w:sz w:val="18"/>
                <w:szCs w:val="18"/>
                <w:color w:val="0000FF"/>
              </w:rPr>
            </w:pPr>
            <w:hyperlink r:id="rId81">
              <w:r>
                <w:rPr>
                  <w:rFonts w:ascii="Arial" w:cs="Arial" w:eastAsia="Arial" w:hAnsi="Arial"/>
                  <w:sz w:val="18"/>
                  <w:szCs w:val="18"/>
                  <w:color w:val="0000FF"/>
                </w:rPr>
                <w:t>Form of 1.950% Senior Notes due 2028 (included in Exhibit</w:t>
              </w:r>
            </w:hyperlink>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01-19-2021</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4.</w:t>
              </w:r>
              <w:r>
                <w:rPr>
                  <w:rFonts w:ascii="Arial" w:cs="Arial" w:eastAsia="Arial" w:hAnsi="Arial"/>
                  <w:sz w:val="18"/>
                  <w:szCs w:val="18"/>
                  <w:u w:val="single" w:color="auto"/>
                  <w:color w:val="0000FF"/>
                  <w:w w:val="91"/>
                </w:rPr>
                <w:t>20)</w:t>
              </w:r>
              <w:r>
                <w:rPr>
                  <w:rFonts w:ascii="Arial" w:cs="Arial" w:eastAsia="Arial" w:hAnsi="Arial"/>
                  <w:sz w:val="18"/>
                  <w:szCs w:val="18"/>
                  <w:color w:val="0000FF"/>
                  <w:w w:val="91"/>
                </w:rPr>
                <w:t>.</w:t>
              </w:r>
            </w:hyperlink>
          </w:p>
        </w:tc>
        <w:tc>
          <w:tcPr>
            <w:tcW w:w="14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41"/>
          </w:tcPr>
          <w:p>
            <w:pPr>
              <w:spacing w:after="0"/>
              <w:rPr>
                <w:rFonts w:ascii="Arial" w:cs="Arial" w:eastAsia="Arial" w:hAnsi="Arial"/>
                <w:sz w:val="18"/>
                <w:szCs w:val="18"/>
                <w:color w:val="0000FF"/>
              </w:rPr>
            </w:pPr>
            <w:hyperlink r:id="rId81">
              <w:r>
                <w:rPr>
                  <w:rFonts w:ascii="Arial" w:cs="Arial" w:eastAsia="Arial" w:hAnsi="Arial"/>
                  <w:sz w:val="18"/>
                  <w:szCs w:val="18"/>
                  <w:color w:val="0000FF"/>
                </w:rPr>
                <w:t>Form of 2.450% Senior Notes due 2031 (included in Exhibit</w:t>
              </w:r>
            </w:hyperlink>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01-19-2021</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4.</w:t>
              </w:r>
              <w:r>
                <w:rPr>
                  <w:rFonts w:ascii="Arial" w:cs="Arial" w:eastAsia="Arial" w:hAnsi="Arial"/>
                  <w:sz w:val="18"/>
                  <w:szCs w:val="18"/>
                  <w:u w:val="single" w:color="auto"/>
                  <w:color w:val="0000FF"/>
                  <w:w w:val="91"/>
                </w:rPr>
                <w:t>20)</w:t>
              </w:r>
              <w:r>
                <w:rPr>
                  <w:rFonts w:ascii="Arial" w:cs="Arial" w:eastAsia="Arial" w:hAnsi="Arial"/>
                  <w:sz w:val="18"/>
                  <w:szCs w:val="18"/>
                  <w:color w:val="0000FF"/>
                  <w:w w:val="91"/>
                </w:rPr>
                <w:t>.</w:t>
              </w:r>
            </w:hyperlink>
          </w:p>
        </w:tc>
        <w:tc>
          <w:tcPr>
            <w:tcW w:w="14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41"/>
          </w:tcPr>
          <w:p>
            <w:pPr>
              <w:spacing w:after="0"/>
              <w:rPr>
                <w:rFonts w:ascii="Arial" w:cs="Arial" w:eastAsia="Arial" w:hAnsi="Arial"/>
                <w:sz w:val="18"/>
                <w:szCs w:val="18"/>
                <w:color w:val="0000FF"/>
              </w:rPr>
            </w:pPr>
            <w:hyperlink r:id="rId81">
              <w:r>
                <w:rPr>
                  <w:rFonts w:ascii="Arial" w:cs="Arial" w:eastAsia="Arial" w:hAnsi="Arial"/>
                  <w:sz w:val="18"/>
                  <w:szCs w:val="18"/>
                  <w:color w:val="0000FF"/>
                </w:rPr>
                <w:t>Form of 2.600% Senior Notes due 2033 (included in Exhibit</w:t>
              </w:r>
            </w:hyperlink>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01-19-2021</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4.</w:t>
              </w:r>
              <w:r>
                <w:rPr>
                  <w:rFonts w:ascii="Arial" w:cs="Arial" w:eastAsia="Arial" w:hAnsi="Arial"/>
                  <w:sz w:val="18"/>
                  <w:szCs w:val="18"/>
                  <w:u w:val="single" w:color="auto"/>
                  <w:color w:val="0000FF"/>
                  <w:w w:val="91"/>
                </w:rPr>
                <w:t>20)</w:t>
              </w:r>
              <w:r>
                <w:rPr>
                  <w:rFonts w:ascii="Arial" w:cs="Arial" w:eastAsia="Arial" w:hAnsi="Arial"/>
                  <w:sz w:val="18"/>
                  <w:szCs w:val="18"/>
                  <w:color w:val="0000FF"/>
                  <w:w w:val="91"/>
                </w:rPr>
                <w:t>.</w:t>
              </w:r>
            </w:hyperlink>
          </w:p>
        </w:tc>
        <w:tc>
          <w:tcPr>
            <w:tcW w:w="14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41"/>
          </w:tcPr>
          <w:p>
            <w:pPr>
              <w:spacing w:after="0"/>
              <w:rPr>
                <w:rFonts w:ascii="Arial" w:cs="Arial" w:eastAsia="Arial" w:hAnsi="Arial"/>
                <w:sz w:val="18"/>
                <w:szCs w:val="18"/>
                <w:color w:val="0000FF"/>
              </w:rPr>
            </w:pPr>
            <w:hyperlink r:id="rId81">
              <w:r>
                <w:rPr>
                  <w:rFonts w:ascii="Arial" w:cs="Arial" w:eastAsia="Arial" w:hAnsi="Arial"/>
                  <w:sz w:val="18"/>
                  <w:szCs w:val="18"/>
                  <w:color w:val="0000FF"/>
                </w:rPr>
                <w:t>Form of 3.500% Senior Notes due 2041 (included in Exhibit</w:t>
              </w:r>
            </w:hyperlink>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01-19-2021</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4.</w:t>
              </w:r>
              <w:r>
                <w:rPr>
                  <w:rFonts w:ascii="Arial" w:cs="Arial" w:eastAsia="Arial" w:hAnsi="Arial"/>
                  <w:sz w:val="18"/>
                  <w:szCs w:val="18"/>
                  <w:u w:val="single" w:color="auto"/>
                  <w:color w:val="0000FF"/>
                  <w:w w:val="91"/>
                </w:rPr>
                <w:t>20)</w:t>
              </w:r>
              <w:r>
                <w:rPr>
                  <w:rFonts w:ascii="Arial" w:cs="Arial" w:eastAsia="Arial" w:hAnsi="Arial"/>
                  <w:sz w:val="18"/>
                  <w:szCs w:val="18"/>
                  <w:color w:val="0000FF"/>
                  <w:w w:val="91"/>
                </w:rPr>
                <w:t>.</w:t>
              </w:r>
            </w:hyperlink>
          </w:p>
        </w:tc>
        <w:tc>
          <w:tcPr>
            <w:tcW w:w="14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41"/>
          </w:tcPr>
          <w:p>
            <w:pPr>
              <w:spacing w:after="0"/>
              <w:rPr>
                <w:rFonts w:ascii="Arial" w:cs="Arial" w:eastAsia="Arial" w:hAnsi="Arial"/>
                <w:sz w:val="18"/>
                <w:szCs w:val="18"/>
                <w:color w:val="0000FF"/>
              </w:rPr>
            </w:pPr>
            <w:hyperlink r:id="rId81">
              <w:r>
                <w:rPr>
                  <w:rFonts w:ascii="Arial" w:cs="Arial" w:eastAsia="Arial" w:hAnsi="Arial"/>
                  <w:sz w:val="18"/>
                  <w:szCs w:val="18"/>
                  <w:color w:val="0000FF"/>
                </w:rPr>
                <w:t>Form of 3.750% Senior Notes due 2051 (included in Exhibit</w:t>
              </w:r>
            </w:hyperlink>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01-19-2021</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4.</w:t>
              </w:r>
              <w:r>
                <w:rPr>
                  <w:rFonts w:ascii="Arial" w:cs="Arial" w:eastAsia="Arial" w:hAnsi="Arial"/>
                  <w:sz w:val="18"/>
                  <w:szCs w:val="18"/>
                  <w:u w:val="single" w:color="auto"/>
                  <w:color w:val="0000FF"/>
                  <w:w w:val="91"/>
                </w:rPr>
                <w:t>20)</w:t>
              </w:r>
              <w:r>
                <w:rPr>
                  <w:rFonts w:ascii="Arial" w:cs="Arial" w:eastAsia="Arial" w:hAnsi="Arial"/>
                  <w:sz w:val="18"/>
                  <w:szCs w:val="18"/>
                  <w:color w:val="0000FF"/>
                  <w:w w:val="91"/>
                </w:rPr>
                <w:t>.</w:t>
              </w:r>
            </w:hyperlink>
          </w:p>
        </w:tc>
        <w:tc>
          <w:tcPr>
            <w:tcW w:w="14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41"/>
          </w:tcPr>
          <w:p>
            <w:pPr>
              <w:spacing w:after="0"/>
              <w:rPr>
                <w:rFonts w:ascii="Arial" w:cs="Arial" w:eastAsia="Arial" w:hAnsi="Arial"/>
                <w:sz w:val="18"/>
                <w:szCs w:val="18"/>
                <w:color w:val="0000FF"/>
              </w:rPr>
            </w:pPr>
            <w:hyperlink r:id="rId82">
              <w:r>
                <w:rPr>
                  <w:rFonts w:ascii="Arial" w:cs="Arial" w:eastAsia="Arial" w:hAnsi="Arial"/>
                  <w:sz w:val="18"/>
                  <w:szCs w:val="18"/>
                  <w:color w:val="0000FF"/>
                </w:rPr>
                <w:t>Indenture, dated as of March 31, 2021, by and between the</w:t>
              </w:r>
            </w:hyperlink>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03-31-2021</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Company and Wilmington Trust, National Association, as</w:t>
              </w:r>
            </w:hyperlink>
          </w:p>
        </w:tc>
        <w:tc>
          <w:tcPr>
            <w:tcW w:w="460" w:type="dxa"/>
            <w:vAlign w:val="bottom"/>
            <w:gridSpan w:val="12"/>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Trustee</w:t>
              </w:r>
              <w:r>
                <w:rPr>
                  <w:rFonts w:ascii="Arial" w:cs="Arial" w:eastAsia="Arial" w:hAnsi="Arial"/>
                  <w:sz w:val="18"/>
                  <w:szCs w:val="18"/>
                  <w:color w:val="000000"/>
                </w:rPr>
                <w:t>.</w:t>
              </w:r>
            </w:hyperlink>
          </w:p>
        </w:tc>
        <w:tc>
          <w:tcPr>
            <w:tcW w:w="640" w:type="dxa"/>
            <w:vAlign w:val="bottom"/>
            <w:gridSpan w:val="16"/>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4580" w:type="dxa"/>
            <w:vAlign w:val="bottom"/>
            <w:gridSpan w:val="37"/>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41"/>
          </w:tcPr>
          <w:p>
            <w:pPr>
              <w:spacing w:after="0"/>
              <w:rPr>
                <w:rFonts w:ascii="Arial" w:cs="Arial" w:eastAsia="Arial" w:hAnsi="Arial"/>
                <w:sz w:val="18"/>
                <w:szCs w:val="18"/>
                <w:color w:val="0000FF"/>
              </w:rPr>
            </w:pPr>
            <w:hyperlink r:id="rId82">
              <w:r>
                <w:rPr>
                  <w:rFonts w:ascii="Arial" w:cs="Arial" w:eastAsia="Arial" w:hAnsi="Arial"/>
                  <w:sz w:val="18"/>
                  <w:szCs w:val="18"/>
                  <w:color w:val="0000FF"/>
                </w:rPr>
                <w:t>Form of 3.419% Senior Notes due 2033 (included in Exhibit</w:t>
              </w:r>
            </w:hyperlink>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001-38449</w:t>
            </w:r>
          </w:p>
        </w:tc>
        <w:tc>
          <w:tcPr>
            <w:tcW w:w="1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ind w:right="11"/>
              <w:spacing w:after="0"/>
              <w:rPr>
                <w:sz w:val="20"/>
                <w:szCs w:val="20"/>
                <w:color w:val="auto"/>
              </w:rPr>
            </w:pPr>
            <w:r>
              <w:rPr>
                <w:rFonts w:ascii="Arial" w:cs="Arial" w:eastAsia="Arial" w:hAnsi="Arial"/>
                <w:sz w:val="18"/>
                <w:szCs w:val="18"/>
                <w:color w:val="auto"/>
                <w:w w:val="99"/>
              </w:rPr>
              <w:t>03-31-2021</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tcBorders>
            <w:gridSpan w:val="3"/>
          </w:tcPr>
          <w:p>
            <w:pPr>
              <w:spacing w:after="0" w:line="156"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4.</w:t>
              </w:r>
              <w:r>
                <w:rPr>
                  <w:rFonts w:ascii="Arial" w:cs="Arial" w:eastAsia="Arial" w:hAnsi="Arial"/>
                  <w:sz w:val="18"/>
                  <w:szCs w:val="18"/>
                  <w:u w:val="single" w:color="auto"/>
                  <w:color w:val="0000FF"/>
                  <w:w w:val="91"/>
                </w:rPr>
                <w:t>26)</w:t>
              </w:r>
              <w:r>
                <w:rPr>
                  <w:rFonts w:ascii="Arial" w:cs="Arial" w:eastAsia="Arial" w:hAnsi="Arial"/>
                  <w:sz w:val="18"/>
                  <w:szCs w:val="18"/>
                  <w:color w:val="000000"/>
                  <w:w w:val="91"/>
                </w:rPr>
                <w:t>.</w:t>
              </w:r>
            </w:hyperlink>
          </w:p>
        </w:tc>
        <w:tc>
          <w:tcPr>
            <w:tcW w:w="14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4 28</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760" w:type="dxa"/>
            <w:vAlign w:val="bottom"/>
            <w:gridSpan w:val="39"/>
          </w:tcPr>
          <w:p>
            <w:pPr>
              <w:spacing w:after="0" w:line="20" w:lineRule="exact"/>
              <w:rPr>
                <w:sz w:val="1"/>
                <w:szCs w:val="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8"/>
                <w:szCs w:val="18"/>
                <w:color w:val="auto"/>
              </w:rPr>
              <w:t>8 K</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001 38449</w:t>
            </w:r>
          </w:p>
        </w:tc>
        <w:tc>
          <w:tcPr>
            <w:tcW w:w="120" w:type="dxa"/>
            <w:vAlign w:val="bottom"/>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rPr>
              <w:t>4 1</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vMerge w:val="restart"/>
          </w:tcPr>
          <w:p>
            <w:pPr>
              <w:jc w:val="center"/>
              <w:ind w:right="11"/>
              <w:spacing w:after="0"/>
              <w:rPr>
                <w:sz w:val="20"/>
                <w:szCs w:val="20"/>
                <w:color w:val="auto"/>
              </w:rPr>
            </w:pPr>
            <w:r>
              <w:rPr>
                <w:rFonts w:ascii="Arial" w:cs="Arial" w:eastAsia="Arial" w:hAnsi="Arial"/>
                <w:sz w:val="18"/>
                <w:szCs w:val="18"/>
                <w:color w:val="auto"/>
              </w:rPr>
              <w:t>03 31 2021</w:t>
            </w: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8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160" w:type="dxa"/>
            <w:vAlign w:val="bottom"/>
            <w:gridSpan w:val="41"/>
          </w:tcPr>
          <w:p>
            <w:pPr>
              <w:spacing w:after="0"/>
              <w:rPr>
                <w:sz w:val="20"/>
                <w:szCs w:val="20"/>
                <w:color w:val="auto"/>
              </w:rPr>
            </w:pPr>
            <w:r>
              <w:rPr>
                <w:rFonts w:ascii="Arial" w:cs="Arial" w:eastAsia="Arial" w:hAnsi="Arial"/>
                <w:sz w:val="18"/>
                <w:szCs w:val="18"/>
                <w:color w:val="0000FF"/>
              </w:rPr>
              <w:t>Form of 3 469% Senior Notes due 2034 (included in Exhibit</w:t>
            </w:r>
          </w:p>
        </w:tc>
        <w:tc>
          <w:tcPr>
            <w:tcW w:w="880" w:type="dxa"/>
            <w:vAlign w:val="bottom"/>
            <w:gridSpan w:val="2"/>
            <w:vMerge w:val="continue"/>
          </w:tcPr>
          <w:p>
            <w:pPr>
              <w:spacing w:after="0"/>
              <w:rPr>
                <w:sz w:val="23"/>
                <w:szCs w:val="23"/>
                <w:color w:val="auto"/>
              </w:rPr>
            </w:pPr>
          </w:p>
        </w:tc>
        <w:tc>
          <w:tcPr>
            <w:tcW w:w="110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7030" w:orient="portrait"/>
          <w:cols w:equalWidth="0" w:num="1">
            <w:col w:w="11140"/>
          </w:cols>
          <w:pgMar w:left="320" w:top="122" w:right="439" w:bottom="0" w:gutter="0" w:footer="0" w:header="0"/>
        </w:sectPr>
      </w:pPr>
    </w:p>
    <w:bookmarkStart w:id="50" w:name="page51"/>
    <w:bookmarkEnd w:id="50"/>
    <w:p>
      <w:pPr>
        <w:spacing w:after="0" w:line="97" w:lineRule="exact"/>
        <w:rPr>
          <w:sz w:val="20"/>
          <w:szCs w:val="20"/>
          <w:color w:val="auto"/>
        </w:rPr>
      </w:pPr>
    </w:p>
    <w:p>
      <w:pPr>
        <w:ind w:left="540"/>
        <w:spacing w:after="0"/>
        <w:rPr>
          <w:rFonts w:ascii="Arial" w:cs="Arial" w:eastAsia="Arial" w:hAnsi="Arial"/>
          <w:sz w:val="18"/>
          <w:szCs w:val="18"/>
          <w:color w:val="0000FF"/>
        </w:rPr>
      </w:pPr>
      <w:hyperlink r:id="rId82">
        <w:r>
          <w:rPr>
            <w:rFonts w:ascii="Arial" w:cs="Arial" w:eastAsia="Arial" w:hAnsi="Arial"/>
            <w:sz w:val="18"/>
            <w:szCs w:val="18"/>
            <w:u w:val="single" w:color="auto"/>
            <w:color w:val="0000FF"/>
          </w:rPr>
          <w:t>4.26)</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-118745</wp:posOffset>
            </wp:positionV>
            <wp:extent cx="30041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3004185" cy="8890"/>
                    </a:xfrm>
                    <a:prstGeom prst="rect">
                      <a:avLst/>
                    </a:prstGeom>
                    <a:noFill/>
                  </pic:spPr>
                </pic:pic>
              </a:graphicData>
            </a:graphic>
          </wp:anchor>
        </w:drawing>
      </w:r>
    </w:p>
    <w:p>
      <w:pPr>
        <w:spacing w:after="0" w:line="16" w:lineRule="exact"/>
        <w:rPr>
          <w:sz w:val="20"/>
          <w:szCs w:val="20"/>
          <w:color w:val="auto"/>
        </w:rPr>
      </w:pPr>
    </w:p>
    <w:p>
      <w:pPr>
        <w:jc w:val="both"/>
        <w:ind w:left="540" w:right="200" w:hanging="552"/>
        <w:spacing w:after="0" w:line="227" w:lineRule="auto"/>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4.29</w:t>
      </w:r>
      <w:r>
        <w:rPr>
          <w:sz w:val="20"/>
          <w:szCs w:val="20"/>
          <w:color w:val="auto"/>
        </w:rPr>
        <w:tab/>
      </w:r>
      <w:hyperlink r:id="rId84">
        <w:r>
          <w:rPr>
            <w:rFonts w:ascii="Arial" w:cs="Arial" w:eastAsia="Arial" w:hAnsi="Arial"/>
            <w:sz w:val="18"/>
            <w:szCs w:val="18"/>
            <w:u w:val="single" w:color="auto"/>
            <w:color w:val="0000FF"/>
          </w:rPr>
          <w:t>Indenture, dated as of September 30, 2021, by and between</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the Company and Wilmington Trust, National Association, as</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Trustee.</w:t>
        </w:r>
      </w:hyperlink>
    </w:p>
    <w:p>
      <w:pPr>
        <w:spacing w:after="0" w:line="232" w:lineRule="auto"/>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4.30</w:t>
      </w:r>
      <w:r>
        <w:rPr>
          <w:sz w:val="20"/>
          <w:szCs w:val="20"/>
          <w:color w:val="auto"/>
        </w:rPr>
        <w:tab/>
      </w:r>
      <w:hyperlink r:id="rId84">
        <w:r>
          <w:rPr>
            <w:rFonts w:ascii="Arial" w:cs="Arial" w:eastAsia="Arial" w:hAnsi="Arial"/>
            <w:sz w:val="18"/>
            <w:szCs w:val="18"/>
            <w:u w:val="single" w:color="auto"/>
            <w:color w:val="0000FF"/>
          </w:rPr>
          <w:t>Form of 3.137% Senior Notes due 2035 (included in Exhibit</w:t>
        </w:r>
      </w:hyperlink>
    </w:p>
    <w:p>
      <w:pPr>
        <w:ind w:left="540"/>
        <w:spacing w:after="0"/>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4.29).</w:t>
        </w:r>
      </w:hyperlink>
    </w:p>
    <w:p>
      <w:pPr>
        <w:spacing w:after="0" w:line="5" w:lineRule="exact"/>
        <w:rPr>
          <w:rFonts w:ascii="Arial" w:cs="Arial" w:eastAsia="Arial" w:hAnsi="Arial"/>
          <w:sz w:val="18"/>
          <w:szCs w:val="18"/>
          <w:u w:val="single" w:color="auto"/>
          <w:color w:val="0000FF"/>
        </w:rPr>
      </w:pPr>
    </w:p>
    <w:p>
      <w:pPr>
        <w:spacing w:after="0"/>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4.31</w:t>
      </w:r>
      <w:r>
        <w:rPr>
          <w:sz w:val="20"/>
          <w:szCs w:val="20"/>
          <w:color w:val="auto"/>
        </w:rPr>
        <w:tab/>
      </w:r>
      <w:hyperlink r:id="rId84">
        <w:r>
          <w:rPr>
            <w:rFonts w:ascii="Arial" w:cs="Arial" w:eastAsia="Arial" w:hAnsi="Arial"/>
            <w:sz w:val="18"/>
            <w:szCs w:val="18"/>
            <w:u w:val="single" w:color="auto"/>
            <w:color w:val="0000FF"/>
          </w:rPr>
          <w:t>Form of 3.187% Senior Notes due 2036 (included in Exhibit</w:t>
        </w:r>
      </w:hyperlink>
    </w:p>
    <w:p>
      <w:pPr>
        <w:ind w:left="540"/>
        <w:spacing w:after="0"/>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4.29).</w:t>
        </w:r>
      </w:hyperlink>
    </w:p>
    <w:p>
      <w:pPr>
        <w:spacing w:after="0" w:line="18" w:lineRule="exact"/>
        <w:rPr>
          <w:rFonts w:ascii="Arial" w:cs="Arial" w:eastAsia="Arial" w:hAnsi="Arial"/>
          <w:sz w:val="18"/>
          <w:szCs w:val="18"/>
          <w:u w:val="single" w:color="auto"/>
          <w:color w:val="0000FF"/>
        </w:rPr>
      </w:pPr>
    </w:p>
    <w:p>
      <w:pPr>
        <w:ind w:left="540" w:hanging="552"/>
        <w:spacing w:after="0" w:line="215" w:lineRule="auto"/>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4.32</w:t>
      </w:r>
      <w:r>
        <w:rPr>
          <w:sz w:val="20"/>
          <w:szCs w:val="20"/>
          <w:color w:val="auto"/>
        </w:rPr>
        <w:tab/>
      </w:r>
      <w:hyperlink r:id="rId85">
        <w:r>
          <w:rPr>
            <w:rFonts w:ascii="Arial" w:cs="Arial" w:eastAsia="Arial" w:hAnsi="Arial"/>
            <w:sz w:val="18"/>
            <w:szCs w:val="18"/>
            <w:u w:val="single" w:color="auto"/>
            <w:color w:val="0000FF"/>
          </w:rPr>
          <w:t>Registration Rights Agreement, dated as of September 30,</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2021, by and among the Company and BNP Paribas Securities</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Corp., J.P. Morgan Securities LLC and TD Securities (USA)</w:t>
        </w:r>
      </w:hyperlink>
    </w:p>
    <w:p>
      <w:pPr>
        <w:spacing w:after="0" w:line="2" w:lineRule="exact"/>
        <w:rPr>
          <w:rFonts w:ascii="Arial" w:cs="Arial" w:eastAsia="Arial" w:hAnsi="Arial"/>
          <w:sz w:val="18"/>
          <w:szCs w:val="18"/>
          <w:u w:val="single" w:color="auto"/>
          <w:color w:val="0000FF"/>
        </w:rPr>
      </w:pPr>
    </w:p>
    <w:p>
      <w:pPr>
        <w:ind w:left="540" w:right="400"/>
        <w:spacing w:after="0" w:line="229" w:lineRule="auto"/>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LLC, as dealer-mangers in connection with the September</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2021 exchange offer.</w:t>
        </w:r>
      </w:hyperlink>
    </w:p>
    <w:p>
      <w:pPr>
        <w:spacing w:after="0" w:line="6" w:lineRule="exact"/>
        <w:rPr>
          <w:sz w:val="20"/>
          <w:szCs w:val="20"/>
          <w:color w:val="auto"/>
        </w:rPr>
      </w:pPr>
    </w:p>
    <w:p>
      <w:pPr>
        <w:ind w:left="540" w:right="320" w:hanging="552"/>
        <w:spacing w:after="0"/>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4.33</w:t>
      </w:r>
      <w:r>
        <w:rPr>
          <w:sz w:val="20"/>
          <w:szCs w:val="20"/>
          <w:color w:val="auto"/>
        </w:rPr>
        <w:tab/>
      </w:r>
      <w:hyperlink r:id="rId86">
        <w:r>
          <w:rPr>
            <w:rFonts w:ascii="Arial" w:cs="Arial" w:eastAsia="Arial" w:hAnsi="Arial"/>
            <w:sz w:val="18"/>
            <w:szCs w:val="18"/>
            <w:u w:val="single" w:color="auto"/>
            <w:color w:val="0000FF"/>
          </w:rPr>
          <w:t>Indenture, dated April 14, 2022, between the Company and</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Wilmington Trust, National Association, as trustee.</w:t>
        </w:r>
      </w:hyperlink>
    </w:p>
    <w:p>
      <w:pPr>
        <w:spacing w:after="0" w:line="229" w:lineRule="auto"/>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4.34</w:t>
      </w:r>
      <w:r>
        <w:rPr>
          <w:sz w:val="20"/>
          <w:szCs w:val="20"/>
          <w:color w:val="auto"/>
        </w:rPr>
        <w:tab/>
      </w:r>
      <w:hyperlink r:id="rId86">
        <w:r>
          <w:rPr>
            <w:rFonts w:ascii="Arial" w:cs="Arial" w:eastAsia="Arial" w:hAnsi="Arial"/>
            <w:sz w:val="18"/>
            <w:szCs w:val="18"/>
            <w:u w:val="single" w:color="auto"/>
            <w:color w:val="0000FF"/>
          </w:rPr>
          <w:t>Form of 4.00% Senior Notes due 2029 (included in Exhibit</w:t>
        </w:r>
      </w:hyperlink>
    </w:p>
    <w:p>
      <w:pPr>
        <w:spacing w:after="0" w:line="1" w:lineRule="exact"/>
        <w:rPr>
          <w:sz w:val="20"/>
          <w:szCs w:val="20"/>
          <w:color w:val="auto"/>
        </w:rPr>
      </w:pPr>
    </w:p>
    <w:p>
      <w:pPr>
        <w:ind w:left="540"/>
        <w:spacing w:after="0"/>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4.33).</w:t>
        </w:r>
      </w:hyperlink>
    </w:p>
    <w:p>
      <w:pPr>
        <w:spacing w:after="0" w:line="5" w:lineRule="exact"/>
        <w:rPr>
          <w:sz w:val="20"/>
          <w:szCs w:val="20"/>
          <w:color w:val="auto"/>
        </w:rPr>
      </w:pPr>
    </w:p>
    <w:p>
      <w:pPr>
        <w:spacing w:after="0"/>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4.35</w:t>
      </w:r>
      <w:r>
        <w:rPr>
          <w:sz w:val="20"/>
          <w:szCs w:val="20"/>
          <w:color w:val="auto"/>
        </w:rPr>
        <w:tab/>
      </w:r>
      <w:hyperlink r:id="rId86">
        <w:r>
          <w:rPr>
            <w:rFonts w:ascii="Arial" w:cs="Arial" w:eastAsia="Arial" w:hAnsi="Arial"/>
            <w:sz w:val="18"/>
            <w:szCs w:val="18"/>
            <w:u w:val="single" w:color="auto"/>
            <w:color w:val="0000FF"/>
          </w:rPr>
          <w:t>Form of 4.15% Senior Notes due 2032 (included in Exhibit</w:t>
        </w:r>
      </w:hyperlink>
    </w:p>
    <w:p>
      <w:pPr>
        <w:ind w:left="540"/>
        <w:spacing w:after="0"/>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4.33).</w:t>
        </w:r>
      </w:hyperlink>
    </w:p>
    <w:p>
      <w:pPr>
        <w:spacing w:after="0" w:line="18" w:lineRule="exact"/>
        <w:rPr>
          <w:sz w:val="20"/>
          <w:szCs w:val="20"/>
          <w:color w:val="auto"/>
        </w:rPr>
      </w:pPr>
    </w:p>
    <w:p>
      <w:pPr>
        <w:ind w:left="540" w:right="380" w:hanging="552"/>
        <w:spacing w:after="0" w:line="215" w:lineRule="auto"/>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4.36</w:t>
      </w:r>
      <w:r>
        <w:rPr>
          <w:sz w:val="20"/>
          <w:szCs w:val="20"/>
          <w:color w:val="auto"/>
        </w:rPr>
        <w:tab/>
      </w:r>
      <w:hyperlink r:id="rId87">
        <w:r>
          <w:rPr>
            <w:rFonts w:ascii="Arial" w:cs="Arial" w:eastAsia="Arial" w:hAnsi="Arial"/>
            <w:sz w:val="18"/>
            <w:szCs w:val="18"/>
            <w:u w:val="single" w:color="auto"/>
            <w:color w:val="0000FF"/>
          </w:rPr>
          <w:t>Registration Rights Agreement, dated as of April 14, 2022,</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between the Company and BofA Securities, Inc., HSBC</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Securities (USA) Inc., and RBC Capital Markets, LLC, as</w:t>
        </w:r>
      </w:hyperlink>
    </w:p>
    <w:p>
      <w:pPr>
        <w:spacing w:after="0" w:line="2" w:lineRule="exact"/>
        <w:rPr>
          <w:rFonts w:ascii="Arial" w:cs="Arial" w:eastAsia="Arial" w:hAnsi="Arial"/>
          <w:sz w:val="18"/>
          <w:szCs w:val="18"/>
          <w:u w:val="single" w:color="auto"/>
          <w:color w:val="0000FF"/>
        </w:rPr>
      </w:pPr>
    </w:p>
    <w:p>
      <w:pPr>
        <w:ind w:left="540" w:right="360"/>
        <w:spacing w:after="0" w:line="229" w:lineRule="auto"/>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representatives of the several initial purchasers of the April</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2022 Senior Notes.</w:t>
        </w:r>
      </w:hyperlink>
    </w:p>
    <w:p>
      <w:pPr>
        <w:spacing w:after="0" w:line="6" w:lineRule="exact"/>
        <w:rPr>
          <w:sz w:val="20"/>
          <w:szCs w:val="20"/>
          <w:color w:val="auto"/>
        </w:rPr>
      </w:pPr>
    </w:p>
    <w:p>
      <w:pPr>
        <w:ind w:left="540" w:right="320" w:hanging="552"/>
        <w:spacing w:after="0"/>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4.37</w:t>
      </w:r>
      <w:r>
        <w:rPr>
          <w:sz w:val="20"/>
          <w:szCs w:val="20"/>
          <w:color w:val="auto"/>
        </w:rPr>
        <w:tab/>
      </w:r>
      <w:hyperlink r:id="rId88">
        <w:r>
          <w:rPr>
            <w:rFonts w:ascii="Arial" w:cs="Arial" w:eastAsia="Arial" w:hAnsi="Arial"/>
            <w:sz w:val="18"/>
            <w:szCs w:val="18"/>
            <w:u w:val="single" w:color="auto"/>
            <w:color w:val="0000FF"/>
          </w:rPr>
          <w:t>Indenture, dated April 18, 2022, between the Company and</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Wilmington Trust, National Association, as trustee.</w:t>
        </w:r>
      </w:hyperlink>
    </w:p>
    <w:p>
      <w:pPr>
        <w:spacing w:after="0" w:line="229" w:lineRule="auto"/>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4.38</w:t>
      </w:r>
      <w:r>
        <w:rPr>
          <w:sz w:val="20"/>
          <w:szCs w:val="20"/>
          <w:color w:val="auto"/>
        </w:rPr>
        <w:tab/>
      </w:r>
      <w:hyperlink r:id="rId88">
        <w:r>
          <w:rPr>
            <w:rFonts w:ascii="Arial" w:cs="Arial" w:eastAsia="Arial" w:hAnsi="Arial"/>
            <w:sz w:val="18"/>
            <w:szCs w:val="18"/>
            <w:u w:val="single" w:color="auto"/>
            <w:color w:val="0000FF"/>
          </w:rPr>
          <w:t>Form of 4.926% Senior Notes due 2037 (included in Exhibit</w:t>
        </w:r>
      </w:hyperlink>
    </w:p>
    <w:p>
      <w:pPr>
        <w:spacing w:after="0" w:line="1" w:lineRule="exact"/>
        <w:rPr>
          <w:sz w:val="20"/>
          <w:szCs w:val="20"/>
          <w:color w:val="auto"/>
        </w:rPr>
      </w:pPr>
    </w:p>
    <w:p>
      <w:pPr>
        <w:ind w:left="540"/>
        <w:spacing w:after="0"/>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4.37).</w:t>
        </w:r>
      </w:hyperlink>
    </w:p>
    <w:p>
      <w:pPr>
        <w:spacing w:after="0" w:line="18" w:lineRule="exact"/>
        <w:rPr>
          <w:sz w:val="20"/>
          <w:szCs w:val="20"/>
          <w:color w:val="auto"/>
        </w:rPr>
      </w:pPr>
    </w:p>
    <w:p>
      <w:pPr>
        <w:jc w:val="both"/>
        <w:ind w:left="540" w:right="60" w:hanging="552"/>
        <w:spacing w:after="0" w:line="228" w:lineRule="auto"/>
        <w:tabs>
          <w:tab w:leader="none" w:pos="520" w:val="left"/>
        </w:tabs>
        <w:rPr>
          <w:rFonts w:ascii="Arial" w:cs="Arial" w:eastAsia="Arial" w:hAnsi="Arial"/>
          <w:sz w:val="17"/>
          <w:szCs w:val="17"/>
          <w:u w:val="single" w:color="auto"/>
          <w:color w:val="0000FF"/>
        </w:rPr>
      </w:pPr>
      <w:r>
        <w:rPr>
          <w:rFonts w:ascii="Arial" w:cs="Arial" w:eastAsia="Arial" w:hAnsi="Arial"/>
          <w:sz w:val="18"/>
          <w:szCs w:val="18"/>
          <w:color w:val="auto"/>
        </w:rPr>
        <w:t>4.39</w:t>
      </w:r>
      <w:r>
        <w:rPr>
          <w:sz w:val="20"/>
          <w:szCs w:val="20"/>
          <w:color w:val="auto"/>
        </w:rPr>
        <w:tab/>
      </w:r>
      <w:hyperlink r:id="rId89">
        <w:r>
          <w:rPr>
            <w:rFonts w:ascii="Arial" w:cs="Arial" w:eastAsia="Arial" w:hAnsi="Arial"/>
            <w:sz w:val="17"/>
            <w:szCs w:val="17"/>
            <w:u w:val="single" w:color="auto"/>
            <w:color w:val="0000FF"/>
          </w:rPr>
          <w:t>Registration Rights Agreement, dated April 18, 2022, between</w:t>
        </w:r>
      </w:hyperlink>
      <w:r>
        <w:rPr>
          <w:rFonts w:ascii="Arial" w:cs="Arial" w:eastAsia="Arial" w:hAnsi="Arial"/>
          <w:sz w:val="17"/>
          <w:szCs w:val="17"/>
          <w:u w:val="single" w:color="auto"/>
          <w:color w:val="0000FF"/>
        </w:rPr>
        <w:t xml:space="preserve"> </w:t>
      </w:r>
      <w:hyperlink r:id="rId89">
        <w:r>
          <w:rPr>
            <w:rFonts w:ascii="Arial" w:cs="Arial" w:eastAsia="Arial" w:hAnsi="Arial"/>
            <w:sz w:val="17"/>
            <w:szCs w:val="17"/>
            <w:u w:val="single" w:color="auto"/>
            <w:color w:val="0000FF"/>
          </w:rPr>
          <w:t>the Company and Barclays Capital Inc., BBVA Securities Inc.,</w:t>
        </w:r>
      </w:hyperlink>
      <w:r>
        <w:rPr>
          <w:rFonts w:ascii="Arial" w:cs="Arial" w:eastAsia="Arial" w:hAnsi="Arial"/>
          <w:sz w:val="17"/>
          <w:szCs w:val="17"/>
          <w:u w:val="single" w:color="auto"/>
          <w:color w:val="0000FF"/>
        </w:rPr>
        <w:t xml:space="preserve"> </w:t>
      </w:r>
      <w:hyperlink r:id="rId89">
        <w:r>
          <w:rPr>
            <w:rFonts w:ascii="Arial" w:cs="Arial" w:eastAsia="Arial" w:hAnsi="Arial"/>
            <w:sz w:val="17"/>
            <w:szCs w:val="17"/>
            <w:u w:val="single" w:color="auto"/>
            <w:color w:val="0000FF"/>
          </w:rPr>
          <w:t>BNP Paribas Securities Corp. and J.P. Morgan Securities LLC,</w:t>
        </w:r>
      </w:hyperlink>
    </w:p>
    <w:p>
      <w:pPr>
        <w:spacing w:after="0" w:line="1" w:lineRule="exact"/>
        <w:rPr>
          <w:rFonts w:ascii="Arial" w:cs="Arial" w:eastAsia="Arial" w:hAnsi="Arial"/>
          <w:sz w:val="17"/>
          <w:szCs w:val="17"/>
          <w:u w:val="single" w:color="auto"/>
          <w:color w:val="0000FF"/>
        </w:rPr>
      </w:pPr>
    </w:p>
    <w:p>
      <w:pPr>
        <w:ind w:left="540" w:right="800"/>
        <w:spacing w:after="0" w:line="229" w:lineRule="auto"/>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as dealer-managers in connection with the April 2022</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Exchange Offer.</w:t>
        </w:r>
      </w:hyperlink>
    </w:p>
    <w:p>
      <w:pPr>
        <w:spacing w:after="0" w:line="6" w:lineRule="exact"/>
        <w:rPr>
          <w:sz w:val="20"/>
          <w:szCs w:val="20"/>
          <w:color w:val="auto"/>
        </w:rPr>
      </w:pPr>
    </w:p>
    <w:p>
      <w:pPr>
        <w:ind w:left="540" w:right="360" w:hanging="552"/>
        <w:spacing w:after="0"/>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4.40</w:t>
      </w:r>
      <w:r>
        <w:rPr>
          <w:sz w:val="20"/>
          <w:szCs w:val="20"/>
          <w:color w:val="auto"/>
        </w:rPr>
        <w:tab/>
      </w:r>
      <w:hyperlink r:id="rId90">
        <w:r>
          <w:rPr>
            <w:rFonts w:ascii="Arial" w:cs="Arial" w:eastAsia="Arial" w:hAnsi="Arial"/>
            <w:sz w:val="18"/>
            <w:szCs w:val="18"/>
            <w:u w:val="single" w:color="auto"/>
            <w:color w:val="0000FF"/>
          </w:rPr>
          <w:t>Indenture, dated July 12, 2024, between the Company and</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Wilmington Trust, National Association, as trustee.</w:t>
        </w:r>
      </w:hyperlink>
    </w:p>
    <w:p>
      <w:pPr>
        <w:spacing w:after="0" w:line="5" w:lineRule="exact"/>
        <w:rPr>
          <w:sz w:val="20"/>
          <w:szCs w:val="20"/>
          <w:color w:val="auto"/>
        </w:rPr>
      </w:pPr>
    </w:p>
    <w:p>
      <w:pPr>
        <w:jc w:val="both"/>
        <w:ind w:left="540" w:right="200" w:hanging="552"/>
        <w:spacing w:after="0" w:line="227" w:lineRule="auto"/>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4.41</w:t>
      </w:r>
      <w:r>
        <w:rPr>
          <w:sz w:val="20"/>
          <w:szCs w:val="20"/>
          <w:color w:val="auto"/>
        </w:rPr>
        <w:tab/>
      </w:r>
      <w:hyperlink r:id="rId91">
        <w:r>
          <w:rPr>
            <w:rFonts w:ascii="Arial" w:cs="Arial" w:eastAsia="Arial" w:hAnsi="Arial"/>
            <w:sz w:val="18"/>
            <w:szCs w:val="18"/>
            <w:u w:val="single" w:color="auto"/>
            <w:color w:val="0000FF"/>
          </w:rPr>
          <w:t>Supplemental Indenture No. 1, dated July 12, 2024, between</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the Company and Wilmington Trust, National Association, as</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trustee.</w:t>
        </w:r>
      </w:hyperlink>
    </w:p>
    <w:p>
      <w:pPr>
        <w:spacing w:after="0" w:line="232" w:lineRule="auto"/>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4.42</w:t>
      </w:r>
      <w:r>
        <w:rPr>
          <w:sz w:val="20"/>
          <w:szCs w:val="20"/>
          <w:color w:val="auto"/>
        </w:rPr>
        <w:tab/>
      </w:r>
      <w:hyperlink r:id="rId91">
        <w:r>
          <w:rPr>
            <w:rFonts w:ascii="Arial" w:cs="Arial" w:eastAsia="Arial" w:hAnsi="Arial"/>
            <w:sz w:val="18"/>
            <w:szCs w:val="18"/>
            <w:u w:val="single" w:color="auto"/>
            <w:color w:val="0000FF"/>
          </w:rPr>
          <w:t>Form of 5.050% Senior Notes due 2027 (included in Exhibit</w:t>
        </w:r>
      </w:hyperlink>
    </w:p>
    <w:p>
      <w:pPr>
        <w:ind w:left="540"/>
        <w:spacing w:after="0"/>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4.41).</w:t>
        </w:r>
      </w:hyperlink>
    </w:p>
    <w:p>
      <w:pPr>
        <w:spacing w:after="0" w:line="5" w:lineRule="exact"/>
        <w:rPr>
          <w:rFonts w:ascii="Arial" w:cs="Arial" w:eastAsia="Arial" w:hAnsi="Arial"/>
          <w:sz w:val="18"/>
          <w:szCs w:val="18"/>
          <w:u w:val="single" w:color="auto"/>
          <w:color w:val="0000FF"/>
        </w:rPr>
      </w:pPr>
    </w:p>
    <w:p>
      <w:pPr>
        <w:spacing w:after="0"/>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4.43</w:t>
      </w:r>
      <w:r>
        <w:rPr>
          <w:sz w:val="20"/>
          <w:szCs w:val="20"/>
          <w:color w:val="auto"/>
        </w:rPr>
        <w:tab/>
      </w:r>
      <w:hyperlink r:id="rId91">
        <w:r>
          <w:rPr>
            <w:rFonts w:ascii="Arial" w:cs="Arial" w:eastAsia="Arial" w:hAnsi="Arial"/>
            <w:sz w:val="18"/>
            <w:szCs w:val="18"/>
            <w:u w:val="single" w:color="auto"/>
            <w:color w:val="0000FF"/>
          </w:rPr>
          <w:t>Form of 5.050% Senior Notes due 2029 (included in Exhibit</w:t>
        </w:r>
      </w:hyperlink>
    </w:p>
    <w:p>
      <w:pPr>
        <w:ind w:left="540"/>
        <w:spacing w:after="0"/>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4.41).</w:t>
        </w:r>
      </w:hyperlink>
    </w:p>
    <w:p>
      <w:pPr>
        <w:spacing w:after="0" w:line="5" w:lineRule="exact"/>
        <w:rPr>
          <w:rFonts w:ascii="Arial" w:cs="Arial" w:eastAsia="Arial" w:hAnsi="Arial"/>
          <w:sz w:val="18"/>
          <w:szCs w:val="18"/>
          <w:u w:val="single" w:color="auto"/>
          <w:color w:val="0000FF"/>
        </w:rPr>
      </w:pPr>
    </w:p>
    <w:p>
      <w:pPr>
        <w:spacing w:after="0"/>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4.44</w:t>
      </w:r>
      <w:r>
        <w:rPr>
          <w:sz w:val="20"/>
          <w:szCs w:val="20"/>
          <w:color w:val="auto"/>
        </w:rPr>
        <w:tab/>
      </w:r>
      <w:hyperlink r:id="rId91">
        <w:r>
          <w:rPr>
            <w:rFonts w:ascii="Arial" w:cs="Arial" w:eastAsia="Arial" w:hAnsi="Arial"/>
            <w:sz w:val="18"/>
            <w:szCs w:val="18"/>
            <w:u w:val="single" w:color="auto"/>
            <w:color w:val="0000FF"/>
          </w:rPr>
          <w:t>Form of 5.150% Senior Notes due 2031 (included in Exhibit</w:t>
        </w:r>
      </w:hyperlink>
    </w:p>
    <w:p>
      <w:pPr>
        <w:ind w:left="540"/>
        <w:spacing w:after="0"/>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4.41).</w:t>
        </w:r>
      </w:hyperlink>
    </w:p>
    <w:p>
      <w:pPr>
        <w:spacing w:after="0" w:line="18" w:lineRule="exact"/>
        <w:rPr>
          <w:rFonts w:ascii="Arial" w:cs="Arial" w:eastAsia="Arial" w:hAnsi="Arial"/>
          <w:sz w:val="18"/>
          <w:szCs w:val="18"/>
          <w:u w:val="single" w:color="auto"/>
          <w:color w:val="0000FF"/>
        </w:rPr>
      </w:pPr>
    </w:p>
    <w:p>
      <w:pPr>
        <w:jc w:val="both"/>
        <w:ind w:left="540" w:right="700" w:hanging="552"/>
        <w:spacing w:after="0" w:line="227" w:lineRule="auto"/>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4.45</w:t>
      </w:r>
      <w:r>
        <w:rPr>
          <w:sz w:val="20"/>
          <w:szCs w:val="20"/>
          <w:color w:val="auto"/>
        </w:rPr>
        <w:tab/>
      </w:r>
      <w:hyperlink r:id="rId92">
        <w:r>
          <w:rPr>
            <w:rFonts w:ascii="Arial" w:cs="Arial" w:eastAsia="Arial" w:hAnsi="Arial"/>
            <w:sz w:val="18"/>
            <w:szCs w:val="18"/>
            <w:u w:val="single" w:color="auto"/>
            <w:color w:val="0000FF"/>
          </w:rPr>
          <w:t>Supplemental Indenture No. 2, dated October 2, 2024,</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between the Company and Wilmington Trust, National</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Association, as trustee.</w:t>
        </w:r>
      </w:hyperlink>
    </w:p>
    <w:p>
      <w:pPr>
        <w:spacing w:after="0" w:line="232" w:lineRule="auto"/>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4.46</w:t>
      </w:r>
      <w:r>
        <w:rPr>
          <w:sz w:val="20"/>
          <w:szCs w:val="20"/>
          <w:color w:val="auto"/>
        </w:rPr>
        <w:tab/>
      </w:r>
      <w:hyperlink r:id="rId93">
        <w:r>
          <w:rPr>
            <w:rFonts w:ascii="Arial" w:cs="Arial" w:eastAsia="Arial" w:hAnsi="Arial"/>
            <w:sz w:val="18"/>
            <w:szCs w:val="18"/>
            <w:u w:val="single" w:color="auto"/>
            <w:color w:val="0000FF"/>
          </w:rPr>
          <w:t>Form of 4.350% Senior Notes due 2030 (included in Exhibit</w:t>
        </w:r>
      </w:hyperlink>
    </w:p>
    <w:p>
      <w:pPr>
        <w:ind w:left="540"/>
        <w:spacing w:after="0"/>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4.45).</w:t>
        </w:r>
      </w:hyperlink>
    </w:p>
    <w:p>
      <w:pPr>
        <w:spacing w:after="0" w:line="5" w:lineRule="exact"/>
        <w:rPr>
          <w:rFonts w:ascii="Arial" w:cs="Arial" w:eastAsia="Arial" w:hAnsi="Arial"/>
          <w:sz w:val="18"/>
          <w:szCs w:val="18"/>
          <w:u w:val="single" w:color="auto"/>
          <w:color w:val="0000FF"/>
        </w:rPr>
      </w:pPr>
    </w:p>
    <w:p>
      <w:pPr>
        <w:spacing w:after="0"/>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4.47</w:t>
      </w:r>
      <w:r>
        <w:rPr>
          <w:sz w:val="20"/>
          <w:szCs w:val="20"/>
          <w:color w:val="auto"/>
        </w:rPr>
        <w:tab/>
      </w:r>
      <w:hyperlink r:id="rId93">
        <w:r>
          <w:rPr>
            <w:rFonts w:ascii="Arial" w:cs="Arial" w:eastAsia="Arial" w:hAnsi="Arial"/>
            <w:sz w:val="18"/>
            <w:szCs w:val="18"/>
            <w:u w:val="single" w:color="auto"/>
            <w:color w:val="0000FF"/>
          </w:rPr>
          <w:t>Form of 4.550% Senior Notes due 2032 (included in Exhibit</w:t>
        </w:r>
      </w:hyperlink>
    </w:p>
    <w:p>
      <w:pPr>
        <w:ind w:left="540"/>
        <w:spacing w:after="0"/>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4.45).</w:t>
        </w:r>
      </w:hyperlink>
    </w:p>
    <w:p>
      <w:pPr>
        <w:spacing w:after="0" w:line="5" w:lineRule="exact"/>
        <w:rPr>
          <w:rFonts w:ascii="Arial" w:cs="Arial" w:eastAsia="Arial" w:hAnsi="Arial"/>
          <w:sz w:val="18"/>
          <w:szCs w:val="18"/>
          <w:u w:val="single" w:color="auto"/>
          <w:color w:val="0000FF"/>
        </w:rPr>
      </w:pPr>
    </w:p>
    <w:p>
      <w:pPr>
        <w:spacing w:after="0"/>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4.48</w:t>
      </w:r>
      <w:r>
        <w:rPr>
          <w:sz w:val="20"/>
          <w:szCs w:val="20"/>
          <w:color w:val="auto"/>
        </w:rPr>
        <w:tab/>
      </w:r>
      <w:hyperlink r:id="rId93">
        <w:r>
          <w:rPr>
            <w:rFonts w:ascii="Arial" w:cs="Arial" w:eastAsia="Arial" w:hAnsi="Arial"/>
            <w:sz w:val="18"/>
            <w:szCs w:val="18"/>
            <w:u w:val="single" w:color="auto"/>
            <w:color w:val="0000FF"/>
          </w:rPr>
          <w:t>Form of 4.800% Senior Notes due 2034 (included in Exhibit</w:t>
        </w:r>
      </w:hyperlink>
    </w:p>
    <w:p>
      <w:pPr>
        <w:ind w:left="540"/>
        <w:spacing w:after="0"/>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4.45).</w:t>
        </w:r>
      </w:hyperlink>
    </w:p>
    <w:p>
      <w:pPr>
        <w:spacing w:after="0" w:line="18" w:lineRule="exact"/>
        <w:rPr>
          <w:rFonts w:ascii="Arial" w:cs="Arial" w:eastAsia="Arial" w:hAnsi="Arial"/>
          <w:sz w:val="18"/>
          <w:szCs w:val="18"/>
          <w:u w:val="single" w:color="auto"/>
          <w:color w:val="0000FF"/>
        </w:rPr>
      </w:pPr>
    </w:p>
    <w:p>
      <w:pPr>
        <w:ind w:left="540" w:right="600" w:hanging="552"/>
        <w:spacing w:after="0" w:line="227" w:lineRule="auto"/>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4.49</w:t>
      </w:r>
      <w:r>
        <w:rPr>
          <w:sz w:val="20"/>
          <w:szCs w:val="20"/>
          <w:color w:val="auto"/>
        </w:rPr>
        <w:tab/>
      </w:r>
      <w:hyperlink r:id="rId94">
        <w:r>
          <w:rPr>
            <w:rFonts w:ascii="Arial" w:cs="Arial" w:eastAsia="Arial" w:hAnsi="Arial"/>
            <w:sz w:val="18"/>
            <w:szCs w:val="18"/>
            <w:u w:val="single" w:color="auto"/>
            <w:color w:val="0000FF"/>
          </w:rPr>
          <w:t>Supplemental Indenture No. 3, dated January 10, 2025,</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between the Company and Wilmington Trust, National</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Association, as trustee.</w:t>
        </w:r>
      </w:hyperlink>
    </w:p>
    <w:p>
      <w:pPr>
        <w:spacing w:after="0" w:line="232" w:lineRule="auto"/>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4.50</w:t>
      </w:r>
      <w:r>
        <w:rPr>
          <w:sz w:val="20"/>
          <w:szCs w:val="20"/>
          <w:color w:val="auto"/>
        </w:rPr>
        <w:tab/>
      </w:r>
      <w:hyperlink r:id="rId94">
        <w:r>
          <w:rPr>
            <w:rFonts w:ascii="Arial" w:cs="Arial" w:eastAsia="Arial" w:hAnsi="Arial"/>
            <w:sz w:val="18"/>
            <w:szCs w:val="18"/>
            <w:u w:val="single" w:color="auto"/>
            <w:color w:val="0000FF"/>
          </w:rPr>
          <w:t>Form of 4.800% Senior Notes due 2028 (included in Exhibit</w:t>
        </w:r>
      </w:hyperlink>
    </w:p>
    <w:p>
      <w:pPr>
        <w:ind w:left="540"/>
        <w:spacing w:after="0"/>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4.49).</w:t>
        </w:r>
      </w:hyperlink>
    </w:p>
    <w:p>
      <w:pPr>
        <w:spacing w:after="0" w:line="5" w:lineRule="exact"/>
        <w:rPr>
          <w:rFonts w:ascii="Arial" w:cs="Arial" w:eastAsia="Arial" w:hAnsi="Arial"/>
          <w:sz w:val="18"/>
          <w:szCs w:val="18"/>
          <w:u w:val="single" w:color="auto"/>
          <w:color w:val="0000FF"/>
        </w:rPr>
      </w:pPr>
    </w:p>
    <w:p>
      <w:pPr>
        <w:spacing w:after="0"/>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4.51</w:t>
      </w:r>
      <w:r>
        <w:rPr>
          <w:sz w:val="20"/>
          <w:szCs w:val="20"/>
          <w:color w:val="auto"/>
        </w:rPr>
        <w:tab/>
      </w:r>
      <w:hyperlink r:id="rId94">
        <w:r>
          <w:rPr>
            <w:rFonts w:ascii="Arial" w:cs="Arial" w:eastAsia="Arial" w:hAnsi="Arial"/>
            <w:sz w:val="18"/>
            <w:szCs w:val="18"/>
            <w:u w:val="single" w:color="auto"/>
            <w:color w:val="0000FF"/>
          </w:rPr>
          <w:t>Form of 5.050% Senior Notes due 2030 (included in Exhibit</w:t>
        </w:r>
      </w:hyperlink>
    </w:p>
    <w:p>
      <w:pPr>
        <w:ind w:left="540"/>
        <w:spacing w:after="0"/>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4.49).</w:t>
        </w:r>
      </w:hyperlink>
    </w:p>
    <w:p>
      <w:pPr>
        <w:spacing w:after="0" w:line="5" w:lineRule="exact"/>
        <w:rPr>
          <w:rFonts w:ascii="Arial" w:cs="Arial" w:eastAsia="Arial" w:hAnsi="Arial"/>
          <w:sz w:val="18"/>
          <w:szCs w:val="18"/>
          <w:u w:val="single" w:color="auto"/>
          <w:color w:val="0000FF"/>
        </w:rPr>
      </w:pPr>
    </w:p>
    <w:p>
      <w:pPr>
        <w:spacing w:after="0"/>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4.52</w:t>
      </w:r>
      <w:r>
        <w:rPr>
          <w:sz w:val="20"/>
          <w:szCs w:val="20"/>
          <w:color w:val="auto"/>
        </w:rPr>
        <w:tab/>
      </w:r>
      <w:hyperlink r:id="rId94">
        <w:r>
          <w:rPr>
            <w:rFonts w:ascii="Arial" w:cs="Arial" w:eastAsia="Arial" w:hAnsi="Arial"/>
            <w:sz w:val="18"/>
            <w:szCs w:val="18"/>
            <w:u w:val="single" w:color="auto"/>
            <w:color w:val="0000FF"/>
          </w:rPr>
          <w:t>Form of 5.200% Senior Notes due 2032 (included in Exhibit</w:t>
        </w:r>
      </w:hyperlink>
    </w:p>
    <w:p>
      <w:pPr>
        <w:ind w:left="540"/>
        <w:spacing w:after="0"/>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4.49).</w:t>
        </w:r>
      </w:hyperlink>
    </w:p>
    <w:p>
      <w:pPr>
        <w:spacing w:after="0" w:line="18" w:lineRule="exact"/>
        <w:rPr>
          <w:rFonts w:ascii="Arial" w:cs="Arial" w:eastAsia="Arial" w:hAnsi="Arial"/>
          <w:sz w:val="18"/>
          <w:szCs w:val="18"/>
          <w:u w:val="single" w:color="auto"/>
          <w:color w:val="0000FF"/>
        </w:rPr>
      </w:pPr>
    </w:p>
    <w:p>
      <w:pPr>
        <w:jc w:val="both"/>
        <w:ind w:left="540" w:right="200" w:hanging="552"/>
        <w:spacing w:after="0" w:line="227" w:lineRule="auto"/>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4.53</w:t>
      </w:r>
      <w:r>
        <w:rPr>
          <w:sz w:val="20"/>
          <w:szCs w:val="20"/>
          <w:color w:val="auto"/>
        </w:rPr>
        <w:tab/>
      </w:r>
      <w:hyperlink r:id="rId95">
        <w:r>
          <w:rPr>
            <w:rFonts w:ascii="Arial" w:cs="Arial" w:eastAsia="Arial" w:hAnsi="Arial"/>
            <w:sz w:val="18"/>
            <w:szCs w:val="18"/>
            <w:u w:val="single" w:color="auto"/>
            <w:color w:val="0000FF"/>
          </w:rPr>
          <w:t>Supplemental Indenture No. 4, dated July 11, 2025, between</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the Company and Wilmington Trust, National Association, as</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trustee.</w:t>
        </w:r>
      </w:hyperlink>
    </w:p>
    <w:p>
      <w:pPr>
        <w:spacing w:after="0" w:line="232" w:lineRule="auto"/>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4.54</w:t>
      </w:r>
      <w:r>
        <w:rPr>
          <w:sz w:val="20"/>
          <w:szCs w:val="20"/>
          <w:color w:val="auto"/>
        </w:rPr>
        <w:tab/>
      </w:r>
      <w:hyperlink r:id="rId95">
        <w:r>
          <w:rPr>
            <w:rFonts w:ascii="Arial" w:cs="Arial" w:eastAsia="Arial" w:hAnsi="Arial"/>
            <w:sz w:val="18"/>
            <w:szCs w:val="18"/>
            <w:u w:val="single" w:color="auto"/>
            <w:color w:val="0000FF"/>
          </w:rPr>
          <w:t>Form of 4.600% Senior Notes due 2030 (included in Exhibit</w:t>
        </w:r>
      </w:hyperlink>
    </w:p>
    <w:p>
      <w:pPr>
        <w:ind w:left="540"/>
        <w:spacing w:after="0"/>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4.53).</w:t>
        </w:r>
      </w:hyperlink>
    </w:p>
    <w:p>
      <w:pPr>
        <w:spacing w:after="0" w:line="5" w:lineRule="exact"/>
        <w:rPr>
          <w:rFonts w:ascii="Arial" w:cs="Arial" w:eastAsia="Arial" w:hAnsi="Arial"/>
          <w:sz w:val="18"/>
          <w:szCs w:val="18"/>
          <w:u w:val="single" w:color="auto"/>
          <w:color w:val="0000FF"/>
        </w:rPr>
      </w:pPr>
    </w:p>
    <w:p>
      <w:pPr>
        <w:spacing w:after="0"/>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4.55</w:t>
      </w:r>
      <w:r>
        <w:rPr>
          <w:sz w:val="20"/>
          <w:szCs w:val="20"/>
          <w:color w:val="auto"/>
        </w:rPr>
        <w:tab/>
      </w:r>
      <w:hyperlink r:id="rId95">
        <w:r>
          <w:rPr>
            <w:rFonts w:ascii="Arial" w:cs="Arial" w:eastAsia="Arial" w:hAnsi="Arial"/>
            <w:sz w:val="18"/>
            <w:szCs w:val="18"/>
            <w:u w:val="single" w:color="auto"/>
            <w:color w:val="0000FF"/>
          </w:rPr>
          <w:t>Form of 4.900% Senior Notes due 2032 (included in Exhibit</w:t>
        </w:r>
      </w:hyperlink>
    </w:p>
    <w:p>
      <w:pPr>
        <w:ind w:left="540"/>
        <w:spacing w:after="0"/>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4.53).</w:t>
        </w:r>
      </w:hyperlink>
    </w:p>
    <w:p>
      <w:pPr>
        <w:spacing w:after="0" w:line="5" w:lineRule="exact"/>
        <w:rPr>
          <w:rFonts w:ascii="Arial" w:cs="Arial" w:eastAsia="Arial" w:hAnsi="Arial"/>
          <w:sz w:val="18"/>
          <w:szCs w:val="18"/>
          <w:u w:val="single" w:color="auto"/>
          <w:color w:val="0000FF"/>
        </w:rPr>
      </w:pPr>
    </w:p>
    <w:p>
      <w:pPr>
        <w:spacing w:after="0"/>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4.56</w:t>
      </w:r>
      <w:r>
        <w:rPr>
          <w:sz w:val="20"/>
          <w:szCs w:val="20"/>
          <w:color w:val="auto"/>
        </w:rPr>
        <w:tab/>
      </w:r>
      <w:hyperlink r:id="rId95">
        <w:r>
          <w:rPr>
            <w:rFonts w:ascii="Arial" w:cs="Arial" w:eastAsia="Arial" w:hAnsi="Arial"/>
            <w:sz w:val="18"/>
            <w:szCs w:val="18"/>
            <w:u w:val="single" w:color="auto"/>
            <w:color w:val="0000FF"/>
          </w:rPr>
          <w:t>Form of 5.200% Senior Notes due 2035 (included in Exhibit</w:t>
        </w:r>
      </w:hyperlink>
    </w:p>
    <w:p>
      <w:pPr>
        <w:ind w:left="540"/>
        <w:spacing w:after="0"/>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4.53).</w:t>
        </w:r>
      </w:hyperlink>
    </w:p>
    <w:p>
      <w:pPr>
        <w:spacing w:after="0" w:line="18" w:lineRule="exact"/>
        <w:rPr>
          <w:rFonts w:ascii="Arial" w:cs="Arial" w:eastAsia="Arial" w:hAnsi="Arial"/>
          <w:sz w:val="18"/>
          <w:szCs w:val="18"/>
          <w:u w:val="single" w:color="auto"/>
          <w:color w:val="0000FF"/>
        </w:rPr>
      </w:pPr>
    </w:p>
    <w:p>
      <w:pPr>
        <w:ind w:left="540" w:right="360" w:hanging="552"/>
        <w:spacing w:after="0" w:line="227" w:lineRule="auto"/>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4.57</w:t>
      </w:r>
      <w:r>
        <w:rPr>
          <w:sz w:val="20"/>
          <w:szCs w:val="20"/>
          <w:color w:val="auto"/>
        </w:rPr>
        <w:tab/>
      </w:r>
      <w:hyperlink r:id="rId96">
        <w:r>
          <w:rPr>
            <w:rFonts w:ascii="Arial" w:cs="Arial" w:eastAsia="Arial" w:hAnsi="Arial"/>
            <w:sz w:val="18"/>
            <w:szCs w:val="18"/>
            <w:u w:val="single" w:color="auto"/>
            <w:color w:val="0000FF"/>
          </w:rPr>
          <w:t>Supplemental Indenture No. 5, dated September 29, 2025,</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between the Company and Wilmington Trust, National</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Association, as trustee.</w:t>
        </w:r>
      </w:hyperlink>
    </w:p>
    <w:p>
      <w:pPr>
        <w:spacing w:after="0" w:line="232" w:lineRule="auto"/>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4.58</w:t>
      </w:r>
      <w:r>
        <w:rPr>
          <w:sz w:val="20"/>
          <w:szCs w:val="20"/>
          <w:color w:val="auto"/>
        </w:rPr>
        <w:tab/>
      </w:r>
      <w:hyperlink r:id="rId96">
        <w:r>
          <w:rPr>
            <w:rFonts w:ascii="Arial" w:cs="Arial" w:eastAsia="Arial" w:hAnsi="Arial"/>
            <w:sz w:val="18"/>
            <w:szCs w:val="18"/>
            <w:u w:val="single" w:color="auto"/>
            <w:color w:val="0000FF"/>
          </w:rPr>
          <w:t>Form of 4.200% Senior Notes due 2030 (included in Exhibit</w:t>
        </w:r>
      </w:hyperlink>
    </w:p>
    <w:p>
      <w:pPr>
        <w:ind w:left="540"/>
        <w:spacing w:after="0"/>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4.57).</w:t>
        </w:r>
      </w:hyperlink>
    </w:p>
    <w:p>
      <w:pPr>
        <w:spacing w:after="0" w:line="5" w:lineRule="exact"/>
        <w:rPr>
          <w:rFonts w:ascii="Arial" w:cs="Arial" w:eastAsia="Arial" w:hAnsi="Arial"/>
          <w:sz w:val="18"/>
          <w:szCs w:val="18"/>
          <w:u w:val="single" w:color="auto"/>
          <w:color w:val="0000FF"/>
        </w:rPr>
      </w:pPr>
    </w:p>
    <w:p>
      <w:pPr>
        <w:spacing w:after="0"/>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4.59</w:t>
      </w:r>
      <w:r>
        <w:rPr>
          <w:sz w:val="20"/>
          <w:szCs w:val="20"/>
          <w:color w:val="auto"/>
        </w:rPr>
        <w:tab/>
      </w:r>
      <w:hyperlink r:id="rId96">
        <w:r>
          <w:rPr>
            <w:rFonts w:ascii="Arial" w:cs="Arial" w:eastAsia="Arial" w:hAnsi="Arial"/>
            <w:sz w:val="18"/>
            <w:szCs w:val="18"/>
            <w:u w:val="single" w:color="auto"/>
            <w:color w:val="0000FF"/>
          </w:rPr>
          <w:t>Form of 4.800% Senior Notes due 2036 (included in Exhibit</w:t>
        </w:r>
      </w:hyperlink>
    </w:p>
    <w:p>
      <w:pPr>
        <w:ind w:left="540"/>
        <w:spacing w:after="0"/>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4.57).</w:t>
        </w:r>
      </w:hyperlink>
    </w:p>
    <w:p>
      <w:pPr>
        <w:spacing w:after="0" w:line="5" w:lineRule="exact"/>
        <w:rPr>
          <w:rFonts w:ascii="Arial" w:cs="Arial" w:eastAsia="Arial" w:hAnsi="Arial"/>
          <w:sz w:val="18"/>
          <w:szCs w:val="18"/>
          <w:u w:val="single" w:color="auto"/>
          <w:color w:val="0000FF"/>
        </w:rPr>
      </w:pPr>
    </w:p>
    <w:p>
      <w:pPr>
        <w:spacing w:after="0"/>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4.60</w:t>
      </w:r>
      <w:r>
        <w:rPr>
          <w:sz w:val="20"/>
          <w:szCs w:val="20"/>
          <w:color w:val="auto"/>
        </w:rPr>
        <w:tab/>
      </w:r>
      <w:hyperlink r:id="rId96">
        <w:r>
          <w:rPr>
            <w:rFonts w:ascii="Arial" w:cs="Arial" w:eastAsia="Arial" w:hAnsi="Arial"/>
            <w:sz w:val="18"/>
            <w:szCs w:val="18"/>
            <w:u w:val="single" w:color="auto"/>
            <w:color w:val="0000FF"/>
          </w:rPr>
          <w:t>Form of 4.900% Senior Notes due 2038 (included in Exhibit</w:t>
        </w:r>
      </w:hyperlink>
    </w:p>
    <w:p>
      <w:pPr>
        <w:ind w:left="540"/>
        <w:spacing w:after="0"/>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4.57).</w:t>
        </w:r>
      </w:hyperlink>
    </w:p>
    <w:p>
      <w:pPr>
        <w:spacing w:after="0" w:line="18" w:lineRule="exact"/>
        <w:rPr>
          <w:rFonts w:ascii="Arial" w:cs="Arial" w:eastAsia="Arial" w:hAnsi="Arial"/>
          <w:sz w:val="18"/>
          <w:szCs w:val="18"/>
          <w:u w:val="single" w:color="auto"/>
          <w:color w:val="0000FF"/>
        </w:rPr>
      </w:pPr>
    </w:p>
    <w:p>
      <w:pPr>
        <w:spacing w:after="0"/>
        <w:tabs>
          <w:tab w:leader="none" w:pos="520" w:val="left"/>
        </w:tabs>
        <w:rPr>
          <w:rFonts w:ascii="Arial" w:cs="Arial" w:eastAsia="Arial" w:hAnsi="Arial"/>
          <w:sz w:val="18"/>
          <w:szCs w:val="18"/>
          <w:u w:val="single" w:color="auto"/>
          <w:color w:val="0000FF"/>
        </w:rPr>
      </w:pPr>
      <w:r>
        <w:rPr>
          <w:rFonts w:ascii="Arial" w:cs="Arial" w:eastAsia="Arial" w:hAnsi="Arial"/>
          <w:sz w:val="18"/>
          <w:szCs w:val="18"/>
          <w:color w:val="auto"/>
        </w:rPr>
        <w:t>4.61</w:t>
      </w:r>
      <w:r>
        <w:rPr>
          <w:sz w:val="20"/>
          <w:szCs w:val="20"/>
          <w:color w:val="auto"/>
        </w:rPr>
        <w:tab/>
      </w:r>
      <w:hyperlink r:id="rId97">
        <w:r>
          <w:rPr>
            <w:rFonts w:ascii="Arial" w:cs="Arial" w:eastAsia="Arial" w:hAnsi="Arial"/>
            <w:sz w:val="18"/>
            <w:szCs w:val="18"/>
            <w:u w:val="single" w:color="auto"/>
            <w:color w:val="0000FF"/>
          </w:rPr>
          <w:t>Supplemental Indenture No. 6, dated January 13, 2026,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320"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9"/>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09-30-2021</w:t>
            </w:r>
          </w:p>
        </w:tc>
      </w:tr>
      <w:tr>
        <w:trPr>
          <w:trHeight w:val="594"/>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09-30-2021</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09-30-2021</w:t>
            </w:r>
          </w:p>
        </w:tc>
      </w:tr>
      <w:tr>
        <w:trPr>
          <w:trHeight w:val="419"/>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4.4</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09-30-2021</w:t>
            </w:r>
          </w:p>
        </w:tc>
      </w:tr>
      <w:tr>
        <w:trPr>
          <w:trHeight w:val="958"/>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04-15-2022</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04-15-2022</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04-15-2022</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4.4</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04-15-2022</w:t>
            </w:r>
          </w:p>
        </w:tc>
      </w:tr>
      <w:tr>
        <w:trPr>
          <w:trHeight w:val="958"/>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04-18-2022</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04-18-2022</w:t>
            </w:r>
          </w:p>
        </w:tc>
      </w:tr>
      <w:tr>
        <w:trPr>
          <w:trHeight w:val="419"/>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4.3</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04-18-2022</w:t>
            </w:r>
          </w:p>
        </w:tc>
      </w:tr>
      <w:tr>
        <w:trPr>
          <w:trHeight w:val="958"/>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07-12-2024</w:t>
            </w:r>
          </w:p>
        </w:tc>
      </w:tr>
      <w:tr>
        <w:trPr>
          <w:trHeight w:val="419"/>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07-12-2024</w:t>
            </w:r>
          </w:p>
        </w:tc>
      </w:tr>
      <w:tr>
        <w:trPr>
          <w:trHeight w:val="594"/>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07-12-2024</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07-12-2024</w:t>
            </w:r>
          </w:p>
        </w:tc>
      </w:tr>
      <w:tr>
        <w:trPr>
          <w:trHeight w:val="419"/>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07-12-2024</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10-02-2024</w:t>
            </w:r>
          </w:p>
        </w:tc>
      </w:tr>
      <w:tr>
        <w:trPr>
          <w:trHeight w:val="594"/>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10-02-2024</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10-02-2024</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10-02-2024</w:t>
            </w:r>
          </w:p>
        </w:tc>
      </w:tr>
      <w:tr>
        <w:trPr>
          <w:trHeight w:val="419"/>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01-10-2025</w:t>
            </w:r>
          </w:p>
        </w:tc>
      </w:tr>
      <w:tr>
        <w:trPr>
          <w:trHeight w:val="594"/>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01-10-2025</w:t>
            </w:r>
          </w:p>
        </w:tc>
      </w:tr>
      <w:tr>
        <w:trPr>
          <w:trHeight w:val="419"/>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01-10-2025</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01-10-2025</w:t>
            </w:r>
          </w:p>
        </w:tc>
      </w:tr>
      <w:tr>
        <w:trPr>
          <w:trHeight w:val="419"/>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100" w:type="dxa"/>
            <w:vAlign w:val="bottom"/>
          </w:tcPr>
          <w:p>
            <w:pPr>
              <w:jc w:val="center"/>
              <w:ind w:left="110"/>
              <w:spacing w:after="0"/>
              <w:rPr>
                <w:sz w:val="20"/>
                <w:szCs w:val="20"/>
                <w:color w:val="auto"/>
              </w:rPr>
            </w:pPr>
            <w:r>
              <w:rPr>
                <w:rFonts w:ascii="Arial" w:cs="Arial" w:eastAsia="Arial" w:hAnsi="Arial"/>
                <w:sz w:val="18"/>
                <w:szCs w:val="18"/>
                <w:color w:val="auto"/>
                <w:w w:val="97"/>
              </w:rPr>
              <w:t>07-11-2025</w:t>
            </w:r>
          </w:p>
        </w:tc>
      </w:tr>
      <w:tr>
        <w:trPr>
          <w:trHeight w:val="594"/>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100" w:type="dxa"/>
            <w:vAlign w:val="bottom"/>
          </w:tcPr>
          <w:p>
            <w:pPr>
              <w:jc w:val="center"/>
              <w:ind w:left="110"/>
              <w:spacing w:after="0"/>
              <w:rPr>
                <w:sz w:val="20"/>
                <w:szCs w:val="20"/>
                <w:color w:val="auto"/>
              </w:rPr>
            </w:pPr>
            <w:r>
              <w:rPr>
                <w:rFonts w:ascii="Arial" w:cs="Arial" w:eastAsia="Arial" w:hAnsi="Arial"/>
                <w:sz w:val="18"/>
                <w:szCs w:val="18"/>
                <w:color w:val="auto"/>
                <w:w w:val="97"/>
              </w:rPr>
              <w:t>07-11-2025</w:t>
            </w:r>
          </w:p>
        </w:tc>
      </w:tr>
      <w:tr>
        <w:trPr>
          <w:trHeight w:val="419"/>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100" w:type="dxa"/>
            <w:vAlign w:val="bottom"/>
          </w:tcPr>
          <w:p>
            <w:pPr>
              <w:jc w:val="center"/>
              <w:ind w:left="110"/>
              <w:spacing w:after="0"/>
              <w:rPr>
                <w:sz w:val="20"/>
                <w:szCs w:val="20"/>
                <w:color w:val="auto"/>
              </w:rPr>
            </w:pPr>
            <w:r>
              <w:rPr>
                <w:rFonts w:ascii="Arial" w:cs="Arial" w:eastAsia="Arial" w:hAnsi="Arial"/>
                <w:sz w:val="18"/>
                <w:szCs w:val="18"/>
                <w:color w:val="auto"/>
                <w:w w:val="97"/>
              </w:rPr>
              <w:t>07-11-2025</w:t>
            </w:r>
          </w:p>
        </w:tc>
      </w:tr>
      <w:tr>
        <w:trPr>
          <w:trHeight w:val="419"/>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100" w:type="dxa"/>
            <w:vAlign w:val="bottom"/>
          </w:tcPr>
          <w:p>
            <w:pPr>
              <w:jc w:val="center"/>
              <w:ind w:left="110"/>
              <w:spacing w:after="0"/>
              <w:rPr>
                <w:sz w:val="20"/>
                <w:szCs w:val="20"/>
                <w:color w:val="auto"/>
              </w:rPr>
            </w:pPr>
            <w:r>
              <w:rPr>
                <w:rFonts w:ascii="Arial" w:cs="Arial" w:eastAsia="Arial" w:hAnsi="Arial"/>
                <w:sz w:val="18"/>
                <w:szCs w:val="18"/>
                <w:color w:val="auto"/>
                <w:w w:val="97"/>
              </w:rPr>
              <w:t>07-11-2025</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09-29-2025</w:t>
            </w:r>
          </w:p>
        </w:tc>
      </w:tr>
      <w:tr>
        <w:trPr>
          <w:trHeight w:val="594"/>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09-29-2025</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09-29-2025</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09-29-2025</w:t>
            </w:r>
          </w:p>
        </w:tc>
      </w:tr>
      <w:tr>
        <w:trPr>
          <w:trHeight w:val="419"/>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100" w:type="dxa"/>
            <w:vAlign w:val="bottom"/>
          </w:tcPr>
          <w:p>
            <w:pPr>
              <w:jc w:val="center"/>
              <w:ind w:left="110"/>
              <w:spacing w:after="0"/>
              <w:rPr>
                <w:sz w:val="20"/>
                <w:szCs w:val="20"/>
                <w:color w:val="auto"/>
              </w:rPr>
            </w:pPr>
            <w:r>
              <w:rPr>
                <w:rFonts w:ascii="Arial" w:cs="Arial" w:eastAsia="Arial" w:hAnsi="Arial"/>
                <w:sz w:val="18"/>
                <w:szCs w:val="18"/>
                <w:color w:val="auto"/>
                <w:w w:val="99"/>
              </w:rPr>
              <w:t>1-13-2026</w:t>
            </w:r>
          </w:p>
        </w:tc>
      </w:tr>
    </w:tbl>
    <w:p>
      <w:pPr>
        <w:sectPr>
          <w:pgSz w:w="11900" w:h="16936" w:orient="portrait"/>
          <w:cols w:equalWidth="0" w:num="2">
            <w:col w:w="5580" w:space="160"/>
            <w:col w:w="3819"/>
          </w:cols>
          <w:pgMar w:left="900" w:top="188" w:right="1440" w:bottom="0" w:gutter="0" w:footer="0" w:header="0"/>
        </w:sectPr>
      </w:pPr>
    </w:p>
    <w:bookmarkStart w:id="51" w:name="page52"/>
    <w:bookmarkEnd w:id="51"/>
    <w:p>
      <w:pPr>
        <w:ind w:left="1000"/>
        <w:spacing w:after="0"/>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between the Company and Wilmington Trust, National</w:t>
        </w:r>
      </w:hyperlink>
    </w:p>
    <w:p>
      <w:pPr>
        <w:ind w:left="1000"/>
        <w:spacing w:after="0"/>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Association, as trustee.</w:t>
        </w:r>
      </w:hyperlink>
    </w:p>
    <w:p>
      <w:pPr>
        <w:spacing w:after="0" w:line="5"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860" w:type="dxa"/>
            <w:vAlign w:val="bottom"/>
          </w:tcPr>
          <w:p>
            <w:pPr>
              <w:jc w:val="right"/>
              <w:ind w:right="110"/>
              <w:spacing w:after="0"/>
              <w:rPr>
                <w:sz w:val="20"/>
                <w:szCs w:val="20"/>
                <w:color w:val="auto"/>
              </w:rPr>
            </w:pPr>
            <w:r>
              <w:rPr>
                <w:rFonts w:ascii="Arial" w:cs="Arial" w:eastAsia="Arial" w:hAnsi="Arial"/>
                <w:sz w:val="18"/>
                <w:szCs w:val="18"/>
                <w:color w:val="auto"/>
              </w:rPr>
              <w:t>4.62</w:t>
            </w:r>
          </w:p>
        </w:tc>
        <w:tc>
          <w:tcPr>
            <w:tcW w:w="5100" w:type="dxa"/>
            <w:vAlign w:val="bottom"/>
            <w:gridSpan w:val="14"/>
          </w:tcPr>
          <w:p>
            <w:pPr>
              <w:spacing w:after="0"/>
              <w:rPr>
                <w:rFonts w:ascii="Arial" w:cs="Arial" w:eastAsia="Arial" w:hAnsi="Arial"/>
                <w:sz w:val="18"/>
                <w:szCs w:val="18"/>
                <w:color w:val="0000FF"/>
              </w:rPr>
            </w:pPr>
            <w:hyperlink r:id="rId97">
              <w:r>
                <w:rPr>
                  <w:rFonts w:ascii="Arial" w:cs="Arial" w:eastAsia="Arial" w:hAnsi="Arial"/>
                  <w:sz w:val="18"/>
                  <w:szCs w:val="18"/>
                  <w:color w:val="0000FF"/>
                </w:rPr>
                <w:t>Form of 4.300% Senior Notes due 2031 (included in Exhibit</w:t>
              </w:r>
            </w:hyperlink>
          </w:p>
        </w:tc>
        <w:tc>
          <w:tcPr>
            <w:tcW w:w="720" w:type="dxa"/>
            <w:vAlign w:val="bottom"/>
          </w:tcPr>
          <w:p>
            <w:pPr>
              <w:ind w:left="100"/>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1760" w:type="dxa"/>
            <w:vAlign w:val="bottom"/>
          </w:tcPr>
          <w:p>
            <w:pPr>
              <w:ind w:left="220"/>
              <w:spacing w:after="0"/>
              <w:rPr>
                <w:sz w:val="20"/>
                <w:szCs w:val="20"/>
                <w:color w:val="auto"/>
              </w:rPr>
            </w:pPr>
            <w:r>
              <w:rPr>
                <w:rFonts w:ascii="Arial" w:cs="Arial" w:eastAsia="Arial" w:hAnsi="Arial"/>
                <w:sz w:val="18"/>
                <w:szCs w:val="18"/>
                <w:color w:val="auto"/>
              </w:rPr>
              <w:t>1-13-2026</w:t>
            </w:r>
          </w:p>
        </w:tc>
      </w:tr>
      <w:tr>
        <w:trPr>
          <w:trHeight w:val="155"/>
        </w:trPr>
        <w:tc>
          <w:tcPr>
            <w:tcW w:w="86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5"/>
              </w:rPr>
            </w:pPr>
            <w:hyperlink r:id="rId97">
              <w:r>
                <w:rPr>
                  <w:rFonts w:ascii="Arial" w:cs="Arial" w:eastAsia="Arial" w:hAnsi="Arial"/>
                  <w:sz w:val="18"/>
                  <w:szCs w:val="18"/>
                  <w:color w:val="0000FF"/>
                  <w:w w:val="95"/>
                </w:rPr>
                <w:t>4.</w:t>
              </w:r>
              <w:r>
                <w:rPr>
                  <w:rFonts w:ascii="Arial" w:cs="Arial" w:eastAsia="Arial" w:hAnsi="Arial"/>
                  <w:sz w:val="18"/>
                  <w:szCs w:val="18"/>
                  <w:u w:val="single" w:color="auto"/>
                  <w:color w:val="0000FF"/>
                  <w:w w:val="95"/>
                </w:rPr>
                <w:t>61)</w:t>
              </w:r>
              <w:r>
                <w:rPr>
                  <w:rFonts w:ascii="Arial" w:cs="Arial" w:eastAsia="Arial" w:hAnsi="Arial"/>
                  <w:sz w:val="18"/>
                  <w:szCs w:val="18"/>
                  <w:color w:val="0000FF"/>
                  <w:w w:val="95"/>
                </w:rPr>
                <w:t>.</w:t>
              </w:r>
            </w:hyperlink>
          </w:p>
        </w:tc>
        <w:tc>
          <w:tcPr>
            <w:tcW w:w="102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23"/>
        </w:trPr>
        <w:tc>
          <w:tcPr>
            <w:tcW w:w="860" w:type="dxa"/>
            <w:vAlign w:val="bottom"/>
          </w:tcPr>
          <w:p>
            <w:pPr>
              <w:jc w:val="right"/>
              <w:ind w:right="110"/>
              <w:spacing w:after="0"/>
              <w:rPr>
                <w:sz w:val="20"/>
                <w:szCs w:val="20"/>
                <w:color w:val="auto"/>
              </w:rPr>
            </w:pPr>
            <w:r>
              <w:rPr>
                <w:rFonts w:ascii="Arial" w:cs="Arial" w:eastAsia="Arial" w:hAnsi="Arial"/>
                <w:sz w:val="18"/>
                <w:szCs w:val="18"/>
                <w:color w:val="auto"/>
              </w:rPr>
              <w:t>4.63</w:t>
            </w:r>
          </w:p>
        </w:tc>
        <w:tc>
          <w:tcPr>
            <w:tcW w:w="5100" w:type="dxa"/>
            <w:vAlign w:val="bottom"/>
            <w:gridSpan w:val="14"/>
          </w:tcPr>
          <w:p>
            <w:pPr>
              <w:spacing w:after="0"/>
              <w:rPr>
                <w:rFonts w:ascii="Arial" w:cs="Arial" w:eastAsia="Arial" w:hAnsi="Arial"/>
                <w:sz w:val="18"/>
                <w:szCs w:val="18"/>
                <w:color w:val="0000FF"/>
              </w:rPr>
            </w:pPr>
            <w:hyperlink r:id="rId97">
              <w:r>
                <w:rPr>
                  <w:rFonts w:ascii="Arial" w:cs="Arial" w:eastAsia="Arial" w:hAnsi="Arial"/>
                  <w:sz w:val="18"/>
                  <w:szCs w:val="18"/>
                  <w:color w:val="0000FF"/>
                </w:rPr>
                <w:t>Form of 4.600% Senior Notes due 2033 (included in Exhibit</w:t>
              </w:r>
            </w:hyperlink>
          </w:p>
        </w:tc>
        <w:tc>
          <w:tcPr>
            <w:tcW w:w="720" w:type="dxa"/>
            <w:vAlign w:val="bottom"/>
          </w:tcPr>
          <w:p>
            <w:pPr>
              <w:ind w:left="100"/>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1760" w:type="dxa"/>
            <w:vAlign w:val="bottom"/>
          </w:tcPr>
          <w:p>
            <w:pPr>
              <w:ind w:left="220"/>
              <w:spacing w:after="0"/>
              <w:rPr>
                <w:sz w:val="20"/>
                <w:szCs w:val="20"/>
                <w:color w:val="auto"/>
              </w:rPr>
            </w:pPr>
            <w:r>
              <w:rPr>
                <w:rFonts w:ascii="Arial" w:cs="Arial" w:eastAsia="Arial" w:hAnsi="Arial"/>
                <w:sz w:val="18"/>
                <w:szCs w:val="18"/>
                <w:color w:val="auto"/>
              </w:rPr>
              <w:t>1-13-2026</w:t>
            </w:r>
          </w:p>
        </w:tc>
      </w:tr>
      <w:tr>
        <w:trPr>
          <w:trHeight w:val="156"/>
        </w:trPr>
        <w:tc>
          <w:tcPr>
            <w:tcW w:w="86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5"/>
              </w:rPr>
            </w:pPr>
            <w:hyperlink r:id="rId97">
              <w:r>
                <w:rPr>
                  <w:rFonts w:ascii="Arial" w:cs="Arial" w:eastAsia="Arial" w:hAnsi="Arial"/>
                  <w:sz w:val="18"/>
                  <w:szCs w:val="18"/>
                  <w:color w:val="0000FF"/>
                  <w:w w:val="95"/>
                </w:rPr>
                <w:t>4.</w:t>
              </w:r>
              <w:r>
                <w:rPr>
                  <w:rFonts w:ascii="Arial" w:cs="Arial" w:eastAsia="Arial" w:hAnsi="Arial"/>
                  <w:sz w:val="18"/>
                  <w:szCs w:val="18"/>
                  <w:u w:val="single" w:color="auto"/>
                  <w:color w:val="0000FF"/>
                  <w:w w:val="95"/>
                </w:rPr>
                <w:t>61)</w:t>
              </w:r>
              <w:r>
                <w:rPr>
                  <w:rFonts w:ascii="Arial" w:cs="Arial" w:eastAsia="Arial" w:hAnsi="Arial"/>
                  <w:sz w:val="18"/>
                  <w:szCs w:val="18"/>
                  <w:color w:val="0000FF"/>
                  <w:w w:val="95"/>
                </w:rPr>
                <w:t>.</w:t>
              </w:r>
            </w:hyperlink>
          </w:p>
        </w:tc>
        <w:tc>
          <w:tcPr>
            <w:tcW w:w="102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23"/>
        </w:trPr>
        <w:tc>
          <w:tcPr>
            <w:tcW w:w="860" w:type="dxa"/>
            <w:vAlign w:val="bottom"/>
          </w:tcPr>
          <w:p>
            <w:pPr>
              <w:jc w:val="right"/>
              <w:ind w:right="110"/>
              <w:spacing w:after="0"/>
              <w:rPr>
                <w:sz w:val="20"/>
                <w:szCs w:val="20"/>
                <w:color w:val="auto"/>
              </w:rPr>
            </w:pPr>
            <w:r>
              <w:rPr>
                <w:rFonts w:ascii="Arial" w:cs="Arial" w:eastAsia="Arial" w:hAnsi="Arial"/>
                <w:sz w:val="18"/>
                <w:szCs w:val="18"/>
                <w:color w:val="auto"/>
              </w:rPr>
              <w:t>4.64</w:t>
            </w:r>
          </w:p>
        </w:tc>
        <w:tc>
          <w:tcPr>
            <w:tcW w:w="5100" w:type="dxa"/>
            <w:vAlign w:val="bottom"/>
            <w:gridSpan w:val="14"/>
          </w:tcPr>
          <w:p>
            <w:pPr>
              <w:spacing w:after="0"/>
              <w:rPr>
                <w:rFonts w:ascii="Arial" w:cs="Arial" w:eastAsia="Arial" w:hAnsi="Arial"/>
                <w:sz w:val="18"/>
                <w:szCs w:val="18"/>
                <w:color w:val="0000FF"/>
              </w:rPr>
            </w:pPr>
            <w:hyperlink r:id="rId97">
              <w:r>
                <w:rPr>
                  <w:rFonts w:ascii="Arial" w:cs="Arial" w:eastAsia="Arial" w:hAnsi="Arial"/>
                  <w:sz w:val="18"/>
                  <w:szCs w:val="18"/>
                  <w:color w:val="0000FF"/>
                </w:rPr>
                <w:t>Form of 4.950% Senior Notes due 2036 (included in Exhibit</w:t>
              </w:r>
            </w:hyperlink>
          </w:p>
        </w:tc>
        <w:tc>
          <w:tcPr>
            <w:tcW w:w="720" w:type="dxa"/>
            <w:vAlign w:val="bottom"/>
          </w:tcPr>
          <w:p>
            <w:pPr>
              <w:ind w:left="100"/>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1760" w:type="dxa"/>
            <w:vAlign w:val="bottom"/>
          </w:tcPr>
          <w:p>
            <w:pPr>
              <w:ind w:left="220"/>
              <w:spacing w:after="0"/>
              <w:rPr>
                <w:sz w:val="20"/>
                <w:szCs w:val="20"/>
                <w:color w:val="auto"/>
              </w:rPr>
            </w:pPr>
            <w:r>
              <w:rPr>
                <w:rFonts w:ascii="Arial" w:cs="Arial" w:eastAsia="Arial" w:hAnsi="Arial"/>
                <w:sz w:val="18"/>
                <w:szCs w:val="18"/>
                <w:color w:val="auto"/>
              </w:rPr>
              <w:t>1-13-2026</w:t>
            </w:r>
          </w:p>
        </w:tc>
      </w:tr>
      <w:tr>
        <w:trPr>
          <w:trHeight w:val="156"/>
        </w:trPr>
        <w:tc>
          <w:tcPr>
            <w:tcW w:w="86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5"/>
              </w:rPr>
            </w:pPr>
            <w:hyperlink r:id="rId97">
              <w:r>
                <w:rPr>
                  <w:rFonts w:ascii="Arial" w:cs="Arial" w:eastAsia="Arial" w:hAnsi="Arial"/>
                  <w:sz w:val="18"/>
                  <w:szCs w:val="18"/>
                  <w:color w:val="0000FF"/>
                  <w:w w:val="95"/>
                </w:rPr>
                <w:t>4.</w:t>
              </w:r>
              <w:r>
                <w:rPr>
                  <w:rFonts w:ascii="Arial" w:cs="Arial" w:eastAsia="Arial" w:hAnsi="Arial"/>
                  <w:sz w:val="18"/>
                  <w:szCs w:val="18"/>
                  <w:u w:val="single" w:color="auto"/>
                  <w:color w:val="0000FF"/>
                  <w:w w:val="95"/>
                </w:rPr>
                <w:t>61)</w:t>
              </w:r>
              <w:r>
                <w:rPr>
                  <w:rFonts w:ascii="Arial" w:cs="Arial" w:eastAsia="Arial" w:hAnsi="Arial"/>
                  <w:sz w:val="18"/>
                  <w:szCs w:val="18"/>
                  <w:color w:val="0000FF"/>
                  <w:w w:val="95"/>
                </w:rPr>
                <w:t>.</w:t>
              </w:r>
            </w:hyperlink>
          </w:p>
        </w:tc>
        <w:tc>
          <w:tcPr>
            <w:tcW w:w="102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23"/>
        </w:trPr>
        <w:tc>
          <w:tcPr>
            <w:tcW w:w="860" w:type="dxa"/>
            <w:vAlign w:val="bottom"/>
          </w:tcPr>
          <w:p>
            <w:pPr>
              <w:jc w:val="right"/>
              <w:ind w:right="110"/>
              <w:spacing w:after="0"/>
              <w:rPr>
                <w:sz w:val="20"/>
                <w:szCs w:val="20"/>
                <w:color w:val="auto"/>
              </w:rPr>
            </w:pPr>
            <w:r>
              <w:rPr>
                <w:rFonts w:ascii="Arial" w:cs="Arial" w:eastAsia="Arial" w:hAnsi="Arial"/>
                <w:sz w:val="18"/>
                <w:szCs w:val="18"/>
                <w:color w:val="auto"/>
              </w:rPr>
              <w:t>4.65</w:t>
            </w:r>
          </w:p>
        </w:tc>
        <w:tc>
          <w:tcPr>
            <w:tcW w:w="5100" w:type="dxa"/>
            <w:vAlign w:val="bottom"/>
            <w:gridSpan w:val="14"/>
          </w:tcPr>
          <w:p>
            <w:pPr>
              <w:spacing w:after="0"/>
              <w:rPr>
                <w:rFonts w:ascii="Arial" w:cs="Arial" w:eastAsia="Arial" w:hAnsi="Arial"/>
                <w:sz w:val="18"/>
                <w:szCs w:val="18"/>
                <w:color w:val="0000FF"/>
              </w:rPr>
            </w:pPr>
            <w:hyperlink r:id="rId97">
              <w:r>
                <w:rPr>
                  <w:rFonts w:ascii="Arial" w:cs="Arial" w:eastAsia="Arial" w:hAnsi="Arial"/>
                  <w:sz w:val="18"/>
                  <w:szCs w:val="18"/>
                  <w:color w:val="0000FF"/>
                </w:rPr>
                <w:t>Form of 5.700% Senior Notes due 2056 (included in Exhibit</w:t>
              </w:r>
            </w:hyperlink>
          </w:p>
        </w:tc>
        <w:tc>
          <w:tcPr>
            <w:tcW w:w="720" w:type="dxa"/>
            <w:vAlign w:val="bottom"/>
          </w:tcPr>
          <w:p>
            <w:pPr>
              <w:ind w:left="100"/>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001-38449</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1760" w:type="dxa"/>
            <w:vAlign w:val="bottom"/>
          </w:tcPr>
          <w:p>
            <w:pPr>
              <w:ind w:left="220"/>
              <w:spacing w:after="0"/>
              <w:rPr>
                <w:sz w:val="20"/>
                <w:szCs w:val="20"/>
                <w:color w:val="auto"/>
              </w:rPr>
            </w:pPr>
            <w:r>
              <w:rPr>
                <w:rFonts w:ascii="Arial" w:cs="Arial" w:eastAsia="Arial" w:hAnsi="Arial"/>
                <w:sz w:val="18"/>
                <w:szCs w:val="18"/>
                <w:color w:val="auto"/>
              </w:rPr>
              <w:t>1-13-2026</w:t>
            </w:r>
          </w:p>
        </w:tc>
      </w:tr>
      <w:tr>
        <w:trPr>
          <w:trHeight w:val="155"/>
        </w:trPr>
        <w:tc>
          <w:tcPr>
            <w:tcW w:w="86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5"/>
              </w:rPr>
            </w:pPr>
            <w:hyperlink r:id="rId97">
              <w:r>
                <w:rPr>
                  <w:rFonts w:ascii="Arial" w:cs="Arial" w:eastAsia="Arial" w:hAnsi="Arial"/>
                  <w:sz w:val="18"/>
                  <w:szCs w:val="18"/>
                  <w:color w:val="0000FF"/>
                  <w:w w:val="95"/>
                </w:rPr>
                <w:t>4.</w:t>
              </w:r>
              <w:r>
                <w:rPr>
                  <w:rFonts w:ascii="Arial" w:cs="Arial" w:eastAsia="Arial" w:hAnsi="Arial"/>
                  <w:sz w:val="18"/>
                  <w:szCs w:val="18"/>
                  <w:u w:val="single" w:color="auto"/>
                  <w:color w:val="0000FF"/>
                  <w:w w:val="95"/>
                </w:rPr>
                <w:t>61)</w:t>
              </w:r>
              <w:r>
                <w:rPr>
                  <w:rFonts w:ascii="Arial" w:cs="Arial" w:eastAsia="Arial" w:hAnsi="Arial"/>
                  <w:sz w:val="18"/>
                  <w:szCs w:val="18"/>
                  <w:color w:val="0000FF"/>
                  <w:w w:val="95"/>
                </w:rPr>
                <w:t>.</w:t>
              </w:r>
            </w:hyperlink>
          </w:p>
        </w:tc>
        <w:tc>
          <w:tcPr>
            <w:tcW w:w="102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37"/>
        </w:trPr>
        <w:tc>
          <w:tcPr>
            <w:tcW w:w="86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5100" w:type="dxa"/>
            <w:vAlign w:val="bottom"/>
            <w:gridSpan w:val="14"/>
          </w:tcPr>
          <w:p>
            <w:pPr>
              <w:spacing w:after="0"/>
              <w:rPr>
                <w:sz w:val="20"/>
                <w:szCs w:val="20"/>
                <w:color w:val="auto"/>
              </w:rPr>
            </w:pPr>
            <w:r>
              <w:rPr>
                <w:rFonts w:ascii="Arial" w:cs="Arial" w:eastAsia="Arial" w:hAnsi="Arial"/>
                <w:sz w:val="18"/>
                <w:szCs w:val="18"/>
                <w:color w:val="0000FF"/>
              </w:rPr>
              <w:t>Severance Benefit Agreement, dated January 1, 2026,</w:t>
            </w:r>
          </w:p>
        </w:tc>
        <w:tc>
          <w:tcPr>
            <w:tcW w:w="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60" w:type="dxa"/>
            <w:vAlign w:val="bottom"/>
          </w:tcPr>
          <w:p>
            <w:pPr>
              <w:ind w:left="1640"/>
              <w:spacing w:after="0"/>
              <w:rPr>
                <w:sz w:val="20"/>
                <w:szCs w:val="20"/>
                <w:color w:val="auto"/>
              </w:rPr>
            </w:pPr>
            <w:r>
              <w:rPr>
                <w:rFonts w:ascii="Arial" w:cs="Arial" w:eastAsia="Arial" w:hAnsi="Arial"/>
                <w:sz w:val="18"/>
                <w:szCs w:val="18"/>
                <w:color w:val="auto"/>
                <w:w w:val="82"/>
              </w:rPr>
              <w:t>X</w:t>
            </w:r>
          </w:p>
        </w:tc>
      </w:tr>
      <w:tr>
        <w:trPr>
          <w:trHeight w:val="196"/>
        </w:trPr>
        <w:tc>
          <w:tcPr>
            <w:tcW w:w="860" w:type="dxa"/>
            <w:vAlign w:val="bottom"/>
          </w:tcPr>
          <w:p>
            <w:pPr>
              <w:spacing w:after="0"/>
              <w:rPr>
                <w:sz w:val="17"/>
                <w:szCs w:val="17"/>
                <w:color w:val="auto"/>
              </w:rPr>
            </w:pPr>
          </w:p>
        </w:tc>
        <w:tc>
          <w:tcPr>
            <w:tcW w:w="4340" w:type="dxa"/>
            <w:vAlign w:val="bottom"/>
            <w:tcBorders>
              <w:top w:val="single" w:sz="8" w:color="0000FF"/>
            </w:tcBorders>
            <w:gridSpan w:val="5"/>
          </w:tcPr>
          <w:p>
            <w:pPr>
              <w:spacing w:after="0" w:line="196" w:lineRule="exact"/>
              <w:rPr>
                <w:sz w:val="20"/>
                <w:szCs w:val="20"/>
                <w:color w:val="auto"/>
              </w:rPr>
            </w:pPr>
            <w:r>
              <w:rPr>
                <w:rFonts w:ascii="Arial" w:cs="Arial" w:eastAsia="Arial" w:hAnsi="Arial"/>
                <w:sz w:val="18"/>
                <w:szCs w:val="18"/>
                <w:color w:val="0000FF"/>
              </w:rPr>
              <w:t>between Broadcom Inc. and Ram Velaga.</w:t>
            </w:r>
          </w:p>
        </w:tc>
        <w:tc>
          <w:tcPr>
            <w:tcW w:w="760" w:type="dxa"/>
            <w:vAlign w:val="bottom"/>
            <w:gridSpan w:val="9"/>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37"/>
        </w:trPr>
        <w:tc>
          <w:tcPr>
            <w:tcW w:w="860" w:type="dxa"/>
            <w:vAlign w:val="bottom"/>
          </w:tcPr>
          <w:p>
            <w:pPr>
              <w:jc w:val="right"/>
              <w:ind w:right="110"/>
              <w:spacing w:after="0"/>
              <w:rPr>
                <w:sz w:val="20"/>
                <w:szCs w:val="20"/>
                <w:color w:val="auto"/>
              </w:rPr>
            </w:pPr>
            <w:r>
              <w:rPr>
                <w:rFonts w:ascii="Arial" w:cs="Arial" w:eastAsia="Arial" w:hAnsi="Arial"/>
                <w:sz w:val="18"/>
                <w:szCs w:val="18"/>
                <w:color w:val="auto"/>
              </w:rPr>
              <w:t>31.1</w:t>
            </w:r>
          </w:p>
        </w:tc>
        <w:tc>
          <w:tcPr>
            <w:tcW w:w="5100" w:type="dxa"/>
            <w:vAlign w:val="bottom"/>
            <w:gridSpan w:val="14"/>
          </w:tcPr>
          <w:p>
            <w:pPr>
              <w:spacing w:after="0"/>
              <w:rPr>
                <w:sz w:val="20"/>
                <w:szCs w:val="20"/>
                <w:color w:val="auto"/>
              </w:rPr>
            </w:pPr>
            <w:r>
              <w:rPr>
                <w:rFonts w:ascii="Arial" w:cs="Arial" w:eastAsia="Arial" w:hAnsi="Arial"/>
                <w:sz w:val="18"/>
                <w:szCs w:val="18"/>
                <w:color w:val="0000FF"/>
              </w:rPr>
              <w:t>Certification of Principal Executive Officer of Broadcom Inc.</w:t>
            </w:r>
          </w:p>
        </w:tc>
        <w:tc>
          <w:tcPr>
            <w:tcW w:w="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60" w:type="dxa"/>
            <w:vAlign w:val="bottom"/>
          </w:tcPr>
          <w:p>
            <w:pPr>
              <w:ind w:left="1640"/>
              <w:spacing w:after="0"/>
              <w:rPr>
                <w:sz w:val="20"/>
                <w:szCs w:val="20"/>
                <w:color w:val="auto"/>
              </w:rPr>
            </w:pPr>
            <w:r>
              <w:rPr>
                <w:rFonts w:ascii="Arial" w:cs="Arial" w:eastAsia="Arial" w:hAnsi="Arial"/>
                <w:sz w:val="18"/>
                <w:szCs w:val="18"/>
                <w:color w:val="auto"/>
                <w:w w:val="82"/>
              </w:rPr>
              <w:t>X</w:t>
            </w:r>
          </w:p>
        </w:tc>
      </w:tr>
      <w:tr>
        <w:trPr>
          <w:trHeight w:val="149"/>
        </w:trPr>
        <w:tc>
          <w:tcPr>
            <w:tcW w:w="860" w:type="dxa"/>
            <w:vAlign w:val="bottom"/>
          </w:tcPr>
          <w:p>
            <w:pPr>
              <w:spacing w:after="0"/>
              <w:rPr>
                <w:sz w:val="12"/>
                <w:szCs w:val="12"/>
                <w:color w:val="auto"/>
              </w:rPr>
            </w:pPr>
          </w:p>
        </w:tc>
        <w:tc>
          <w:tcPr>
            <w:tcW w:w="472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Pursuant to Rule 13a-14 of the Securities Exchange Act of</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62"/>
        </w:trPr>
        <w:tc>
          <w:tcPr>
            <w:tcW w:w="860" w:type="dxa"/>
            <w:vAlign w:val="bottom"/>
          </w:tcPr>
          <w:p>
            <w:pPr>
              <w:spacing w:after="0"/>
              <w:rPr>
                <w:sz w:val="14"/>
                <w:szCs w:val="14"/>
                <w:color w:val="auto"/>
              </w:rPr>
            </w:pPr>
          </w:p>
        </w:tc>
        <w:tc>
          <w:tcPr>
            <w:tcW w:w="4700" w:type="dxa"/>
            <w:vAlign w:val="bottom"/>
            <w:tcBorders>
              <w:top w:val="single" w:sz="8" w:color="0000FF"/>
            </w:tcBorders>
            <w:gridSpan w:val="8"/>
          </w:tcPr>
          <w:p>
            <w:pPr>
              <w:spacing w:after="0" w:line="162" w:lineRule="exact"/>
              <w:rPr>
                <w:sz w:val="20"/>
                <w:szCs w:val="20"/>
                <w:color w:val="auto"/>
              </w:rPr>
            </w:pPr>
            <w:r>
              <w:rPr>
                <w:rFonts w:ascii="Arial" w:cs="Arial" w:eastAsia="Arial" w:hAnsi="Arial"/>
                <w:sz w:val="18"/>
                <w:szCs w:val="18"/>
                <w:color w:val="0000FF"/>
                <w:w w:val="99"/>
              </w:rPr>
              <w:t>1934, as Adopted Pursuant to Section 302 of the Sarbanes</w:t>
            </w:r>
          </w:p>
        </w:tc>
        <w:tc>
          <w:tcPr>
            <w:tcW w:w="140" w:type="dxa"/>
            <w:vAlign w:val="bottom"/>
            <w:gridSpan w:val="5"/>
          </w:tcPr>
          <w:p>
            <w:pPr>
              <w:jc w:val="center"/>
              <w:ind w:right="80"/>
              <w:spacing w:after="0" w:line="162" w:lineRule="exact"/>
              <w:rPr>
                <w:sz w:val="20"/>
                <w:szCs w:val="20"/>
                <w:color w:val="auto"/>
              </w:rPr>
            </w:pPr>
            <w:r>
              <w:rPr>
                <w:rFonts w:ascii="Arial" w:cs="Arial" w:eastAsia="Arial" w:hAnsi="Arial"/>
                <w:sz w:val="18"/>
                <w:szCs w:val="18"/>
                <w:color w:val="0000FF"/>
                <w:w w:val="99"/>
              </w:rPr>
              <w:t>-</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860" w:type="dxa"/>
            <w:vAlign w:val="bottom"/>
          </w:tcPr>
          <w:p>
            <w:pPr>
              <w:spacing w:after="0"/>
              <w:rPr>
                <w:sz w:val="14"/>
                <w:szCs w:val="14"/>
                <w:color w:val="auto"/>
              </w:rPr>
            </w:pPr>
          </w:p>
        </w:tc>
        <w:tc>
          <w:tcPr>
            <w:tcW w:w="148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9"/>
              </w:rPr>
              <w:t>Oxley Act of 2002.</w:t>
            </w:r>
          </w:p>
        </w:tc>
        <w:tc>
          <w:tcPr>
            <w:tcW w:w="3300" w:type="dxa"/>
            <w:vAlign w:val="bottom"/>
            <w:tcBorders>
              <w:top w:val="single" w:sz="8" w:color="0000FF"/>
            </w:tcBorders>
            <w:gridSpan w:val="10"/>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09"/>
        </w:trPr>
        <w:tc>
          <w:tcPr>
            <w:tcW w:w="860" w:type="dxa"/>
            <w:vAlign w:val="bottom"/>
          </w:tcPr>
          <w:p>
            <w:pPr>
              <w:jc w:val="right"/>
              <w:ind w:right="110"/>
              <w:spacing w:after="0"/>
              <w:rPr>
                <w:sz w:val="20"/>
                <w:szCs w:val="20"/>
                <w:color w:val="auto"/>
              </w:rPr>
            </w:pPr>
            <w:r>
              <w:rPr>
                <w:rFonts w:ascii="Arial" w:cs="Arial" w:eastAsia="Arial" w:hAnsi="Arial"/>
                <w:sz w:val="18"/>
                <w:szCs w:val="18"/>
                <w:color w:val="auto"/>
              </w:rPr>
              <w:t>31.2</w:t>
            </w:r>
          </w:p>
        </w:tc>
        <w:tc>
          <w:tcPr>
            <w:tcW w:w="5100" w:type="dxa"/>
            <w:vAlign w:val="bottom"/>
            <w:gridSpan w:val="14"/>
          </w:tcPr>
          <w:p>
            <w:pPr>
              <w:spacing w:after="0"/>
              <w:rPr>
                <w:sz w:val="20"/>
                <w:szCs w:val="20"/>
                <w:color w:val="auto"/>
              </w:rPr>
            </w:pPr>
            <w:r>
              <w:rPr>
                <w:rFonts w:ascii="Arial" w:cs="Arial" w:eastAsia="Arial" w:hAnsi="Arial"/>
                <w:sz w:val="18"/>
                <w:szCs w:val="18"/>
                <w:color w:val="0000FF"/>
              </w:rPr>
              <w:t>Certification of Principal Financial Officer of Broadcom Inc.</w:t>
            </w:r>
          </w:p>
        </w:tc>
        <w:tc>
          <w:tcPr>
            <w:tcW w:w="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60" w:type="dxa"/>
            <w:vAlign w:val="bottom"/>
          </w:tcPr>
          <w:p>
            <w:pPr>
              <w:ind w:left="1640"/>
              <w:spacing w:after="0"/>
              <w:rPr>
                <w:sz w:val="20"/>
                <w:szCs w:val="20"/>
                <w:color w:val="auto"/>
              </w:rPr>
            </w:pPr>
            <w:r>
              <w:rPr>
                <w:rFonts w:ascii="Arial" w:cs="Arial" w:eastAsia="Arial" w:hAnsi="Arial"/>
                <w:sz w:val="18"/>
                <w:szCs w:val="18"/>
                <w:color w:val="auto"/>
                <w:w w:val="82"/>
              </w:rPr>
              <w:t>X</w:t>
            </w:r>
          </w:p>
        </w:tc>
      </w:tr>
      <w:tr>
        <w:trPr>
          <w:trHeight w:val="149"/>
        </w:trPr>
        <w:tc>
          <w:tcPr>
            <w:tcW w:w="860" w:type="dxa"/>
            <w:vAlign w:val="bottom"/>
          </w:tcPr>
          <w:p>
            <w:pPr>
              <w:spacing w:after="0"/>
              <w:rPr>
                <w:sz w:val="12"/>
                <w:szCs w:val="12"/>
                <w:color w:val="auto"/>
              </w:rPr>
            </w:pPr>
          </w:p>
        </w:tc>
        <w:tc>
          <w:tcPr>
            <w:tcW w:w="468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Pursuant to Rule 13a-14 of the Securities Exchange Act of</w:t>
            </w: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62"/>
        </w:trPr>
        <w:tc>
          <w:tcPr>
            <w:tcW w:w="860" w:type="dxa"/>
            <w:vAlign w:val="bottom"/>
          </w:tcPr>
          <w:p>
            <w:pPr>
              <w:spacing w:after="0"/>
              <w:rPr>
                <w:sz w:val="14"/>
                <w:szCs w:val="14"/>
                <w:color w:val="auto"/>
              </w:rPr>
            </w:pPr>
          </w:p>
        </w:tc>
        <w:tc>
          <w:tcPr>
            <w:tcW w:w="4700" w:type="dxa"/>
            <w:vAlign w:val="bottom"/>
            <w:tcBorders>
              <w:top w:val="single" w:sz="8" w:color="0000FF"/>
            </w:tcBorders>
            <w:gridSpan w:val="8"/>
          </w:tcPr>
          <w:p>
            <w:pPr>
              <w:spacing w:after="0" w:line="162" w:lineRule="exact"/>
              <w:rPr>
                <w:sz w:val="20"/>
                <w:szCs w:val="20"/>
                <w:color w:val="auto"/>
              </w:rPr>
            </w:pPr>
            <w:r>
              <w:rPr>
                <w:rFonts w:ascii="Arial" w:cs="Arial" w:eastAsia="Arial" w:hAnsi="Arial"/>
                <w:sz w:val="18"/>
                <w:szCs w:val="18"/>
                <w:color w:val="0000FF"/>
                <w:w w:val="99"/>
              </w:rPr>
              <w:t>1934, as Adopted Pursuant to Section 302 of the Sarbanes</w:t>
            </w:r>
          </w:p>
        </w:tc>
        <w:tc>
          <w:tcPr>
            <w:tcW w:w="140" w:type="dxa"/>
            <w:vAlign w:val="bottom"/>
            <w:gridSpan w:val="5"/>
          </w:tcPr>
          <w:p>
            <w:pPr>
              <w:jc w:val="center"/>
              <w:ind w:right="80"/>
              <w:spacing w:after="0" w:line="162" w:lineRule="exact"/>
              <w:rPr>
                <w:sz w:val="20"/>
                <w:szCs w:val="20"/>
                <w:color w:val="auto"/>
              </w:rPr>
            </w:pPr>
            <w:r>
              <w:rPr>
                <w:rFonts w:ascii="Arial" w:cs="Arial" w:eastAsia="Arial" w:hAnsi="Arial"/>
                <w:sz w:val="18"/>
                <w:szCs w:val="18"/>
                <w:color w:val="0000FF"/>
                <w:w w:val="99"/>
              </w:rPr>
              <w:t>-</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9"/>
        </w:trPr>
        <w:tc>
          <w:tcPr>
            <w:tcW w:w="860" w:type="dxa"/>
            <w:vAlign w:val="bottom"/>
          </w:tcPr>
          <w:p>
            <w:pPr>
              <w:spacing w:after="0"/>
              <w:rPr>
                <w:sz w:val="14"/>
                <w:szCs w:val="14"/>
                <w:color w:val="auto"/>
              </w:rPr>
            </w:pPr>
          </w:p>
        </w:tc>
        <w:tc>
          <w:tcPr>
            <w:tcW w:w="148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9"/>
              </w:rPr>
              <w:t>Oxley Act of 2002.</w:t>
            </w:r>
          </w:p>
        </w:tc>
        <w:tc>
          <w:tcPr>
            <w:tcW w:w="3280" w:type="dxa"/>
            <w:vAlign w:val="bottom"/>
            <w:tcBorders>
              <w:top w:val="single" w:sz="8" w:color="0000FF"/>
            </w:tcBorders>
            <w:gridSpan w:val="9"/>
          </w:tcPr>
          <w:p>
            <w:pPr>
              <w:spacing w:after="0"/>
              <w:rPr>
                <w:sz w:val="14"/>
                <w:szCs w:val="14"/>
                <w:color w:val="auto"/>
              </w:rPr>
            </w:pPr>
          </w:p>
        </w:tc>
        <w:tc>
          <w:tcPr>
            <w:tcW w:w="8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03"/>
        </w:trPr>
        <w:tc>
          <w:tcPr>
            <w:tcW w:w="86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32.1</w:t>
            </w:r>
          </w:p>
        </w:tc>
        <w:tc>
          <w:tcPr>
            <w:tcW w:w="5100" w:type="dxa"/>
            <w:vAlign w:val="bottom"/>
            <w:gridSpan w:val="14"/>
          </w:tcPr>
          <w:p>
            <w:pPr>
              <w:spacing w:after="0" w:line="196" w:lineRule="exact"/>
              <w:rPr>
                <w:sz w:val="20"/>
                <w:szCs w:val="20"/>
                <w:color w:val="auto"/>
              </w:rPr>
            </w:pPr>
            <w:r>
              <w:rPr>
                <w:rFonts w:ascii="Arial" w:cs="Arial" w:eastAsia="Arial" w:hAnsi="Arial"/>
                <w:sz w:val="18"/>
                <w:szCs w:val="18"/>
                <w:color w:val="0000FF"/>
              </w:rPr>
              <w:t>Certification of Principal Executive Officer of Broadcom Inc.</w:t>
            </w: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60" w:type="dxa"/>
            <w:vAlign w:val="bottom"/>
          </w:tcPr>
          <w:p>
            <w:pPr>
              <w:ind w:left="1640"/>
              <w:spacing w:after="0" w:line="196" w:lineRule="exact"/>
              <w:rPr>
                <w:sz w:val="20"/>
                <w:szCs w:val="20"/>
                <w:color w:val="auto"/>
              </w:rPr>
            </w:pPr>
            <w:r>
              <w:rPr>
                <w:rFonts w:ascii="Arial" w:cs="Arial" w:eastAsia="Arial" w:hAnsi="Arial"/>
                <w:sz w:val="18"/>
                <w:szCs w:val="18"/>
                <w:color w:val="auto"/>
                <w:w w:val="82"/>
              </w:rPr>
              <w:t>X</w:t>
            </w:r>
          </w:p>
        </w:tc>
      </w:tr>
      <w:tr>
        <w:trPr>
          <w:trHeight w:val="162"/>
        </w:trPr>
        <w:tc>
          <w:tcPr>
            <w:tcW w:w="860" w:type="dxa"/>
            <w:vAlign w:val="bottom"/>
          </w:tcPr>
          <w:p>
            <w:pPr>
              <w:spacing w:after="0"/>
              <w:rPr>
                <w:sz w:val="14"/>
                <w:szCs w:val="14"/>
                <w:color w:val="auto"/>
              </w:rPr>
            </w:pPr>
          </w:p>
        </w:tc>
        <w:tc>
          <w:tcPr>
            <w:tcW w:w="4740" w:type="dxa"/>
            <w:vAlign w:val="bottom"/>
            <w:tcBorders>
              <w:top w:val="single" w:sz="8" w:color="0000FF"/>
            </w:tcBorders>
            <w:gridSpan w:val="10"/>
          </w:tcPr>
          <w:p>
            <w:pPr>
              <w:spacing w:after="0" w:line="162" w:lineRule="exact"/>
              <w:rPr>
                <w:sz w:val="20"/>
                <w:szCs w:val="20"/>
                <w:color w:val="auto"/>
              </w:rPr>
            </w:pPr>
            <w:r>
              <w:rPr>
                <w:rFonts w:ascii="Arial" w:cs="Arial" w:eastAsia="Arial" w:hAnsi="Arial"/>
                <w:sz w:val="18"/>
                <w:szCs w:val="18"/>
                <w:color w:val="0000FF"/>
              </w:rPr>
              <w:t>Pursuant to 18 U.S.C. Section 1350, as Adopted Pursuant</w:t>
            </w:r>
          </w:p>
        </w:tc>
        <w:tc>
          <w:tcPr>
            <w:tcW w:w="360" w:type="dxa"/>
            <w:vAlign w:val="bottom"/>
            <w:gridSpan w:val="4"/>
          </w:tcPr>
          <w:p>
            <w:pPr>
              <w:jc w:val="center"/>
              <w:ind w:right="260"/>
              <w:spacing w:after="0" w:line="162" w:lineRule="exact"/>
              <w:rPr>
                <w:sz w:val="20"/>
                <w:szCs w:val="20"/>
                <w:color w:val="auto"/>
              </w:rPr>
            </w:pPr>
            <w:r>
              <w:rPr>
                <w:rFonts w:ascii="Arial" w:cs="Arial" w:eastAsia="Arial" w:hAnsi="Arial"/>
                <w:sz w:val="17"/>
                <w:szCs w:val="17"/>
                <w:color w:val="0000FF"/>
                <w:w w:val="70"/>
              </w:rPr>
              <w:t>to</w:t>
            </w:r>
          </w:p>
        </w:tc>
        <w:tc>
          <w:tcPr>
            <w:tcW w:w="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56"/>
        </w:trPr>
        <w:tc>
          <w:tcPr>
            <w:tcW w:w="860" w:type="dxa"/>
            <w:vAlign w:val="bottom"/>
          </w:tcPr>
          <w:p>
            <w:pPr>
              <w:spacing w:after="0"/>
              <w:rPr>
                <w:sz w:val="13"/>
                <w:szCs w:val="13"/>
                <w:color w:val="auto"/>
              </w:rPr>
            </w:pPr>
          </w:p>
        </w:tc>
        <w:tc>
          <w:tcPr>
            <w:tcW w:w="4840" w:type="dxa"/>
            <w:vAlign w:val="bottom"/>
            <w:tcBorders>
              <w:top w:val="single" w:sz="8" w:color="0000FF"/>
            </w:tcBorders>
            <w:gridSpan w:val="13"/>
          </w:tcPr>
          <w:p>
            <w:pPr>
              <w:spacing w:after="0" w:line="156" w:lineRule="exact"/>
              <w:rPr>
                <w:sz w:val="20"/>
                <w:szCs w:val="20"/>
                <w:color w:val="auto"/>
              </w:rPr>
            </w:pPr>
            <w:r>
              <w:rPr>
                <w:rFonts w:ascii="Arial" w:cs="Arial" w:eastAsia="Arial" w:hAnsi="Arial"/>
                <w:sz w:val="18"/>
                <w:szCs w:val="18"/>
                <w:color w:val="0000FF"/>
              </w:rPr>
              <w:t>Section 906 of the Sarbanes-Oxley Act of 2002.</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6"/>
        </w:trPr>
        <w:tc>
          <w:tcPr>
            <w:tcW w:w="860" w:type="dxa"/>
            <w:vAlign w:val="bottom"/>
          </w:tcPr>
          <w:p>
            <w:pPr>
              <w:jc w:val="right"/>
              <w:ind w:right="110"/>
              <w:spacing w:after="0"/>
              <w:rPr>
                <w:sz w:val="20"/>
                <w:szCs w:val="20"/>
                <w:color w:val="auto"/>
              </w:rPr>
            </w:pPr>
            <w:r>
              <w:rPr>
                <w:rFonts w:ascii="Arial" w:cs="Arial" w:eastAsia="Arial" w:hAnsi="Arial"/>
                <w:sz w:val="18"/>
                <w:szCs w:val="18"/>
                <w:color w:val="auto"/>
              </w:rPr>
              <w:t>32.2</w:t>
            </w:r>
          </w:p>
        </w:tc>
        <w:tc>
          <w:tcPr>
            <w:tcW w:w="5100" w:type="dxa"/>
            <w:vAlign w:val="bottom"/>
            <w:gridSpan w:val="14"/>
          </w:tcPr>
          <w:p>
            <w:pPr>
              <w:spacing w:after="0"/>
              <w:rPr>
                <w:sz w:val="20"/>
                <w:szCs w:val="20"/>
                <w:color w:val="auto"/>
              </w:rPr>
            </w:pPr>
            <w:r>
              <w:rPr>
                <w:rFonts w:ascii="Arial" w:cs="Arial" w:eastAsia="Arial" w:hAnsi="Arial"/>
                <w:sz w:val="18"/>
                <w:szCs w:val="18"/>
                <w:color w:val="0000FF"/>
              </w:rPr>
              <w:t>Certification of Principal Financial Officer of Broadcom Inc.</w:t>
            </w:r>
          </w:p>
        </w:tc>
        <w:tc>
          <w:tcPr>
            <w:tcW w:w="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60" w:type="dxa"/>
            <w:vAlign w:val="bottom"/>
          </w:tcPr>
          <w:p>
            <w:pPr>
              <w:ind w:left="1640"/>
              <w:spacing w:after="0"/>
              <w:rPr>
                <w:sz w:val="20"/>
                <w:szCs w:val="20"/>
                <w:color w:val="auto"/>
              </w:rPr>
            </w:pPr>
            <w:r>
              <w:rPr>
                <w:rFonts w:ascii="Arial" w:cs="Arial" w:eastAsia="Arial" w:hAnsi="Arial"/>
                <w:sz w:val="18"/>
                <w:szCs w:val="18"/>
                <w:color w:val="auto"/>
                <w:w w:val="82"/>
              </w:rPr>
              <w:t>X</w:t>
            </w:r>
          </w:p>
        </w:tc>
      </w:tr>
      <w:tr>
        <w:trPr>
          <w:trHeight w:val="162"/>
        </w:trPr>
        <w:tc>
          <w:tcPr>
            <w:tcW w:w="860" w:type="dxa"/>
            <w:vAlign w:val="bottom"/>
          </w:tcPr>
          <w:p>
            <w:pPr>
              <w:spacing w:after="0"/>
              <w:rPr>
                <w:sz w:val="14"/>
                <w:szCs w:val="14"/>
                <w:color w:val="auto"/>
              </w:rPr>
            </w:pPr>
          </w:p>
        </w:tc>
        <w:tc>
          <w:tcPr>
            <w:tcW w:w="4660" w:type="dxa"/>
            <w:vAlign w:val="bottom"/>
            <w:tcBorders>
              <w:top w:val="single" w:sz="8" w:color="0000FF"/>
            </w:tcBorders>
            <w:gridSpan w:val="6"/>
          </w:tcPr>
          <w:p>
            <w:pPr>
              <w:spacing w:after="0" w:line="162" w:lineRule="exact"/>
              <w:rPr>
                <w:sz w:val="20"/>
                <w:szCs w:val="20"/>
                <w:color w:val="auto"/>
              </w:rPr>
            </w:pPr>
            <w:r>
              <w:rPr>
                <w:rFonts w:ascii="Arial" w:cs="Arial" w:eastAsia="Arial" w:hAnsi="Arial"/>
                <w:sz w:val="18"/>
                <w:szCs w:val="18"/>
                <w:color w:val="0000FF"/>
              </w:rPr>
              <w:t>Pursuant to 18 U.S.C. Section 1350, as Adopted Pursuant</w:t>
            </w:r>
          </w:p>
        </w:tc>
        <w:tc>
          <w:tcPr>
            <w:tcW w:w="440" w:type="dxa"/>
            <w:vAlign w:val="bottom"/>
            <w:gridSpan w:val="8"/>
          </w:tcPr>
          <w:p>
            <w:pPr>
              <w:jc w:val="center"/>
              <w:ind w:right="240"/>
              <w:spacing w:after="0" w:line="162" w:lineRule="exact"/>
              <w:rPr>
                <w:sz w:val="20"/>
                <w:szCs w:val="20"/>
                <w:color w:val="auto"/>
              </w:rPr>
            </w:pPr>
            <w:r>
              <w:rPr>
                <w:rFonts w:ascii="Arial" w:cs="Arial" w:eastAsia="Arial" w:hAnsi="Arial"/>
                <w:sz w:val="18"/>
                <w:szCs w:val="18"/>
                <w:color w:val="0000FF"/>
              </w:rPr>
              <w:t>to</w:t>
            </w:r>
          </w:p>
        </w:tc>
        <w:tc>
          <w:tcPr>
            <w:tcW w:w="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56"/>
        </w:trPr>
        <w:tc>
          <w:tcPr>
            <w:tcW w:w="860" w:type="dxa"/>
            <w:vAlign w:val="bottom"/>
          </w:tcPr>
          <w:p>
            <w:pPr>
              <w:spacing w:after="0"/>
              <w:rPr>
                <w:sz w:val="13"/>
                <w:szCs w:val="13"/>
                <w:color w:val="auto"/>
              </w:rPr>
            </w:pPr>
          </w:p>
        </w:tc>
        <w:tc>
          <w:tcPr>
            <w:tcW w:w="4840" w:type="dxa"/>
            <w:vAlign w:val="bottom"/>
            <w:tcBorders>
              <w:top w:val="single" w:sz="8" w:color="0000FF"/>
            </w:tcBorders>
            <w:gridSpan w:val="13"/>
          </w:tcPr>
          <w:p>
            <w:pPr>
              <w:spacing w:after="0" w:line="156" w:lineRule="exact"/>
              <w:rPr>
                <w:sz w:val="20"/>
                <w:szCs w:val="20"/>
                <w:color w:val="auto"/>
              </w:rPr>
            </w:pPr>
            <w:r>
              <w:rPr>
                <w:rFonts w:ascii="Arial" w:cs="Arial" w:eastAsia="Arial" w:hAnsi="Arial"/>
                <w:sz w:val="18"/>
                <w:szCs w:val="18"/>
                <w:color w:val="0000FF"/>
              </w:rPr>
              <w:t>Section 906 of the Sarbanes-Oxley Act of 2002.</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860" w:type="dxa"/>
            <w:vAlign w:val="bottom"/>
          </w:tcPr>
          <w:p>
            <w:pPr>
              <w:jc w:val="right"/>
              <w:ind w:right="50"/>
              <w:spacing w:after="0"/>
              <w:rPr>
                <w:sz w:val="20"/>
                <w:szCs w:val="20"/>
                <w:color w:val="auto"/>
              </w:rPr>
            </w:pPr>
            <w:r>
              <w:rPr>
                <w:rFonts w:ascii="Arial" w:cs="Arial" w:eastAsia="Arial" w:hAnsi="Arial"/>
                <w:sz w:val="18"/>
                <w:szCs w:val="18"/>
                <w:color w:val="auto"/>
              </w:rPr>
              <w:t>101.INS</w:t>
            </w:r>
          </w:p>
        </w:tc>
        <w:tc>
          <w:tcPr>
            <w:tcW w:w="5100" w:type="dxa"/>
            <w:vAlign w:val="bottom"/>
            <w:gridSpan w:val="14"/>
          </w:tcPr>
          <w:p>
            <w:pPr>
              <w:spacing w:after="0"/>
              <w:rPr>
                <w:sz w:val="20"/>
                <w:szCs w:val="20"/>
                <w:color w:val="auto"/>
              </w:rPr>
            </w:pPr>
            <w:r>
              <w:rPr>
                <w:rFonts w:ascii="Arial" w:cs="Arial" w:eastAsia="Arial" w:hAnsi="Arial"/>
                <w:sz w:val="18"/>
                <w:szCs w:val="18"/>
                <w:color w:val="auto"/>
              </w:rPr>
              <w:t>Inline XBRL Instance Document - the instance document does</w:t>
            </w:r>
          </w:p>
        </w:tc>
        <w:tc>
          <w:tcPr>
            <w:tcW w:w="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60" w:type="dxa"/>
            <w:vAlign w:val="bottom"/>
          </w:tcPr>
          <w:p>
            <w:pPr>
              <w:ind w:left="1640"/>
              <w:spacing w:after="0"/>
              <w:rPr>
                <w:sz w:val="20"/>
                <w:szCs w:val="20"/>
                <w:color w:val="auto"/>
              </w:rPr>
            </w:pPr>
            <w:r>
              <w:rPr>
                <w:rFonts w:ascii="Arial" w:cs="Arial" w:eastAsia="Arial" w:hAnsi="Arial"/>
                <w:sz w:val="18"/>
                <w:szCs w:val="18"/>
                <w:color w:val="auto"/>
                <w:w w:val="82"/>
              </w:rPr>
              <w:t>X</w:t>
            </w:r>
          </w:p>
        </w:tc>
      </w:tr>
      <w:tr>
        <w:trPr>
          <w:trHeight w:val="175"/>
        </w:trPr>
        <w:tc>
          <w:tcPr>
            <w:tcW w:w="860" w:type="dxa"/>
            <w:vAlign w:val="bottom"/>
          </w:tcPr>
          <w:p>
            <w:pPr>
              <w:spacing w:after="0"/>
              <w:rPr>
                <w:sz w:val="15"/>
                <w:szCs w:val="15"/>
                <w:color w:val="auto"/>
              </w:rPr>
            </w:pPr>
          </w:p>
        </w:tc>
        <w:tc>
          <w:tcPr>
            <w:tcW w:w="5100" w:type="dxa"/>
            <w:vAlign w:val="bottom"/>
            <w:gridSpan w:val="14"/>
          </w:tcPr>
          <w:p>
            <w:pPr>
              <w:spacing w:after="0" w:line="176" w:lineRule="exact"/>
              <w:rPr>
                <w:sz w:val="20"/>
                <w:szCs w:val="20"/>
                <w:color w:val="auto"/>
              </w:rPr>
            </w:pPr>
            <w:r>
              <w:rPr>
                <w:rFonts w:ascii="Arial" w:cs="Arial" w:eastAsia="Arial" w:hAnsi="Arial"/>
                <w:sz w:val="18"/>
                <w:szCs w:val="18"/>
                <w:color w:val="auto"/>
              </w:rPr>
              <w:t>not appear in the Interactive Data File because its XBRL tags</w:t>
            </w:r>
          </w:p>
        </w:tc>
        <w:tc>
          <w:tcPr>
            <w:tcW w:w="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38"/>
        </w:trPr>
        <w:tc>
          <w:tcPr>
            <w:tcW w:w="860" w:type="dxa"/>
            <w:vAlign w:val="bottom"/>
          </w:tcPr>
          <w:p>
            <w:pPr>
              <w:spacing w:after="0"/>
              <w:rPr>
                <w:sz w:val="20"/>
                <w:szCs w:val="20"/>
                <w:color w:val="auto"/>
              </w:rPr>
            </w:pPr>
          </w:p>
        </w:tc>
        <w:tc>
          <w:tcPr>
            <w:tcW w:w="5100" w:type="dxa"/>
            <w:vAlign w:val="bottom"/>
            <w:gridSpan w:val="14"/>
          </w:tcPr>
          <w:p>
            <w:pPr>
              <w:spacing w:after="0"/>
              <w:rPr>
                <w:sz w:val="20"/>
                <w:szCs w:val="20"/>
                <w:color w:val="auto"/>
              </w:rPr>
            </w:pPr>
            <w:r>
              <w:rPr>
                <w:rFonts w:ascii="Arial" w:cs="Arial" w:eastAsia="Arial" w:hAnsi="Arial"/>
                <w:sz w:val="18"/>
                <w:szCs w:val="18"/>
                <w:color w:val="auto"/>
              </w:rPr>
              <w:t>are embedded within the Inline XBRL document.</w:t>
            </w:r>
          </w:p>
        </w:tc>
        <w:tc>
          <w:tcPr>
            <w:tcW w:w="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29"/>
        </w:trPr>
        <w:tc>
          <w:tcPr>
            <w:tcW w:w="860" w:type="dxa"/>
            <w:vAlign w:val="bottom"/>
          </w:tcPr>
          <w:p>
            <w:pPr>
              <w:jc w:val="right"/>
              <w:ind w:right="50"/>
              <w:spacing w:after="0"/>
              <w:rPr>
                <w:sz w:val="20"/>
                <w:szCs w:val="20"/>
                <w:color w:val="auto"/>
              </w:rPr>
            </w:pPr>
            <w:r>
              <w:rPr>
                <w:rFonts w:ascii="Arial" w:cs="Arial" w:eastAsia="Arial" w:hAnsi="Arial"/>
                <w:sz w:val="18"/>
                <w:szCs w:val="18"/>
                <w:color w:val="auto"/>
                <w:w w:val="95"/>
              </w:rPr>
              <w:t>101.SCH</w:t>
            </w:r>
          </w:p>
        </w:tc>
        <w:tc>
          <w:tcPr>
            <w:tcW w:w="5100" w:type="dxa"/>
            <w:vAlign w:val="bottom"/>
            <w:gridSpan w:val="14"/>
          </w:tcPr>
          <w:p>
            <w:pPr>
              <w:spacing w:after="0"/>
              <w:rPr>
                <w:sz w:val="20"/>
                <w:szCs w:val="20"/>
                <w:color w:val="auto"/>
              </w:rPr>
            </w:pPr>
            <w:r>
              <w:rPr>
                <w:rFonts w:ascii="Arial" w:cs="Arial" w:eastAsia="Arial" w:hAnsi="Arial"/>
                <w:sz w:val="18"/>
                <w:szCs w:val="18"/>
                <w:color w:val="auto"/>
              </w:rPr>
              <w:t>Inline XBRL Schema Document</w:t>
            </w:r>
          </w:p>
        </w:tc>
        <w:tc>
          <w:tcPr>
            <w:tcW w:w="7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60" w:type="dxa"/>
            <w:vAlign w:val="bottom"/>
          </w:tcPr>
          <w:p>
            <w:pPr>
              <w:ind w:left="1640"/>
              <w:spacing w:after="0"/>
              <w:rPr>
                <w:sz w:val="20"/>
                <w:szCs w:val="20"/>
                <w:color w:val="auto"/>
              </w:rPr>
            </w:pPr>
            <w:r>
              <w:rPr>
                <w:rFonts w:ascii="Arial" w:cs="Arial" w:eastAsia="Arial" w:hAnsi="Arial"/>
                <w:sz w:val="18"/>
                <w:szCs w:val="18"/>
                <w:color w:val="auto"/>
                <w:w w:val="82"/>
              </w:rPr>
              <w:t>X</w:t>
            </w:r>
          </w:p>
        </w:tc>
      </w:tr>
      <w:tr>
        <w:trPr>
          <w:trHeight w:val="230"/>
        </w:trPr>
        <w:tc>
          <w:tcPr>
            <w:tcW w:w="860" w:type="dxa"/>
            <w:vAlign w:val="bottom"/>
          </w:tcPr>
          <w:p>
            <w:pPr>
              <w:jc w:val="right"/>
              <w:ind w:right="50"/>
              <w:spacing w:after="0"/>
              <w:rPr>
                <w:sz w:val="20"/>
                <w:szCs w:val="20"/>
                <w:color w:val="auto"/>
              </w:rPr>
            </w:pPr>
            <w:r>
              <w:rPr>
                <w:rFonts w:ascii="Arial" w:cs="Arial" w:eastAsia="Arial" w:hAnsi="Arial"/>
                <w:sz w:val="18"/>
                <w:szCs w:val="18"/>
                <w:color w:val="auto"/>
                <w:w w:val="99"/>
              </w:rPr>
              <w:t>101.CAL</w:t>
            </w:r>
          </w:p>
        </w:tc>
        <w:tc>
          <w:tcPr>
            <w:tcW w:w="5100" w:type="dxa"/>
            <w:vAlign w:val="bottom"/>
            <w:gridSpan w:val="14"/>
          </w:tcPr>
          <w:p>
            <w:pPr>
              <w:spacing w:after="0"/>
              <w:rPr>
                <w:sz w:val="20"/>
                <w:szCs w:val="20"/>
                <w:color w:val="auto"/>
              </w:rPr>
            </w:pPr>
            <w:r>
              <w:rPr>
                <w:rFonts w:ascii="Arial" w:cs="Arial" w:eastAsia="Arial" w:hAnsi="Arial"/>
                <w:sz w:val="18"/>
                <w:szCs w:val="18"/>
                <w:color w:val="auto"/>
              </w:rPr>
              <w:t>Inline XBRL Calculation Linkbase Document</w:t>
            </w:r>
          </w:p>
        </w:tc>
        <w:tc>
          <w:tcPr>
            <w:tcW w:w="7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60" w:type="dxa"/>
            <w:vAlign w:val="bottom"/>
          </w:tcPr>
          <w:p>
            <w:pPr>
              <w:ind w:left="1640"/>
              <w:spacing w:after="0"/>
              <w:rPr>
                <w:sz w:val="20"/>
                <w:szCs w:val="20"/>
                <w:color w:val="auto"/>
              </w:rPr>
            </w:pPr>
            <w:r>
              <w:rPr>
                <w:rFonts w:ascii="Arial" w:cs="Arial" w:eastAsia="Arial" w:hAnsi="Arial"/>
                <w:sz w:val="18"/>
                <w:szCs w:val="18"/>
                <w:color w:val="auto"/>
                <w:w w:val="82"/>
              </w:rPr>
              <w:t>X</w:t>
            </w:r>
          </w:p>
        </w:tc>
      </w:tr>
      <w:tr>
        <w:trPr>
          <w:trHeight w:val="230"/>
        </w:trPr>
        <w:tc>
          <w:tcPr>
            <w:tcW w:w="860" w:type="dxa"/>
            <w:vAlign w:val="bottom"/>
          </w:tcPr>
          <w:p>
            <w:pPr>
              <w:jc w:val="right"/>
              <w:ind w:right="50"/>
              <w:spacing w:after="0"/>
              <w:rPr>
                <w:sz w:val="20"/>
                <w:szCs w:val="20"/>
                <w:color w:val="auto"/>
              </w:rPr>
            </w:pPr>
            <w:r>
              <w:rPr>
                <w:rFonts w:ascii="Arial" w:cs="Arial" w:eastAsia="Arial" w:hAnsi="Arial"/>
                <w:sz w:val="18"/>
                <w:szCs w:val="18"/>
                <w:color w:val="auto"/>
                <w:w w:val="98"/>
              </w:rPr>
              <w:t>101.DEF</w:t>
            </w:r>
          </w:p>
        </w:tc>
        <w:tc>
          <w:tcPr>
            <w:tcW w:w="5100" w:type="dxa"/>
            <w:vAlign w:val="bottom"/>
            <w:gridSpan w:val="14"/>
          </w:tcPr>
          <w:p>
            <w:pPr>
              <w:spacing w:after="0"/>
              <w:rPr>
                <w:sz w:val="20"/>
                <w:szCs w:val="20"/>
                <w:color w:val="auto"/>
              </w:rPr>
            </w:pPr>
            <w:r>
              <w:rPr>
                <w:rFonts w:ascii="Arial" w:cs="Arial" w:eastAsia="Arial" w:hAnsi="Arial"/>
                <w:sz w:val="18"/>
                <w:szCs w:val="18"/>
                <w:color w:val="auto"/>
              </w:rPr>
              <w:t>Inline XBRL Definition Linkbase Document</w:t>
            </w:r>
          </w:p>
        </w:tc>
        <w:tc>
          <w:tcPr>
            <w:tcW w:w="7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60" w:type="dxa"/>
            <w:vAlign w:val="bottom"/>
          </w:tcPr>
          <w:p>
            <w:pPr>
              <w:ind w:left="1640"/>
              <w:spacing w:after="0"/>
              <w:rPr>
                <w:sz w:val="20"/>
                <w:szCs w:val="20"/>
                <w:color w:val="auto"/>
              </w:rPr>
            </w:pPr>
            <w:r>
              <w:rPr>
                <w:rFonts w:ascii="Arial" w:cs="Arial" w:eastAsia="Arial" w:hAnsi="Arial"/>
                <w:sz w:val="18"/>
                <w:szCs w:val="18"/>
                <w:color w:val="auto"/>
                <w:w w:val="82"/>
              </w:rPr>
              <w:t>X</w:t>
            </w:r>
          </w:p>
        </w:tc>
      </w:tr>
      <w:tr>
        <w:trPr>
          <w:trHeight w:val="230"/>
        </w:trPr>
        <w:tc>
          <w:tcPr>
            <w:tcW w:w="860" w:type="dxa"/>
            <w:vAlign w:val="bottom"/>
          </w:tcPr>
          <w:p>
            <w:pPr>
              <w:jc w:val="right"/>
              <w:ind w:right="50"/>
              <w:spacing w:after="0"/>
              <w:rPr>
                <w:sz w:val="20"/>
                <w:szCs w:val="20"/>
                <w:color w:val="auto"/>
              </w:rPr>
            </w:pPr>
            <w:r>
              <w:rPr>
                <w:rFonts w:ascii="Arial" w:cs="Arial" w:eastAsia="Arial" w:hAnsi="Arial"/>
                <w:sz w:val="18"/>
                <w:szCs w:val="18"/>
                <w:color w:val="auto"/>
              </w:rPr>
              <w:t>101.LAB</w:t>
            </w:r>
          </w:p>
        </w:tc>
        <w:tc>
          <w:tcPr>
            <w:tcW w:w="5100" w:type="dxa"/>
            <w:vAlign w:val="bottom"/>
            <w:gridSpan w:val="14"/>
          </w:tcPr>
          <w:p>
            <w:pPr>
              <w:spacing w:after="0"/>
              <w:rPr>
                <w:sz w:val="20"/>
                <w:szCs w:val="20"/>
                <w:color w:val="auto"/>
              </w:rPr>
            </w:pPr>
            <w:r>
              <w:rPr>
                <w:rFonts w:ascii="Arial" w:cs="Arial" w:eastAsia="Arial" w:hAnsi="Arial"/>
                <w:sz w:val="18"/>
                <w:szCs w:val="18"/>
                <w:color w:val="auto"/>
              </w:rPr>
              <w:t>Inline XBRL Labels Linkbase Document</w:t>
            </w:r>
          </w:p>
        </w:tc>
        <w:tc>
          <w:tcPr>
            <w:tcW w:w="7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60" w:type="dxa"/>
            <w:vAlign w:val="bottom"/>
          </w:tcPr>
          <w:p>
            <w:pPr>
              <w:ind w:left="1640"/>
              <w:spacing w:after="0"/>
              <w:rPr>
                <w:sz w:val="20"/>
                <w:szCs w:val="20"/>
                <w:color w:val="auto"/>
              </w:rPr>
            </w:pPr>
            <w:r>
              <w:rPr>
                <w:rFonts w:ascii="Arial" w:cs="Arial" w:eastAsia="Arial" w:hAnsi="Arial"/>
                <w:sz w:val="18"/>
                <w:szCs w:val="18"/>
                <w:color w:val="auto"/>
                <w:w w:val="82"/>
              </w:rPr>
              <w:t>X</w:t>
            </w:r>
          </w:p>
        </w:tc>
      </w:tr>
      <w:tr>
        <w:trPr>
          <w:trHeight w:val="230"/>
        </w:trPr>
        <w:tc>
          <w:tcPr>
            <w:tcW w:w="860" w:type="dxa"/>
            <w:vAlign w:val="bottom"/>
          </w:tcPr>
          <w:p>
            <w:pPr>
              <w:jc w:val="right"/>
              <w:ind w:right="50"/>
              <w:spacing w:after="0"/>
              <w:rPr>
                <w:sz w:val="20"/>
                <w:szCs w:val="20"/>
                <w:color w:val="auto"/>
              </w:rPr>
            </w:pPr>
            <w:r>
              <w:rPr>
                <w:rFonts w:ascii="Arial" w:cs="Arial" w:eastAsia="Arial" w:hAnsi="Arial"/>
                <w:sz w:val="18"/>
                <w:szCs w:val="18"/>
                <w:color w:val="auto"/>
                <w:w w:val="97"/>
              </w:rPr>
              <w:t>101.PRE</w:t>
            </w:r>
          </w:p>
        </w:tc>
        <w:tc>
          <w:tcPr>
            <w:tcW w:w="5100" w:type="dxa"/>
            <w:vAlign w:val="bottom"/>
            <w:gridSpan w:val="14"/>
          </w:tcPr>
          <w:p>
            <w:pPr>
              <w:spacing w:after="0"/>
              <w:rPr>
                <w:sz w:val="20"/>
                <w:szCs w:val="20"/>
                <w:color w:val="auto"/>
              </w:rPr>
            </w:pPr>
            <w:r>
              <w:rPr>
                <w:rFonts w:ascii="Arial" w:cs="Arial" w:eastAsia="Arial" w:hAnsi="Arial"/>
                <w:sz w:val="18"/>
                <w:szCs w:val="18"/>
                <w:color w:val="auto"/>
              </w:rPr>
              <w:t>Inline XBRL Presentation Linkbase Document</w:t>
            </w:r>
          </w:p>
        </w:tc>
        <w:tc>
          <w:tcPr>
            <w:tcW w:w="7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60" w:type="dxa"/>
            <w:vAlign w:val="bottom"/>
          </w:tcPr>
          <w:p>
            <w:pPr>
              <w:ind w:left="1640"/>
              <w:spacing w:after="0"/>
              <w:rPr>
                <w:sz w:val="20"/>
                <w:szCs w:val="20"/>
                <w:color w:val="auto"/>
              </w:rPr>
            </w:pPr>
            <w:r>
              <w:rPr>
                <w:rFonts w:ascii="Arial" w:cs="Arial" w:eastAsia="Arial" w:hAnsi="Arial"/>
                <w:sz w:val="18"/>
                <w:szCs w:val="18"/>
                <w:color w:val="auto"/>
                <w:w w:val="82"/>
              </w:rPr>
              <w:t>X</w:t>
            </w:r>
          </w:p>
        </w:tc>
      </w:tr>
      <w:tr>
        <w:trPr>
          <w:trHeight w:val="181"/>
        </w:trPr>
        <w:tc>
          <w:tcPr>
            <w:tcW w:w="860" w:type="dxa"/>
            <w:vAlign w:val="bottom"/>
          </w:tcPr>
          <w:p>
            <w:pPr>
              <w:jc w:val="right"/>
              <w:ind w:right="50"/>
              <w:spacing w:after="0" w:line="181" w:lineRule="exact"/>
              <w:rPr>
                <w:sz w:val="20"/>
                <w:szCs w:val="20"/>
                <w:color w:val="auto"/>
              </w:rPr>
            </w:pPr>
            <w:r>
              <w:rPr>
                <w:rFonts w:ascii="Arial" w:cs="Arial" w:eastAsia="Arial" w:hAnsi="Arial"/>
                <w:sz w:val="18"/>
                <w:szCs w:val="18"/>
                <w:color w:val="auto"/>
              </w:rPr>
              <w:t>104</w:t>
            </w:r>
          </w:p>
        </w:tc>
        <w:tc>
          <w:tcPr>
            <w:tcW w:w="5100" w:type="dxa"/>
            <w:vAlign w:val="bottom"/>
            <w:gridSpan w:val="14"/>
          </w:tcPr>
          <w:p>
            <w:pPr>
              <w:spacing w:after="0" w:line="181" w:lineRule="exact"/>
              <w:rPr>
                <w:sz w:val="20"/>
                <w:szCs w:val="20"/>
                <w:color w:val="auto"/>
              </w:rPr>
            </w:pPr>
            <w:r>
              <w:rPr>
                <w:rFonts w:ascii="Arial" w:cs="Arial" w:eastAsia="Arial" w:hAnsi="Arial"/>
                <w:sz w:val="18"/>
                <w:szCs w:val="18"/>
                <w:color w:val="auto"/>
              </w:rPr>
              <w:t>Cover Page Interactive Data File - the cover page interactive</w:t>
            </w:r>
          </w:p>
        </w:tc>
        <w:tc>
          <w:tcPr>
            <w:tcW w:w="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60" w:type="dxa"/>
            <w:vAlign w:val="bottom"/>
          </w:tcPr>
          <w:p>
            <w:pPr>
              <w:ind w:left="1640"/>
              <w:spacing w:after="0" w:line="181" w:lineRule="exact"/>
              <w:rPr>
                <w:sz w:val="20"/>
                <w:szCs w:val="20"/>
                <w:color w:val="auto"/>
              </w:rPr>
            </w:pPr>
            <w:r>
              <w:rPr>
                <w:rFonts w:ascii="Arial" w:cs="Arial" w:eastAsia="Arial" w:hAnsi="Arial"/>
                <w:sz w:val="18"/>
                <w:szCs w:val="18"/>
                <w:color w:val="auto"/>
                <w:w w:val="82"/>
              </w:rPr>
              <w:t>X</w:t>
            </w:r>
          </w:p>
        </w:tc>
      </w:tr>
      <w:tr>
        <w:trPr>
          <w:trHeight w:val="175"/>
        </w:trPr>
        <w:tc>
          <w:tcPr>
            <w:tcW w:w="860" w:type="dxa"/>
            <w:vAlign w:val="bottom"/>
          </w:tcPr>
          <w:p>
            <w:pPr>
              <w:spacing w:after="0"/>
              <w:rPr>
                <w:sz w:val="15"/>
                <w:szCs w:val="15"/>
                <w:color w:val="auto"/>
              </w:rPr>
            </w:pPr>
          </w:p>
        </w:tc>
        <w:tc>
          <w:tcPr>
            <w:tcW w:w="5100" w:type="dxa"/>
            <w:vAlign w:val="bottom"/>
            <w:gridSpan w:val="14"/>
          </w:tcPr>
          <w:p>
            <w:pPr>
              <w:spacing w:after="0" w:line="176" w:lineRule="exact"/>
              <w:rPr>
                <w:sz w:val="20"/>
                <w:szCs w:val="20"/>
                <w:color w:val="auto"/>
              </w:rPr>
            </w:pPr>
            <w:r>
              <w:rPr>
                <w:rFonts w:ascii="Arial" w:cs="Arial" w:eastAsia="Arial" w:hAnsi="Arial"/>
                <w:sz w:val="18"/>
                <w:szCs w:val="18"/>
                <w:color w:val="auto"/>
              </w:rPr>
              <w:t>data file does not appear in the Interactive Data File because</w:t>
            </w:r>
          </w:p>
        </w:tc>
        <w:tc>
          <w:tcPr>
            <w:tcW w:w="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39"/>
        </w:trPr>
        <w:tc>
          <w:tcPr>
            <w:tcW w:w="860" w:type="dxa"/>
            <w:vAlign w:val="bottom"/>
          </w:tcPr>
          <w:p>
            <w:pPr>
              <w:spacing w:after="0"/>
              <w:rPr>
                <w:sz w:val="20"/>
                <w:szCs w:val="20"/>
                <w:color w:val="auto"/>
              </w:rPr>
            </w:pPr>
          </w:p>
        </w:tc>
        <w:tc>
          <w:tcPr>
            <w:tcW w:w="5100" w:type="dxa"/>
            <w:vAlign w:val="bottom"/>
            <w:gridSpan w:val="14"/>
          </w:tcPr>
          <w:p>
            <w:pPr>
              <w:spacing w:after="0"/>
              <w:rPr>
                <w:sz w:val="20"/>
                <w:szCs w:val="20"/>
                <w:color w:val="auto"/>
              </w:rPr>
            </w:pPr>
            <w:r>
              <w:rPr>
                <w:rFonts w:ascii="Arial" w:cs="Arial" w:eastAsia="Arial" w:hAnsi="Arial"/>
                <w:sz w:val="18"/>
                <w:szCs w:val="18"/>
                <w:color w:val="auto"/>
              </w:rPr>
              <w:t>its XBRL tags are embedded within the Inline XBRL document.</w:t>
            </w:r>
          </w:p>
        </w:tc>
        <w:tc>
          <w:tcPr>
            <w:tcW w:w="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5657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8">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Notes:</w:t>
      </w:r>
    </w:p>
    <w:p>
      <w:pPr>
        <w:spacing w:after="0" w:line="32" w:lineRule="exact"/>
        <w:rPr>
          <w:sz w:val="20"/>
          <w:szCs w:val="20"/>
          <w:color w:val="auto"/>
        </w:rPr>
      </w:pPr>
    </w:p>
    <w:p>
      <w:pPr>
        <w:ind w:left="1000" w:hanging="9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5400"/>
        <w:spacing w:after="0"/>
        <w:rPr>
          <w:rFonts w:ascii="Arial" w:cs="Arial" w:eastAsia="Arial" w:hAnsi="Arial"/>
          <w:sz w:val="18"/>
          <w:szCs w:val="18"/>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440" w:top="80" w:right="77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BROADCOM INC.</w:t>
      </w:r>
    </w:p>
    <w:p>
      <w:pPr>
        <w:spacing w:after="0" w:line="40" w:lineRule="exact"/>
        <w:rPr>
          <w:sz w:val="20"/>
          <w:szCs w:val="20"/>
          <w:color w:val="auto"/>
        </w:rPr>
      </w:pPr>
    </w:p>
    <w:p>
      <w:pPr>
        <w:ind w:left="5120"/>
        <w:spacing w:after="0"/>
        <w:tabs>
          <w:tab w:leader="none" w:pos="5640" w:val="left"/>
        </w:tabs>
        <w:rPr>
          <w:sz w:val="20"/>
          <w:szCs w:val="20"/>
          <w:color w:val="auto"/>
        </w:rPr>
      </w:pPr>
      <w:r>
        <w:rPr>
          <w:rFonts w:ascii="Arial" w:cs="Arial" w:eastAsia="Arial" w:hAnsi="Arial"/>
          <w:sz w:val="18"/>
          <w:szCs w:val="18"/>
          <w:color w:val="auto"/>
        </w:rPr>
        <w:t>By:</w:t>
        <w:tab/>
        <w:t>/s/ Kirsten M. Spears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6985</wp:posOffset>
            </wp:positionV>
            <wp:extent cx="35318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Kirsten M. Spears</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740"/>
          </w:cols>
          <w:pgMar w:left="320" w:top="122" w:right="8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BROADCOM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SEVERANCE BENEFIT AGREEMENT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This Severance Benefit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and entered into by and between Ram Velaga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and Broadcom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is effective as of January 1, 2026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 E C I T A L S</w:t>
      </w:r>
    </w:p>
    <w:p>
      <w:pPr>
        <w:spacing w:after="0" w:line="216" w:lineRule="exact"/>
        <w:rPr>
          <w:sz w:val="20"/>
          <w:szCs w:val="20"/>
          <w:color w:val="auto"/>
        </w:rPr>
      </w:pPr>
    </w:p>
    <w:p>
      <w:pPr>
        <w:jc w:val="both"/>
        <w:ind w:firstLine="656"/>
        <w:spacing w:after="0" w:line="254" w:lineRule="auto"/>
        <w:tabs>
          <w:tab w:leader="none" w:pos="114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Compensation Committee (the “</w:t>
      </w:r>
      <w:r>
        <w:rPr>
          <w:rFonts w:ascii="Times New Roman" w:cs="Times New Roman" w:eastAsia="Times New Roman" w:hAnsi="Times New Roman"/>
          <w:sz w:val="22"/>
          <w:szCs w:val="22"/>
          <w:b w:val="1"/>
          <w:bCs w:val="1"/>
          <w:color w:val="auto"/>
        </w:rPr>
        <w:t>Compensation Committee</w:t>
      </w:r>
      <w:r>
        <w:rPr>
          <w:rFonts w:ascii="Times New Roman" w:cs="Times New Roman" w:eastAsia="Times New Roman" w:hAnsi="Times New Roman"/>
          <w:sz w:val="22"/>
          <w:szCs w:val="22"/>
          <w:color w:val="auto"/>
        </w:rPr>
        <w:t>”) of 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recognizes that the possibility of an acquisition of the Company or an involuntary termination can be a distraction to Executive and can cause Executive to consider alternative employment opportunities. The Compensation Committee has determined that it is in the best interests of the Company and its stockholders to assure that the Company will have the continued dedication and objectivity of Executive, notwithstanding the possibility, threat or occurrence of such an event.</w:t>
      </w:r>
    </w:p>
    <w:p>
      <w:pPr>
        <w:spacing w:after="0" w:line="177" w:lineRule="exact"/>
        <w:rPr>
          <w:rFonts w:ascii="Times New Roman" w:cs="Times New Roman" w:eastAsia="Times New Roman" w:hAnsi="Times New Roman"/>
          <w:sz w:val="22"/>
          <w:szCs w:val="22"/>
          <w:color w:val="auto"/>
        </w:rPr>
      </w:pPr>
    </w:p>
    <w:p>
      <w:pPr>
        <w:jc w:val="both"/>
        <w:ind w:firstLine="656"/>
        <w:spacing w:after="0" w:line="257" w:lineRule="auto"/>
        <w:tabs>
          <w:tab w:leader="none" w:pos="108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Compensation Committee believes that it is in the best interests of the Company and its stockholders to provide Executive with an incentive to continue Executive’s employment and to motivate Executive to maximize the value of the Company upon a Change in Control (as defined below) for the benefit of its stockholders.</w:t>
      </w:r>
    </w:p>
    <w:p>
      <w:pPr>
        <w:spacing w:after="0" w:line="186" w:lineRule="exact"/>
        <w:rPr>
          <w:rFonts w:ascii="Times New Roman" w:cs="Times New Roman" w:eastAsia="Times New Roman" w:hAnsi="Times New Roman"/>
          <w:sz w:val="22"/>
          <w:szCs w:val="22"/>
          <w:color w:val="auto"/>
        </w:rPr>
      </w:pPr>
    </w:p>
    <w:p>
      <w:pPr>
        <w:jc w:val="both"/>
        <w:ind w:firstLine="656"/>
        <w:spacing w:after="0" w:line="252" w:lineRule="auto"/>
        <w:tabs>
          <w:tab w:leader="none" w:pos="119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Compensation Committee believes that it is imperative to provide Executive with severance benefits upon certain terminations of Executive’s service to the Company and its subsidiaries (collectively, “</w:t>
      </w:r>
      <w:r>
        <w:rPr>
          <w:rFonts w:ascii="Times New Roman" w:cs="Times New Roman" w:eastAsia="Times New Roman" w:hAnsi="Times New Roman"/>
          <w:sz w:val="22"/>
          <w:szCs w:val="22"/>
          <w:b w:val="1"/>
          <w:bCs w:val="1"/>
          <w:color w:val="auto"/>
        </w:rPr>
        <w:t>Broadcom</w:t>
      </w:r>
      <w:r>
        <w:rPr>
          <w:rFonts w:ascii="Times New Roman" w:cs="Times New Roman" w:eastAsia="Times New Roman" w:hAnsi="Times New Roman"/>
          <w:sz w:val="22"/>
          <w:szCs w:val="22"/>
          <w:color w:val="auto"/>
        </w:rPr>
        <w:t>”) that enhance Executive’s financial security and provide incentive and encouragement to Executive to remain with Broadcom notwithstanding the possibility of such an event.</w:t>
      </w:r>
    </w:p>
    <w:p>
      <w:pPr>
        <w:spacing w:after="0" w:line="179"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defined herein, capitalized terms used in this Agreement are defined in Section 8 below.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parties hereto agree as follows:</w:t>
      </w:r>
    </w:p>
    <w:p>
      <w:pPr>
        <w:spacing w:after="0" w:line="220" w:lineRule="exact"/>
        <w:rPr>
          <w:sz w:val="20"/>
          <w:szCs w:val="20"/>
          <w:color w:val="auto"/>
        </w:rPr>
      </w:pPr>
    </w:p>
    <w:p>
      <w:pPr>
        <w:ind w:firstLine="656"/>
        <w:spacing w:after="0" w:line="271"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This Agreement shall become effective as of the Effective Date and terminate upon the date that all obligations of the parties hereto with respect to this Agreement have been satisfied.</w:t>
      </w:r>
    </w:p>
    <w:p>
      <w:pPr>
        <w:spacing w:after="0" w:line="157"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The Company and Executive acknowledge that Executive’s employment with Broadcom is and shall continue to be “at-will,” as defined under applicable law, such that Executive’s employment with the Company may be terminated at any time for any or no reason. If Executive’s employment with Broadcom terminates for any or no reason, Executive shall not be entitled to any payments, benefits, damages, awards or compensation other than as provided by this Agreement and any other Company plan or agreement covering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22" w:right="339" w:bottom="1440" w:gutter="0" w:footer="0" w:header="0"/>
        </w:sectPr>
      </w:pPr>
    </w:p>
    <w:bookmarkStart w:id="54" w:name="page55"/>
    <w:bookmarkEnd w:id="54"/>
    <w:p>
      <w:pPr>
        <w:spacing w:after="0" w:line="198" w:lineRule="exact"/>
        <w:rPr>
          <w:sz w:val="20"/>
          <w:szCs w:val="20"/>
          <w:color w:val="auto"/>
        </w:rPr>
      </w:pPr>
    </w:p>
    <w:p>
      <w:pPr>
        <w:jc w:val="both"/>
        <w:ind w:firstLine="656"/>
        <w:spacing w:after="0" w:line="256" w:lineRule="auto"/>
        <w:tabs>
          <w:tab w:leader="none" w:pos="1296"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Except as otherwise provided in an applicable award agreement, in the event a Change in Control occurs and Executive holds performance-based equity awards that vest based upon the achievement of performance goals and for which any performance period has not been completed, then the performance goals applicable to each such performance period shall be deemed met at target levels.</w:t>
      </w:r>
    </w:p>
    <w:p>
      <w:pPr>
        <w:spacing w:after="0" w:line="176"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Covered Termination Other Than During a Change in Control Period</w:t>
      </w:r>
      <w:r>
        <w:rPr>
          <w:rFonts w:ascii="Times New Roman" w:cs="Times New Roman" w:eastAsia="Times New Roman" w:hAnsi="Times New Roman"/>
          <w:sz w:val="21"/>
          <w:szCs w:val="21"/>
          <w:color w:val="auto"/>
        </w:rPr>
        <w:t>. If Executive experiences a Covered Termination at any time other than during a Change in Control Period, and if Executive delivers to the Company a general release of all claims against the Company and its affiliates in a form acceptable to the Company and provided by the Company to Executive promptly following such Covered Termination (a “</w:t>
      </w:r>
      <w:r>
        <w:rPr>
          <w:rFonts w:ascii="Times New Roman" w:cs="Times New Roman" w:eastAsia="Times New Roman" w:hAnsi="Times New Roman"/>
          <w:sz w:val="21"/>
          <w:szCs w:val="21"/>
          <w:b w:val="1"/>
          <w:bCs w:val="1"/>
          <w:color w:val="auto"/>
        </w:rPr>
        <w:t>Release of Claims</w:t>
      </w:r>
      <w:r>
        <w:rPr>
          <w:rFonts w:ascii="Times New Roman" w:cs="Times New Roman" w:eastAsia="Times New Roman" w:hAnsi="Times New Roman"/>
          <w:sz w:val="21"/>
          <w:szCs w:val="21"/>
          <w:color w:val="auto"/>
        </w:rPr>
        <w:t>”) that becomes effective and irrevocable within sixty (60) days, or such shorter period of time specified by Broadcom (but not less than any legally required minimum for irrevocability), following such Covered Termination, then in addition to any accrued but unpaid salary, bonus, benefits, vacation and expense reimbursement payable in accordance with applicable law, Broadcom shall provide Executive with the following:</w:t>
      </w:r>
    </w:p>
    <w:p>
      <w:pPr>
        <w:spacing w:after="0" w:line="172" w:lineRule="exact"/>
        <w:rPr>
          <w:rFonts w:ascii="Times New Roman" w:cs="Times New Roman" w:eastAsia="Times New Roman" w:hAnsi="Times New Roman"/>
          <w:sz w:val="21"/>
          <w:szCs w:val="21"/>
          <w:color w:val="auto"/>
        </w:rPr>
      </w:pPr>
    </w:p>
    <w:p>
      <w:pPr>
        <w:jc w:val="both"/>
        <w:ind w:firstLine="1304"/>
        <w:spacing w:after="0" w:line="249" w:lineRule="auto"/>
        <w:tabs>
          <w:tab w:leader="none" w:pos="1941"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Executive shall be entitled to receive Executive’s base salary at the rate in effect immediately prior to the Termination Date during the period of time commencing on the Termination Date and ending on the nine (9) month anniversary of the Termination Date. Executive shall also be entitled to receive an additional amount equal to the lesser of fifty percent (50%) of (i) Executive’s actual cash bonus for the prior year and (ii) Executive’s target cash bonus for the prior year. Such payments shall be made in substantially equal installments in accordance with Broadcom’s standard payroll policies, less applicable withholdings, with such installments to commence on the first payroll date following the date the Release of Claims becomes effective and irrevocable and with the first installment to include any amount that would have been paid had the Release of Claims been effective and irrevocable on the Termination Date.</w:t>
      </w:r>
    </w:p>
    <w:p>
      <w:pPr>
        <w:spacing w:after="0" w:line="195" w:lineRule="exact"/>
        <w:rPr>
          <w:rFonts w:ascii="Times New Roman" w:cs="Times New Roman" w:eastAsia="Times New Roman" w:hAnsi="Times New Roman"/>
          <w:sz w:val="22"/>
          <w:szCs w:val="22"/>
          <w:color w:val="auto"/>
        </w:rPr>
      </w:pPr>
    </w:p>
    <w:p>
      <w:pPr>
        <w:jc w:val="both"/>
        <w:ind w:firstLine="1304"/>
        <w:spacing w:after="0" w:line="262" w:lineRule="auto"/>
        <w:tabs>
          <w:tab w:leader="none" w:pos="1939" w:val="left"/>
        </w:tabs>
        <w:numPr>
          <w:ilvl w:val="2"/>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Continued Healthcare</w:t>
      </w:r>
      <w:r>
        <w:rPr>
          <w:rFonts w:ascii="Times New Roman" w:cs="Times New Roman" w:eastAsia="Times New Roman" w:hAnsi="Times New Roman"/>
          <w:sz w:val="21"/>
          <w:szCs w:val="21"/>
          <w:color w:val="auto"/>
        </w:rPr>
        <w:t>. If Executive elects to receive continued healthcare coverage pursuant to the provisions of the Consolidated Omnibus Budget Reconciliation Act of 1985, as amended (“</w:t>
      </w:r>
      <w:r>
        <w:rPr>
          <w:rFonts w:ascii="Times New Roman" w:cs="Times New Roman" w:eastAsia="Times New Roman" w:hAnsi="Times New Roman"/>
          <w:sz w:val="21"/>
          <w:szCs w:val="21"/>
          <w:b w:val="1"/>
          <w:bCs w:val="1"/>
          <w:color w:val="auto"/>
        </w:rPr>
        <w:t>COBRA</w:t>
      </w:r>
      <w:r>
        <w:rPr>
          <w:rFonts w:ascii="Times New Roman" w:cs="Times New Roman" w:eastAsia="Times New Roman" w:hAnsi="Times New Roman"/>
          <w:sz w:val="21"/>
          <w:szCs w:val="21"/>
          <w:color w:val="auto"/>
        </w:rPr>
        <w:t>”), Broadcom shall directly pay, or reimburse Executive for, the premium for Executive and Executive’s covered dependents through the earlier of (i) the six</w:t>
      </w:r>
    </w:p>
    <w:p>
      <w:pPr>
        <w:spacing w:after="0" w:line="2" w:lineRule="exact"/>
        <w:rPr>
          <w:rFonts w:ascii="Times New Roman" w:cs="Times New Roman" w:eastAsia="Times New Roman" w:hAnsi="Times New Roman"/>
          <w:sz w:val="21"/>
          <w:szCs w:val="21"/>
          <w:color w:val="auto"/>
        </w:rPr>
      </w:pPr>
    </w:p>
    <w:p>
      <w:pPr>
        <w:jc w:val="both"/>
        <w:ind w:firstLine="8"/>
        <w:spacing w:after="0" w:line="249" w:lineRule="auto"/>
        <w:tabs>
          <w:tab w:leader="none" w:pos="32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 anniversary of the Termination Date and (ii) the date Executive and Executive’s covered dependents, if any, become eligible for healthcare coverage under another employer’s plan(s). After Broadcom ceases to pay premiums pursuant to the preceding sentence, Executive may, if eligible, elect to continue healthcare coverage at Executive’s expense in accordance with the provisions of COBRA.</w:t>
      </w:r>
    </w:p>
    <w:p>
      <w:pPr>
        <w:spacing w:after="0" w:line="181"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Termination During a Change in Control Period</w:t>
      </w:r>
      <w:r>
        <w:rPr>
          <w:rFonts w:ascii="Times New Roman" w:cs="Times New Roman" w:eastAsia="Times New Roman" w:hAnsi="Times New Roman"/>
          <w:sz w:val="22"/>
          <w:szCs w:val="22"/>
          <w:color w:val="auto"/>
        </w:rPr>
        <w:t>. If Executive experiences a Covered Termination during a Change in Control Period, and if Executive or his estate delivers to Broadcom a Release of Claims that becomes effective and irrevocable within sixty (60) days, or such shorter period of time specified by Broadcom, following such Covered Termination, then in addition to any accrued but unpaid salary, bonus, benefits, vacation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expense reimbursement payable in accordance with applicable law, Broadcom shall provide Executive with the following:</w:t>
      </w:r>
    </w:p>
    <w:p>
      <w:pPr>
        <w:spacing w:after="0" w:line="220" w:lineRule="exact"/>
        <w:rPr>
          <w:sz w:val="20"/>
          <w:szCs w:val="20"/>
          <w:color w:val="auto"/>
        </w:rPr>
      </w:pPr>
    </w:p>
    <w:p>
      <w:pPr>
        <w:jc w:val="both"/>
        <w:ind w:firstLine="1304"/>
        <w:spacing w:after="0" w:line="250" w:lineRule="auto"/>
        <w:tabs>
          <w:tab w:leader="none" w:pos="1941"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Executive shall be entitled to receive Executive’s base salary at the rate in effect immediately prior to the Termination Date during the period of time commencing on the Termination Date and ending on the twelve (12) month anniversary of the Termination Date. Executive shall also be entitled to receive an additional amount equal to the lesser of one hundred percent (100%) of (i) Executive’s actual cash bonus for the prior year and (ii) Executive’s target cash bonus for the prior year. Such payments shall be made in substantially equal installments in accordance with Broadcom’s standard payroll policies, less applicable withholdings, with such installments to commence on the first payroll date following the date the Release of Claims becomes effective and irrevocable and with the first installment to include any amount that would have been paid had the Release of Claims been effective and irrevocable on the Termination Date.</w:t>
      </w:r>
    </w:p>
    <w:p>
      <w:pPr>
        <w:spacing w:after="0" w:line="18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Each outstanding and unvested equity and equity-linked award that, pursuant to its terms and after giving effect to any deemed satisfaction of performance goals pursuant to Section 3, vests based upon continued service, including, without limitation, each time-based stock option and restricted stock unit award, held by Executive shall automatically become vested and, if applicable, any forfeiture restrictions or rights of repurchase thereon shall immediately lapse, in each case, with respect to one-hundred percent (100%) of that number of unvested shares underlying such equity award as of the Termination Date (for purposes of clarity and the avoidance of doubt, the service based vesting component of any then unvested performance equity shall be deemed satisfied by this clause (b)).</w:t>
      </w:r>
    </w:p>
    <w:p>
      <w:pPr>
        <w:spacing w:after="0" w:line="180"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1"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Healthcare</w:t>
      </w:r>
      <w:r>
        <w:rPr>
          <w:rFonts w:ascii="Times New Roman" w:cs="Times New Roman" w:eastAsia="Times New Roman" w:hAnsi="Times New Roman"/>
          <w:sz w:val="22"/>
          <w:szCs w:val="22"/>
          <w:color w:val="auto"/>
        </w:rPr>
        <w:t>. If Executive elects to receive continued healthcare coverage pursuant to the provisions of COBRA, Broadcom shall directly pay, or reimburse Executive for, the premium for Executive and Executive’s covered dependents through the earlier of (i) the twelve (12) month anniversary of the Termination Date and (ii) the date Executive and Executive’s covered dependents, if any, become eligible for healthcare coverage under another employer’s plan(s). After Broadcom ceases to pay premiums pursuant to the preceding sentence, Executive may, if eligible, elect to continue healthcare coverage at Executive’s expense in accordance with the provisions of COBRA.</w:t>
      </w:r>
    </w:p>
    <w:p>
      <w:pPr>
        <w:spacing w:after="0" w:line="181"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Terminations</w:t>
      </w:r>
      <w:r>
        <w:rPr>
          <w:rFonts w:ascii="Times New Roman" w:cs="Times New Roman" w:eastAsia="Times New Roman" w:hAnsi="Times New Roman"/>
          <w:sz w:val="22"/>
          <w:szCs w:val="22"/>
          <w:color w:val="auto"/>
        </w:rPr>
        <w:t>. If Executive’s service with Broadcom is terminated by Broadcom or by Executive for any or no reason other than as a Covered Termination, then Executive shall not be entitled to any benefits hereunder other than accrued but unpaid salary, bonus, vacation and expense reimbursement in accordance with applicable law and to elect any continued healthcare coverage as may be required under COBRA or similar state law.</w:t>
      </w:r>
    </w:p>
    <w:p>
      <w:pPr>
        <w:spacing w:after="0" w:line="176"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Payments</w:t>
      </w:r>
      <w:r>
        <w:rPr>
          <w:rFonts w:ascii="Times New Roman" w:cs="Times New Roman" w:eastAsia="Times New Roman" w:hAnsi="Times New Roman"/>
          <w:sz w:val="22"/>
          <w:szCs w:val="22"/>
          <w:color w:val="auto"/>
        </w:rPr>
        <w:t>. Notwithstanding anything in this Agreement to the contrary, if any payment or distribution Executive would receive pursuant to this Agreement or otherwise (“</w:t>
      </w: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would (a) constitute a “parachute payment” within the meaning of Section 280G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and (b) but for this sentence, be subject to the excise tax imposed by Section 4999 of the Code (the “</w:t>
      </w:r>
      <w:r>
        <w:rPr>
          <w:rFonts w:ascii="Times New Roman" w:cs="Times New Roman" w:eastAsia="Times New Roman" w:hAnsi="Times New Roman"/>
          <w:sz w:val="22"/>
          <w:szCs w:val="22"/>
          <w:b w:val="1"/>
          <w:bCs w:val="1"/>
          <w:color w:val="auto"/>
        </w:rPr>
        <w:t>Excise Tax</w:t>
      </w:r>
      <w:r>
        <w:rPr>
          <w:rFonts w:ascii="Times New Roman" w:cs="Times New Roman" w:eastAsia="Times New Roman" w:hAnsi="Times New Roman"/>
          <w:sz w:val="22"/>
          <w:szCs w:val="22"/>
          <w:color w:val="auto"/>
        </w:rPr>
        <w:t>”), then such Payment shall either be (i) delivered in full, or (ii) delivered as to such lesser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extent which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the Payment may be taxable under Section 4999 of the Code. The accounting firm engaged by Broadcom for general audit purposes as of the day prior to the effective date of the Change in Control shall perform the foregoing calculations, and, in connection therewith, shall perform customary parachute mitigation analysis and calculations. Broadcom shall bear all expenses with respect to the determinations by such accounting firm required to be made hereunder. The accounting firm shall provide its calculations to Broadcom and Executive within fifteen (15) calendar days after the date on which Executive’s right to a Payment is triggered (if requested at that time by Broadcom or Executive) or such other time as requested by Broadcom or Executive. Any good faith determinations of the accounting firm made hereunder shall be final, binding and conclusive upon Broadcom and Executive. Any reduction in payments and/or benefits pursuant to this Section 7 will occur in the following order: (1) reduction of cash payments; (2) cancellation of accelerated vesting of equity awards other than stock options; (3) cancellation of accelerated vesting of stock options; and (4) reduction of other benefits payable to Executive.</w:t>
      </w:r>
    </w:p>
    <w:p>
      <w:pPr>
        <w:spacing w:after="0" w:line="193"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Terms</w:t>
      </w:r>
      <w:r>
        <w:rPr>
          <w:rFonts w:ascii="Times New Roman" w:cs="Times New Roman" w:eastAsia="Times New Roman" w:hAnsi="Times New Roman"/>
          <w:sz w:val="22"/>
          <w:szCs w:val="22"/>
          <w:color w:val="auto"/>
        </w:rPr>
        <w:t>. The following terms referred to in this Agreement shall have the following meanings:</w:t>
      </w:r>
    </w:p>
    <w:p>
      <w:pPr>
        <w:spacing w:after="0" w:line="22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xml:space="preserve">” means (i) Executive’s willful refusal to perform in any material respect Executive’s lawful duties or responsibilities for Broadcom within the scope of his responsibilities or willful disregard in any material respect of any financial or other budgetary limitations established in good faith by the Board, in either case that is not cured upon ten (10) days’ written notice; (ii) Executive’s material breach of any provision of this Agreement that is not cured upon ten (10) days’ written notice thereof; (iii) the engaging by Executive in conduct that causes material and demonstrable injury, monetarily or otherwise, to Broadcom, including, but not limited to, misappropriation or conversion of assets of Broadcom (other than nonmaterial assets); or (iv) Executive’s conviction of or entry of a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 felony.</w:t>
      </w:r>
    </w:p>
    <w:p>
      <w:pPr>
        <w:spacing w:after="0" w:line="18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shall mean and includes each of the following:</w:t>
      </w:r>
    </w:p>
    <w:p>
      <w:pPr>
        <w:spacing w:after="0" w:line="223" w:lineRule="exact"/>
        <w:rPr>
          <w:rFonts w:ascii="Times New Roman" w:cs="Times New Roman" w:eastAsia="Times New Roman" w:hAnsi="Times New Roman"/>
          <w:sz w:val="22"/>
          <w:szCs w:val="22"/>
          <w:color w:val="auto"/>
        </w:rPr>
      </w:pPr>
    </w:p>
    <w:p>
      <w:pPr>
        <w:jc w:val="both"/>
        <w:ind w:firstLine="1944"/>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 transaction or series of transactions (other than an offering of Company shares to the general public through a registration statement filed with the Securities and Exchange Commission) whereby any “person” or related “group” of “persons” (as such terms are used in Sections 13(d) and 14(d)(2) of the Securities Exchange Act of 1934)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Securities Exchange Act of 1934) of securities of the Company possessing more than 50% of the total combined voting power of the Company’s securities outstanding immediately after such acquisition;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98" w:lineRule="exact"/>
        <w:rPr>
          <w:sz w:val="20"/>
          <w:szCs w:val="20"/>
          <w:color w:val="auto"/>
        </w:rPr>
      </w:pPr>
    </w:p>
    <w:p>
      <w:pPr>
        <w:jc w:val="both"/>
        <w:ind w:firstLine="1952"/>
        <w:spacing w:after="0" w:line="251" w:lineRule="auto"/>
        <w:tabs>
          <w:tab w:leader="none" w:pos="259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Sections 8(b)(i) or 8(b)(iii) hereof)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81"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shares of another entity, in each case other than a transaction:</w:t>
      </w:r>
    </w:p>
    <w:p>
      <w:pPr>
        <w:spacing w:after="0" w:line="176" w:lineRule="exact"/>
        <w:rPr>
          <w:rFonts w:ascii="Times New Roman" w:cs="Times New Roman" w:eastAsia="Times New Roman" w:hAnsi="Times New Roman"/>
          <w:sz w:val="22"/>
          <w:szCs w:val="22"/>
          <w:color w:val="auto"/>
        </w:rPr>
      </w:pPr>
    </w:p>
    <w:p>
      <w:pPr>
        <w:jc w:val="both"/>
        <w:ind w:firstLine="2600"/>
        <w:spacing w:after="0" w:line="251" w:lineRule="auto"/>
        <w:tabs>
          <w:tab w:leader="none" w:pos="3234"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2"/>
          <w:szCs w:val="22"/>
          <w:b w:val="1"/>
          <w:bCs w:val="1"/>
          <w:color w:val="auto"/>
        </w:rPr>
        <w:t>Successor Entity</w:t>
      </w:r>
      <w:r>
        <w:rPr>
          <w:rFonts w:ascii="Times New Roman" w:cs="Times New Roman" w:eastAsia="Times New Roman" w:hAnsi="Times New Roman"/>
          <w:sz w:val="22"/>
          <w:szCs w:val="22"/>
          <w:color w:val="auto"/>
        </w:rPr>
        <w:t>”)) directly or indirectly, at least a majority of the combined voting power of the Successor Entity’s outstanding voting securities immediately after the transaction, and</w:t>
      </w:r>
    </w:p>
    <w:p>
      <w:pPr>
        <w:spacing w:after="0" w:line="181" w:lineRule="exact"/>
        <w:rPr>
          <w:rFonts w:ascii="Times New Roman" w:cs="Times New Roman" w:eastAsia="Times New Roman" w:hAnsi="Times New Roman"/>
          <w:sz w:val="22"/>
          <w:szCs w:val="22"/>
          <w:color w:val="auto"/>
        </w:rPr>
      </w:pPr>
    </w:p>
    <w:p>
      <w:pPr>
        <w:jc w:val="both"/>
        <w:ind w:firstLine="2600"/>
        <w:spacing w:after="0" w:line="256" w:lineRule="auto"/>
        <w:tabs>
          <w:tab w:leader="none" w:pos="3236"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which no person or group beneficially owns voting securities representing 50% or more of the combined voting power of the Successor Entity; provided, however, that no person or group shall be treated for purposes of this Section 8(b)(iii)(B) as beneficially owning 50% or more of combined voting power of the Successor Entity solely as a result of the voting power held in the Company prior to the consummation of the transaction; or</w:t>
      </w:r>
    </w:p>
    <w:p>
      <w:pPr>
        <w:spacing w:after="0" w:line="17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stockholders approve a liquidation or dissolution of the Company.</w:t>
      </w:r>
    </w:p>
    <w:p>
      <w:pPr>
        <w:spacing w:after="0" w:line="216"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color w:val="auto"/>
        </w:rPr>
        <w:t>Notwithstanding the foregoing, a “</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must also constitute a “change in control event,” as defined in Treasury Regulation §1.409A-3(i)(5).</w:t>
      </w:r>
    </w:p>
    <w:p>
      <w:pPr>
        <w:spacing w:after="0" w:line="149" w:lineRule="exact"/>
        <w:rPr>
          <w:sz w:val="20"/>
          <w:szCs w:val="20"/>
          <w:color w:val="auto"/>
        </w:rPr>
      </w:pPr>
    </w:p>
    <w:p>
      <w:pPr>
        <w:ind w:firstLine="1304"/>
        <w:spacing w:after="0" w:line="287" w:lineRule="auto"/>
        <w:tabs>
          <w:tab w:leader="none" w:pos="194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 Period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Change in Control Period</w:t>
      </w:r>
      <w:r>
        <w:rPr>
          <w:rFonts w:ascii="Times New Roman" w:cs="Times New Roman" w:eastAsia="Times New Roman" w:hAnsi="Times New Roman"/>
          <w:sz w:val="22"/>
          <w:szCs w:val="22"/>
          <w:color w:val="auto"/>
        </w:rPr>
        <w:t>” means the twelve (12) month period of time commencing upon a Change in Control.</w:t>
      </w:r>
    </w:p>
    <w:p>
      <w:pPr>
        <w:spacing w:after="0" w:line="137"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3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Termination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Covered Termination</w:t>
      </w:r>
      <w:r>
        <w:rPr>
          <w:rFonts w:ascii="Times New Roman" w:cs="Times New Roman" w:eastAsia="Times New Roman" w:hAnsi="Times New Roman"/>
          <w:sz w:val="22"/>
          <w:szCs w:val="22"/>
          <w:color w:val="auto"/>
        </w:rPr>
        <w:t>” means the termination of Executive’s employment by Broadcom other than for Cause, by Executive for Good Reason, or because of Executive’s death or permanent disability, in each case, to the extent necessary, that constitutes a “Separation from Service”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94" w:lineRule="exact"/>
        <w:rPr>
          <w:sz w:val="20"/>
          <w:szCs w:val="20"/>
          <w:color w:val="auto"/>
        </w:rPr>
      </w:pPr>
    </w:p>
    <w:p>
      <w:pPr>
        <w:jc w:val="both"/>
        <w:ind w:firstLine="1304"/>
        <w:spacing w:after="0" w:line="254" w:lineRule="auto"/>
        <w:tabs>
          <w:tab w:leader="none" w:pos="1941"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means any of the following: (A) a reduction in Executive’s salary (other than as part of a broad salary reduction program instituted because Broadcom is in financial distress); (B) a substantial reduction in Executive’s duties and responsibilities; (C) the elimination or reduction of Executive’s eligibility to participate in Broadcom’s benefit programs that is inconsistent with the eligibility of executive employees of Broadcom to participate therein; (D) Broadcom informs Executive of its intention to transfer Executive’s primary workplace to a location that is more than 50 miles from the location of Executive’s primary workplace as of such date; (E) Broadcom’s material breach of this Agreement that is not cured within sixty (60) days written notice thereof; and (F) any serious chronic mental or physical illness of Executive or a member of Executive’s family that requires Executive to terminate Executive’s employment because of substantial interference with Executive’s duties at Broadcom; provided, that at Broadcom’s request Executive shall provide Broadcom with a written physician’s statement confirming the existence of such mental or physical illness. Notwithstanding the foregoing, Executive shall not be deemed to have “Good Reason” under this Agreement unless (x) Executive provides written notice to Broadcom of the event or condition giving rise to Good Reason within ninety (90) days after its initial occurrence, (y) such event or condition continues to exist on the thirtieth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following Broadcom’s receipt of such notice (the “</w:t>
      </w:r>
      <w:r>
        <w:rPr>
          <w:rFonts w:ascii="Times New Roman" w:cs="Times New Roman" w:eastAsia="Times New Roman" w:hAnsi="Times New Roman"/>
          <w:sz w:val="21"/>
          <w:szCs w:val="21"/>
          <w:b w:val="1"/>
          <w:bCs w:val="1"/>
          <w:color w:val="auto"/>
        </w:rPr>
        <w:t>Cure Period</w:t>
      </w:r>
      <w:r>
        <w:rPr>
          <w:rFonts w:ascii="Times New Roman" w:cs="Times New Roman" w:eastAsia="Times New Roman" w:hAnsi="Times New Roman"/>
          <w:sz w:val="21"/>
          <w:szCs w:val="21"/>
          <w:color w:val="auto"/>
        </w:rPr>
        <w:t>”) and (z) Executive’s resignation is effective within sixty (60) days following the end of the Cure Period.</w:t>
      </w:r>
    </w:p>
    <w:p>
      <w:pPr>
        <w:spacing w:after="0" w:line="196"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means the date Executive experiences a Covered Termination.</w:t>
      </w:r>
    </w:p>
    <w:p>
      <w:pPr>
        <w:spacing w:after="0" w:line="22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Successors</w:t>
      </w:r>
      <w:r>
        <w:rPr>
          <w:rFonts w:ascii="Times New Roman" w:cs="Times New Roman" w:eastAsia="Times New Roman" w:hAnsi="Times New Roman"/>
          <w:sz w:val="22"/>
          <w:szCs w:val="22"/>
          <w:color w:val="auto"/>
        </w:rPr>
        <w:t>. Except as set forth in Sections 4(b) and 5(c) above, 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shall include any successor to the Company’s business and/or assets which executes and delivers the assumption agreement described in this Section 9(a) or which becomes bound by the terms of this Agreement by operation of law.</w:t>
      </w:r>
    </w:p>
    <w:p>
      <w:pPr>
        <w:spacing w:after="0" w:line="180"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Executive’s Successors</w:t>
      </w:r>
      <w:r>
        <w:rPr>
          <w:rFonts w:ascii="Times New Roman" w:cs="Times New Roman" w:eastAsia="Times New Roman" w:hAnsi="Times New Roman"/>
          <w:sz w:val="22"/>
          <w:szCs w:val="22"/>
          <w:color w:val="auto"/>
        </w:rPr>
        <w:t>.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67"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and all other communications contemplated by this Agreement shall be in writing and shall be deemed to have been duly given when personally delivered or one day following mailing via Federal Express or similar overnight courier service. In the case of Executive, mailed notices shall be addressed to Executive at Executive’s home address that Broadcom has on file for Executive. In the case of the Company or Broadcom, mailed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shall be addressed to its corporate headquarters, and all notices shall be directed to the attention of the Company’s General Counsel.</w:t>
      </w:r>
    </w:p>
    <w:p>
      <w:pPr>
        <w:spacing w:after="0" w:line="158"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Non-Disparagement.</w:t>
      </w:r>
    </w:p>
    <w:p>
      <w:pPr>
        <w:spacing w:after="0" w:line="23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Executive hereby expressly confirms Executive’s continuing obligations to Broadcom pursuant to Executive’s invention assignment and confidentiality agreement with the Company (the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Executive agrees that he shall not disparage, criticize or defame the Company, its affiliates and their respective affiliates, directors, officers, agents, partners, stockholders or employees, either publicly or privately. The Company agrees that it shall not, and it shall instruct its officers and members of its Board to not, disparage, criticize or defame Executive, either publicly or privately. Nothing in this Section 11(b) shall have application to any evidence or testimony required by any court, arbitrator or government agency.</w:t>
      </w:r>
    </w:p>
    <w:p>
      <w:pPr>
        <w:spacing w:after="0" w:line="178"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To ensure the timely and economical resolution of disputes that arise in connection with this Agreement, Executive and the Company agree that any and all disputes, claims, or causes of action arising from or relating to the enforcement, breach, performance or interpretation of this Agreement, Executive’s employment, or the termination of Executive’s employment, shall be resolved to the fullest extent permitted by law by final, binding and confidential arbitration, by a single arbitrator, in Santa Clara County, California, conducted by Judicial Arbitration and Mediation Services, Inc. (“</w:t>
      </w:r>
      <w:r>
        <w:rPr>
          <w:rFonts w:ascii="Times New Roman" w:cs="Times New Roman" w:eastAsia="Times New Roman" w:hAnsi="Times New Roman"/>
          <w:sz w:val="22"/>
          <w:szCs w:val="22"/>
          <w:b w:val="1"/>
          <w:bCs w:val="1"/>
          <w:color w:val="auto"/>
        </w:rPr>
        <w:t>JAMS</w:t>
      </w:r>
      <w:r>
        <w:rPr>
          <w:rFonts w:ascii="Times New Roman" w:cs="Times New Roman" w:eastAsia="Times New Roman" w:hAnsi="Times New Roman"/>
          <w:sz w:val="22"/>
          <w:szCs w:val="22"/>
          <w:color w:val="auto"/>
        </w:rPr>
        <w:t xml:space="preserve">”) under the applicable JAMS employment rules. </w:t>
      </w:r>
      <w:r>
        <w:rPr>
          <w:rFonts w:ascii="Times New Roman" w:cs="Times New Roman" w:eastAsia="Times New Roman" w:hAnsi="Times New Roman"/>
          <w:sz w:val="22"/>
          <w:szCs w:val="22"/>
          <w:b w:val="1"/>
          <w:bCs w:val="1"/>
          <w:color w:val="auto"/>
        </w:rPr>
        <w:t>By agreeing to this arbitration procedure, both Executive and the Company waive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right to resolve any such dispute through a trial by jury or judge or administrative proceeding</w:t>
      </w:r>
      <w:r>
        <w:rPr>
          <w:rFonts w:ascii="Times New Roman" w:cs="Times New Roman" w:eastAsia="Times New Roman" w:hAnsi="Times New Roman"/>
          <w:sz w:val="22"/>
          <w:szCs w:val="22"/>
          <w:color w:val="auto"/>
        </w:rPr>
        <w:t>. The arbitrator shall: (i)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authority to compel adequate discovery for the resolution of the dispute and to award such relief as would otherwise be permitted by law; and (ii) issue a written arbitration decision, to include the arbitrator’s essential findings and conclusions and a statement of the award. The arbitrator shall be authorized to award any or all remedies that Executive or the Company would be entitled to seek in a court of law. Broadcom shall pay all JAMS’ arbitration fees in excess of the amount of court fees that would be required if the dispute were decided in a court of law.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over intellectual property rights by Court action instead of arbitration.</w:t>
      </w:r>
    </w:p>
    <w:p>
      <w:pPr>
        <w:spacing w:after="0" w:line="18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right="20" w:firstLine="1944"/>
        <w:spacing w:after="0" w:line="26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Notwithstanding any provision to the contrary in this Agreement, no amount deemed deferred compensation subject to Section 409A of the Code shall be payable pursuant to Sections 4 or 5 above unless Executive’s termination of employment constitutes a “separation from service” with Broadcom within the meaning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Section 409A of the Code and the Department of Treasury regulations and other guidance promulgated thereunder (“</w:t>
      </w:r>
      <w:r>
        <w:rPr>
          <w:rFonts w:ascii="Times New Roman" w:cs="Times New Roman" w:eastAsia="Times New Roman" w:hAnsi="Times New Roman"/>
          <w:sz w:val="22"/>
          <w:szCs w:val="22"/>
          <w:b w:val="1"/>
          <w:bCs w:val="1"/>
          <w:color w:val="auto"/>
        </w:rPr>
        <w:t>Separation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from Service</w:t>
      </w:r>
      <w:r>
        <w:rPr>
          <w:rFonts w:ascii="Times New Roman" w:cs="Times New Roman" w:eastAsia="Times New Roman" w:hAnsi="Times New Roman"/>
          <w:sz w:val="22"/>
          <w:szCs w:val="22"/>
          <w:color w:val="auto"/>
        </w:rPr>
        <w:t>”) and, except as provided under Section 13(a)(ii) of this Agreement, any such amount shall not be paid, or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case of installments, commence payment, until the sixtieth (60th) day following Executive’s Separation from Service. Any installment payments that would have been made to Executive during the sixty (60) day period immediately following Executive’s Separation from Service but for the preceding sentence shall be paid to Executive on the sixtieth (60th) day following Executive’s Separation from Service and the remaining payments shall be made as provided in this Agreement.</w:t>
      </w:r>
    </w:p>
    <w:p>
      <w:pPr>
        <w:spacing w:after="0" w:line="179" w:lineRule="exact"/>
        <w:rPr>
          <w:sz w:val="20"/>
          <w:szCs w:val="20"/>
          <w:color w:val="auto"/>
        </w:rPr>
      </w:pPr>
    </w:p>
    <w:p>
      <w:pPr>
        <w:jc w:val="both"/>
        <w:ind w:firstLine="1952"/>
        <w:spacing w:after="0" w:line="250" w:lineRule="auto"/>
        <w:tabs>
          <w:tab w:leader="none" w:pos="2591"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Specified Employee</w:t>
      </w:r>
      <w:r>
        <w:rPr>
          <w:rFonts w:ascii="Times New Roman" w:cs="Times New Roman" w:eastAsia="Times New Roman" w:hAnsi="Times New Roman"/>
          <w:sz w:val="22"/>
          <w:szCs w:val="22"/>
          <w:color w:val="auto"/>
        </w:rPr>
        <w:t>. Notwithstanding any provision to the contrary in this Agreement, if Executive is deemed at the time of his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 (6)-month period measured from the date of Executive’s Separation from Service or (b) the date of Executive’s death. Upon the first business day following the expiration of the applicable Code Section 409A(a)(2)(B)(i) period, all payments deferred pursuant to this Section 13(a)(ii) shall be paid in a lump sum to Executive, and any remaining payments due under this Agreement shall be paid as otherwise provided herein.</w:t>
      </w:r>
    </w:p>
    <w:p>
      <w:pPr>
        <w:spacing w:after="0" w:line="179"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3"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 Reimbursements</w:t>
      </w:r>
      <w:r>
        <w:rPr>
          <w:rFonts w:ascii="Times New Roman" w:cs="Times New Roman" w:eastAsia="Times New Roman" w:hAnsi="Times New Roman"/>
          <w:sz w:val="22"/>
          <w:szCs w:val="22"/>
          <w:color w:val="auto"/>
        </w:rPr>
        <w:t>.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81"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4"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Installments</w:t>
      </w:r>
      <w:r>
        <w:rPr>
          <w:rFonts w:ascii="Times New Roman" w:cs="Times New Roman" w:eastAsia="Times New Roman" w:hAnsi="Times New Roman"/>
          <w:sz w:val="22"/>
          <w:szCs w:val="22"/>
          <w:color w:val="auto"/>
        </w:rPr>
        <w:t>. For purposes of Section 409A of the Code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7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provision of this Agreement shall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94"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Whole Agreement</w:t>
      </w:r>
      <w:r>
        <w:rPr>
          <w:rFonts w:ascii="Times New Roman" w:cs="Times New Roman" w:eastAsia="Times New Roman" w:hAnsi="Times New Roman"/>
          <w:sz w:val="22"/>
          <w:szCs w:val="22"/>
          <w:color w:val="auto"/>
        </w:rPr>
        <w:t>. This Agreement and the Confidential Information Agreement represent the entire understanding of the parties hereto with respect to the subject matter hereof and supersede all prior arrangements and understandings regarding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including, without limitation, any severance or change in control benefits in Executive’s offer letter agreement, employment agreement and any equity award agreement.</w:t>
      </w:r>
    </w:p>
    <w:p>
      <w:pPr>
        <w:spacing w:after="0" w:line="158" w:lineRule="exact"/>
        <w:rPr>
          <w:sz w:val="20"/>
          <w:szCs w:val="20"/>
          <w:color w:val="auto"/>
        </w:rPr>
      </w:pPr>
    </w:p>
    <w:p>
      <w:pPr>
        <w:ind w:firstLine="1304"/>
        <w:spacing w:after="0" w:line="284" w:lineRule="auto"/>
        <w:tabs>
          <w:tab w:leader="none" w:pos="193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The validity, interpretation, construction and performance of this Agreement shall be governed by the laws of the State of California.</w:t>
      </w:r>
    </w:p>
    <w:p>
      <w:pPr>
        <w:spacing w:after="0" w:line="143"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or provisions of this Agreement shall not affect the validity or enforceability of any other provision hereof, which shall remain in full force and effect.</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94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all of which together will constitute one and the same instrument.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9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has executed this Severance Benefit Agreement, in the case of the Company by its duly authorized officer, as of the day and year set forth below.</w:t>
      </w:r>
    </w:p>
    <w:p>
      <w:pPr>
        <w:spacing w:after="0" w:line="200" w:lineRule="exact"/>
        <w:rPr>
          <w:sz w:val="20"/>
          <w:szCs w:val="20"/>
          <w:color w:val="auto"/>
        </w:rPr>
      </w:pPr>
    </w:p>
    <w:p>
      <w:pPr>
        <w:spacing w:after="0" w:line="22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b w:val="1"/>
          <w:bCs w:val="1"/>
          <w:color w:val="auto"/>
        </w:rPr>
        <w:t>BROADCOM INC.</w:t>
      </w:r>
    </w:p>
    <w:p>
      <w:pPr>
        <w:spacing w:after="0" w:line="332" w:lineRule="exact"/>
        <w:rPr>
          <w:sz w:val="20"/>
          <w:szCs w:val="20"/>
          <w:color w:val="auto"/>
        </w:rPr>
      </w:pPr>
    </w:p>
    <w:tbl>
      <w:tblPr>
        <w:tblLayout w:type="fixed"/>
        <w:tblInd w:w="5800" w:type="dxa"/>
        <w:tblCellMar>
          <w:top w:w="0" w:type="dxa"/>
          <w:left w:w="0" w:type="dxa"/>
          <w:bottom w:w="0" w:type="dxa"/>
          <w:right w:w="0" w:type="dxa"/>
        </w:tblCellMar>
      </w:tblPr>
      <w:tr>
        <w:trPr>
          <w:trHeight w:val="291"/>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Hock E. Tan</w:t>
            </w:r>
          </w:p>
        </w:tc>
      </w:tr>
      <w:tr>
        <w:trPr>
          <w:trHeight w:val="295"/>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Hock E. Tan</w:t>
            </w:r>
          </w:p>
        </w:tc>
      </w:tr>
      <w:tr>
        <w:trPr>
          <w:trHeight w:val="311"/>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President and Chief Executive Officer</w:t>
            </w:r>
          </w:p>
        </w:tc>
      </w:tr>
      <w:tr>
        <w:trPr>
          <w:trHeight w:val="310"/>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January 1, 2026</w:t>
            </w: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332" w:lineRule="exact"/>
        <w:rPr>
          <w:sz w:val="20"/>
          <w:szCs w:val="20"/>
          <w:color w:val="auto"/>
        </w:rPr>
      </w:pPr>
    </w:p>
    <w:tbl>
      <w:tblPr>
        <w:tblLayout w:type="fixed"/>
        <w:tblInd w:w="5800" w:type="dxa"/>
        <w:tblCellMar>
          <w:top w:w="0" w:type="dxa"/>
          <w:left w:w="0" w:type="dxa"/>
          <w:bottom w:w="0" w:type="dxa"/>
          <w:right w:w="0" w:type="dxa"/>
        </w:tblCellMar>
      </w:tblPr>
      <w:tr>
        <w:trPr>
          <w:trHeight w:val="291"/>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Ram Velaga</w:t>
            </w:r>
          </w:p>
        </w:tc>
      </w:tr>
      <w:tr>
        <w:trPr>
          <w:trHeight w:val="295"/>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Ram Velaga</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January 1, 2026</w:t>
            </w:r>
          </w:p>
        </w:tc>
      </w:tr>
    </w:tbl>
    <w:p>
      <w:pPr>
        <w:sectPr>
          <w:pgSz w:w="11900" w:h="16838" w:orient="portrait"/>
          <w:cols w:equalWidth="0" w:num="1">
            <w:col w:w="11240"/>
          </w:cols>
          <w:pgMar w:left="320" w:top="1440"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Hock E. Tan, certify that:</w:t>
      </w:r>
    </w:p>
    <w:p>
      <w:pPr>
        <w:spacing w:after="0" w:line="117"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Broadcom Inc.;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2026</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Hock E.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1">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Hock E. Tan</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Kirsten M. Spears, certify that:</w:t>
      </w:r>
    </w:p>
    <w:p>
      <w:pPr>
        <w:spacing w:after="0" w:line="117"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Broadcom Inc.;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2026</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Kirsten M. Spears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Kirsten M. Spears</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65" w:name="page66"/>
    <w:bookmarkEnd w:id="65"/>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18 U.S.C. SECTION 1350, AS ADOPTED PURSUANT TO SECTION 906 OF THE SARBANES-OXLEY ACT OF 2002</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Broadcom Inc. (the “Company”) for the fiscal quarter ended February 1, 2026 as filed with the Securities and Exchange Commission on the date hereof (the “Report”), the undersigned, Hock E. Tan, Chief Executive Officer of the Company, hereby certifies, pursuant to 18 U.S.C. Section 1350, that:</w:t>
      </w:r>
    </w:p>
    <w:p>
      <w:pPr>
        <w:spacing w:after="0" w:line="68" w:lineRule="exact"/>
        <w:rPr>
          <w:sz w:val="20"/>
          <w:szCs w:val="20"/>
          <w:color w:val="auto"/>
        </w:rPr>
      </w:pPr>
    </w:p>
    <w:p>
      <w:pPr>
        <w:ind w:left="640" w:hanging="308"/>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p>
      <w:pPr>
        <w:ind w:left="200"/>
        <w:spacing w:after="0"/>
        <w:tabs>
          <w:tab w:leader="none" w:pos="5520" w:val="left"/>
        </w:tabs>
        <w:rPr>
          <w:sz w:val="20"/>
          <w:szCs w:val="20"/>
          <w:color w:val="auto"/>
        </w:rPr>
      </w:pPr>
      <w:r>
        <w:rPr>
          <w:rFonts w:ascii="Times New Roman" w:cs="Times New Roman" w:eastAsia="Times New Roman" w:hAnsi="Times New Roman"/>
          <w:sz w:val="18"/>
          <w:szCs w:val="18"/>
          <w:color w:val="auto"/>
        </w:rPr>
        <w:t>Date: March 11, 2026</w:t>
      </w:r>
      <w:r>
        <w:rPr>
          <w:sz w:val="20"/>
          <w:szCs w:val="20"/>
          <w:color w:val="auto"/>
        </w:rPr>
        <w:tab/>
      </w:r>
      <w:r>
        <w:rPr>
          <w:rFonts w:ascii="Times New Roman" w:cs="Times New Roman" w:eastAsia="Times New Roman" w:hAnsi="Times New Roman"/>
          <w:sz w:val="17"/>
          <w:szCs w:val="17"/>
          <w:color w:val="auto"/>
        </w:rPr>
        <w:t>/s/ Hock E.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17145</wp:posOffset>
            </wp:positionV>
            <wp:extent cx="31286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3">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Hock E. Tan</w:t>
      </w:r>
    </w:p>
    <w:p>
      <w:pPr>
        <w:spacing w:after="0" w:line="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ind w:left="5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8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66" w:name="page67"/>
    <w:bookmarkEnd w:id="66"/>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ind w:left="340" w:right="9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18 U.S.C. SECTION 1350, AS ADOPTED PURSUANT TO SECTION 906 OF THE SARBANES-OXLEY ACT OF 2002</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Broadcom Inc. (the “Company”) for the fiscal quarter ended February 1, 2026 as filed with the Securities and Exchange Commission on the date hereof (the “Report”), the undersigned, Kirsten M. Spears, Chief Financial Officer of the Company, hereby certifies, pursuant to 18 U.S.C. Section 1350, that:</w:t>
      </w:r>
    </w:p>
    <w:p>
      <w:pPr>
        <w:spacing w:after="0" w:line="68" w:lineRule="exact"/>
        <w:rPr>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11, 2026</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Kirsten M. Spears</w:t>
            </w:r>
          </w:p>
        </w:tc>
      </w:tr>
      <w:tr>
        <w:trPr>
          <w:trHeight w:val="218"/>
        </w:trPr>
        <w:tc>
          <w:tcPr>
            <w:tcW w:w="532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Kirsten M. Spears</w:t>
            </w:r>
          </w:p>
        </w:tc>
      </w:tr>
      <w:tr>
        <w:trPr>
          <w:trHeight w:val="180"/>
        </w:trPr>
        <w:tc>
          <w:tcPr>
            <w:tcW w:w="5320" w:type="dxa"/>
            <w:vAlign w:val="bottom"/>
          </w:tcPr>
          <w:p>
            <w:pPr>
              <w:spacing w:after="0"/>
              <w:rPr>
                <w:sz w:val="15"/>
                <w:szCs w:val="15"/>
                <w:color w:val="auto"/>
              </w:rPr>
            </w:pPr>
          </w:p>
        </w:tc>
        <w:tc>
          <w:tcPr>
            <w:tcW w:w="49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32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3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3"/>
    </w:lvl>
  </w:abstractNum>
  <w:abstractNum w:abstractNumId="4">
    <w:nsid w:val="54E49EB4"/>
    <w:multiLevelType w:val="hybridMultilevel"/>
    <w:lvl w:ilvl="0">
      <w:lvlJc w:val="left"/>
      <w:lvlText w:val="(%1)"/>
      <w:numFmt w:val="lowerLetter"/>
      <w:start w:val="1"/>
    </w:lvl>
  </w:abstractNum>
  <w:abstractNum w:abstractNumId="5">
    <w:nsid w:val="71F32454"/>
    <w:multiLevelType w:val="hybridMultilevel"/>
    <w:lvl w:ilvl="0">
      <w:lvlJc w:val="left"/>
      <w:lvlText w:val="%1."/>
      <w:numFmt w:val="decimal"/>
      <w:start w:val="9"/>
    </w:lvl>
  </w:abstractNum>
  <w:abstractNum w:abstractNumId="6">
    <w:nsid w:val="2CA88611"/>
    <w:multiLevelType w:val="hybridMultilevel"/>
    <w:lvl w:ilvl="0">
      <w:lvlJc w:val="left"/>
      <w:lvlText w:val="%1."/>
      <w:numFmt w:val="decimal"/>
      <w:start w:val="10"/>
    </w:lvl>
  </w:abstractNum>
  <w:abstractNum w:abstractNumId="7">
    <w:nsid w:val="836C40E"/>
    <w:multiLevelType w:val="hybridMultilevel"/>
    <w:lvl w:ilvl="0">
      <w:lvlJc w:val="left"/>
      <w:lvlText w:val="%1."/>
      <w:numFmt w:val="decimal"/>
      <w:start w:val="1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1)"/>
      <w:numFmt w:val="lowerLetter"/>
      <w:start w:val="1"/>
    </w:lvl>
  </w:abstractNum>
  <w:abstractNum w:abstractNumId="12">
    <w:nsid w:val="7C3DBD3D"/>
    <w:multiLevelType w:val="hybridMultilevel"/>
    <w:lvl w:ilvl="0">
      <w:lvlJc w:val="left"/>
      <w:lvlText w:val="(%1)"/>
      <w:numFmt w:val="lowerLetter"/>
      <w:start w:val="2"/>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upperLetter"/>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33">
    <w:nsid w:val="3855585C"/>
    <w:multiLevelType w:val="hybridMultilevel"/>
    <w:lvl w:ilvl="0">
      <w:lvlJc w:val="left"/>
      <w:lvlText w:val="(%1)"/>
      <w:numFmt w:val="decimal"/>
      <w:start w:val="6"/>
    </w:lvl>
    <w:lvl w:ilvl="1">
      <w:lvlJc w:val="left"/>
      <w:lvlText w:val="%2."/>
      <w:numFmt w:val="decimal"/>
      <w:start w:val="5"/>
    </w:lvl>
    <w:lvl w:ilvl="2">
      <w:lvlJc w:val="left"/>
      <w:lvlText w:val="%3"/>
      <w:numFmt w:val="lowerLetter"/>
      <w:start w:val="1"/>
    </w:lvl>
  </w:abstractNum>
  <w:abstractNum w:abstractNumId="34">
    <w:nsid w:val="70A64E2A"/>
    <w:multiLevelType w:val="hybridMultilevel"/>
    <w:lvl w:ilvl="0">
      <w:lvlJc w:val="left"/>
      <w:lvlText w:val="%1"/>
      <w:numFmt w:val="decimal"/>
      <w:start w:val="1"/>
    </w:lvl>
    <w:lvl w:ilvl="1">
      <w:lvlJc w:val="left"/>
      <w:lvlText w:val="(%2)"/>
      <w:numFmt w:val="lowerLetter"/>
      <w:start w:val="1"/>
    </w:lvl>
  </w:abstractNum>
  <w:abstractNum w:abstractNumId="35">
    <w:nsid w:val="6A2342EC"/>
    <w:multiLevelType w:val="hybridMultilevel"/>
    <w:lvl w:ilvl="0">
      <w:lvlJc w:val="left"/>
      <w:lvlText w:val="%1."/>
      <w:numFmt w:val="decimal"/>
      <w:start w:val="6"/>
    </w:lvl>
    <w:lvl w:ilvl="1">
      <w:lvlJc w:val="left"/>
      <w:lvlText w:val="%2"/>
      <w:numFmt w:val="lowerLetter"/>
      <w:start w:val="1"/>
    </w:lvl>
  </w:abstractNum>
  <w:abstractNum w:abstractNumId="36">
    <w:nsid w:val="2A487CB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7">
    <w:nsid w:val="1D4ED43B"/>
    <w:multiLevelType w:val="hybridMultilevel"/>
    <w:lvl w:ilvl="0">
      <w:lvlJc w:val="left"/>
      <w:lvlText w:val="%1"/>
      <w:numFmt w:val="lowerRoman"/>
      <w:start w:val="2"/>
    </w:lvl>
    <w:lvl w:ilvl="1">
      <w:lvlJc w:val="left"/>
      <w:lvlText w:val="%2."/>
      <w:numFmt w:val="upperLetter"/>
      <w:start w:val="1"/>
    </w:lvl>
  </w:abstractNum>
  <w:abstractNum w:abstractNumId="38">
    <w:nsid w:val="725A06FB"/>
    <w:multiLevelType w:val="hybridMultilevel"/>
    <w:lvl w:ilvl="0">
      <w:lvlJc w:val="left"/>
      <w:lvlText w:val="(%1)"/>
      <w:numFmt w:val="lowerLetter"/>
      <w:start w:val="3"/>
    </w:lvl>
  </w:abstractNum>
  <w:abstractNum w:abstractNumId="39">
    <w:nsid w:val="2CD89A32"/>
    <w:multiLevelType w:val="hybridMultilevel"/>
    <w:lvl w:ilvl="0">
      <w:lvlJc w:val="left"/>
      <w:lvlText w:val="%1"/>
      <w:numFmt w:val="decimal"/>
      <w:start w:val="1"/>
    </w:lvl>
    <w:lvl w:ilvl="1">
      <w:lvlJc w:val="left"/>
      <w:lvlText w:val="(%2)"/>
      <w:numFmt w:val="lowerLetter"/>
      <w:start w:val="5"/>
    </w:lvl>
  </w:abstractNum>
  <w:abstractNum w:abstractNumId="40">
    <w:nsid w:val="57E4CCAF"/>
    <w:multiLevelType w:val="hybridMultilevel"/>
    <w:lvl w:ilvl="0">
      <w:lvlJc w:val="left"/>
      <w:lvlText w:val="%1."/>
      <w:numFmt w:val="decimal"/>
      <w:start w:val="9"/>
    </w:lvl>
    <w:lvl w:ilvl="1">
      <w:lvlJc w:val="left"/>
      <w:lvlText w:val="(%2)"/>
      <w:numFmt w:val="lowerLetter"/>
      <w:start w:val="1"/>
    </w:lvl>
  </w:abstractNum>
  <w:abstractNum w:abstractNumId="41">
    <w:nsid w:val="7A6D8D3C"/>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42">
    <w:nsid w:val="4B588F54"/>
    <w:multiLevelType w:val="hybridMultilevel"/>
    <w:lvl w:ilvl="0">
      <w:lvlJc w:val="left"/>
      <w:lvlText w:val="%1"/>
      <w:numFmt w:val="lowerLetter"/>
      <w:start w:val="1"/>
    </w:lvl>
    <w:lvl w:ilvl="1">
      <w:lvlJc w:val="left"/>
      <w:lvlText w:val="%2"/>
      <w:numFmt w:val="lowerRoman"/>
      <w:start w:val="2"/>
    </w:lvl>
  </w:abstractNum>
  <w:abstractNum w:abstractNumId="43">
    <w:nsid w:val="542289EC"/>
    <w:multiLevelType w:val="hybridMultilevel"/>
    <w:lvl w:ilvl="0">
      <w:lvlJc w:val="left"/>
      <w:lvlText w:val="(%1)"/>
      <w:numFmt w:val="lowerLetter"/>
      <w:start w:val="2"/>
    </w:lvl>
    <w:lvl w:ilvl="1">
      <w:lvlJc w:val="left"/>
      <w:lvlText w:val="%2"/>
      <w:numFmt w:val="lowerRoman"/>
      <w:start w:val="1"/>
    </w:lvl>
  </w:abstractNum>
  <w:abstractNum w:abstractNumId="44">
    <w:nsid w:val="6DE91B18"/>
    <w:multiLevelType w:val="hybridMultilevel"/>
    <w:lvl w:ilvl="0">
      <w:lvlJc w:val="left"/>
      <w:lvlText w:val="(%1)"/>
      <w:numFmt w:val="lowerLetter"/>
      <w:start w:val="4"/>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83" Type="http://schemas.openxmlformats.org/officeDocument/2006/relationships/image" Target="media/image59.png"/><Relationship Id="rId98" Type="http://schemas.openxmlformats.org/officeDocument/2006/relationships/image" Target="media/image60.png"/><Relationship Id="rId99" Type="http://schemas.openxmlformats.org/officeDocument/2006/relationships/image" Target="media/image61.png"/><Relationship Id="rId100" Type="http://schemas.openxmlformats.org/officeDocument/2006/relationships/image" Target="media/image62.png"/><Relationship Id="rId101" Type="http://schemas.openxmlformats.org/officeDocument/2006/relationships/image" Target="media/image63.png"/><Relationship Id="rId102" Type="http://schemas.openxmlformats.org/officeDocument/2006/relationships/image" Target="media/image64.png"/><Relationship Id="rId103" Type="http://schemas.openxmlformats.org/officeDocument/2006/relationships/image" Target="media/image65.png"/><Relationship Id="rId66" Type="http://schemas.openxmlformats.org/officeDocument/2006/relationships/hyperlink" Target="https://www.sec.gov/Archives/edgar/data/1730168/000119312522161016/d525235dex21.htm" TargetMode="External"/><Relationship Id="rId67" Type="http://schemas.openxmlformats.org/officeDocument/2006/relationships/hyperlink" Target="https://www.sec.gov/Archives/edgar/data/1730168/000173016824000099/ex31arcertificateofincorpo.htm" TargetMode="External"/><Relationship Id="rId68" Type="http://schemas.openxmlformats.org/officeDocument/2006/relationships/hyperlink" Target="https://www.sec.gov/Archives/edgar/data/1730168/000119312518107559/d562806dex32.htm" TargetMode="External"/><Relationship Id="rId69" Type="http://schemas.openxmlformats.org/officeDocument/2006/relationships/hyperlink" Target="https://www.sec.gov/Archives/edgar/data/1730168/000173016818000019/ex41formofstockcertificate.htm" TargetMode="External"/><Relationship Id="rId70" Type="http://schemas.openxmlformats.org/officeDocument/2006/relationships/hyperlink" Target="https://www.sec.gov/Archives/edgar/data/1730168/000173016824000139/ex42descriptionofcommonsto.htm" TargetMode="External"/><Relationship Id="rId71" Type="http://schemas.openxmlformats.org/officeDocument/2006/relationships/hyperlink" Target="https://www.sec.gov/Archives/edgar/data/1649338/000119312517013399/d332675dex41.htm" TargetMode="External"/><Relationship Id="rId72" Type="http://schemas.openxmlformats.org/officeDocument/2006/relationships/hyperlink" Target="https://www.sec.gov/Archives/edgar/data/1730168/000119312518111706/d562929dex41.htm" TargetMode="External"/><Relationship Id="rId73" Type="http://schemas.openxmlformats.org/officeDocument/2006/relationships/hyperlink" Target="https://www.sec.gov/Archives/edgar/data/1730168/000119312519017097/d684347dex41.htm" TargetMode="External"/><Relationship Id="rId74" Type="http://schemas.openxmlformats.org/officeDocument/2006/relationships/hyperlink" Target="https://www.sec.gov/Archives/edgar/data/1649338/000119312517311851/d472495dex41.htm" TargetMode="External"/><Relationship Id="rId75" Type="http://schemas.openxmlformats.org/officeDocument/2006/relationships/hyperlink" Target="https://www.sec.gov/Archives/edgar/data/1730168/000119312518111706/d562929dex42.htm" TargetMode="External"/><Relationship Id="rId76" Type="http://schemas.openxmlformats.org/officeDocument/2006/relationships/hyperlink" Target="https://www.sec.gov/Archives/edgar/data/1730168/000119312519017097/d684347dex42.htm" TargetMode="External"/><Relationship Id="rId77" Type="http://schemas.openxmlformats.org/officeDocument/2006/relationships/hyperlink" Target="https://www.sec.gov/Archives/edgar/data/1730168/000119312519099260/d719856dex41.htm" TargetMode="External"/><Relationship Id="rId78" Type="http://schemas.openxmlformats.org/officeDocument/2006/relationships/hyperlink" Target="https://www.sec.gov/Archives/edgar/data/1730168/000119312520102580/d823740dex41.htm" TargetMode="External"/><Relationship Id="rId79" Type="http://schemas.openxmlformats.org/officeDocument/2006/relationships/hyperlink" Target="https://www.sec.gov/Archives/edgar/data/1730168/000119312520137528/d921783dex41.htm" TargetMode="External"/><Relationship Id="rId80" Type="http://schemas.openxmlformats.org/officeDocument/2006/relationships/hyperlink" Target="https://www.sec.gov/Archives/edgar/data/1730168/000119312520148648/d933113dex41.htm" TargetMode="External"/><Relationship Id="rId81" Type="http://schemas.openxmlformats.org/officeDocument/2006/relationships/hyperlink" Target="https://www.sec.gov/Archives/edgar/data/1730168/000119312521011422/d161188dex41.htm" TargetMode="External"/><Relationship Id="rId82" Type="http://schemas.openxmlformats.org/officeDocument/2006/relationships/hyperlink" Target="https://www.sec.gov/Archives/edgar/data/1730168/000119312521102518/d146519dex41.htm" TargetMode="External"/><Relationship Id="rId84" Type="http://schemas.openxmlformats.org/officeDocument/2006/relationships/hyperlink" Target="https://www.sec.gov/Archives/edgar/data/1730168/000119312521287948/d238245dex41.htm" TargetMode="External"/><Relationship Id="rId85" Type="http://schemas.openxmlformats.org/officeDocument/2006/relationships/hyperlink" Target="https://www.sec.gov/Archives/edgar/data/1730168/000119312521287948/d238245dex44.htm" TargetMode="External"/><Relationship Id="rId86" Type="http://schemas.openxmlformats.org/officeDocument/2006/relationships/hyperlink" Target="https://www.sec.gov/Archives/edgar/data/1730168/000119312522105918/d341029dex41.htm" TargetMode="External"/><Relationship Id="rId87" Type="http://schemas.openxmlformats.org/officeDocument/2006/relationships/hyperlink" Target="https://www.sec.gov/Archives/edgar/data/1730168/000119312522105918/d341029dex44.htm" TargetMode="External"/><Relationship Id="rId88" Type="http://schemas.openxmlformats.org/officeDocument/2006/relationships/hyperlink" Target="https://www.sec.gov/Archives/edgar/data/1730168/000119312522108067/d299108dex41.htm" TargetMode="External"/><Relationship Id="rId89" Type="http://schemas.openxmlformats.org/officeDocument/2006/relationships/hyperlink" Target="https://www.sec.gov/Archives/edgar/data/1730168/000119312522108067/d299108dex43.htm" TargetMode="External"/><Relationship Id="rId90" Type="http://schemas.openxmlformats.org/officeDocument/2006/relationships/hyperlink" Target="https://www.sec.gov/Archives/edgar/data/1730168/000114036124033072/ny20032136x6_ex4-1.htm" TargetMode="External"/><Relationship Id="rId91" Type="http://schemas.openxmlformats.org/officeDocument/2006/relationships/hyperlink" Target="https://www.sec.gov/Archives/edgar/data/1730168/000114036124033072/ny20032136x6_ex4-2.htm" TargetMode="External"/><Relationship Id="rId92" Type="http://schemas.openxmlformats.org/officeDocument/2006/relationships/hyperlink" Target="https://www.sec.gov/Archives/edgar/data/0001730168/000119312524231159/d860121dex42.htm" TargetMode="External"/><Relationship Id="rId93" Type="http://schemas.openxmlformats.org/officeDocument/2006/relationships/hyperlink" Target="https://www.sec.gov/Archives/edgar/data/1730168/000119312524231159/d860121dex42.htm" TargetMode="External"/><Relationship Id="rId94" Type="http://schemas.openxmlformats.org/officeDocument/2006/relationships/hyperlink" Target="https://www.sec.gov/Archives/edgar/data/1730168/000119312525004476/d880789dex42.htm" TargetMode="External"/><Relationship Id="rId95" Type="http://schemas.openxmlformats.org/officeDocument/2006/relationships/hyperlink" Target="https://www.sec.gov/Archives/edgar/data/0001730168/000119312525158202/d89787dex42.htm" TargetMode="External"/><Relationship Id="rId96" Type="http://schemas.openxmlformats.org/officeDocument/2006/relationships/hyperlink" Target="https://www.sec.gov/Archives/edgar/data/0001730168/000119312525223202/d60592dex42.htm" TargetMode="External"/><Relationship Id="rId97" Type="http://schemas.openxmlformats.org/officeDocument/2006/relationships/hyperlink" Target="https://www.sec.gov/Archives/edgar/data/1730168/000119312526011731/d104560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2026-03-11T16:01:03Z</dcterms:created>
  <dcterms:modified xsi:type="dcterms:W3CDTF">2026-03-11T16:01:03Z</dcterms:modified>
</cp:coreProperties>
</file>