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18"/>
          <w:szCs w:val="18"/>
          <w:b w:val="1"/>
          <w:bCs w:val="1"/>
          <w:color w:val="262626"/>
        </w:rPr>
        <w:t>UNITED STATES</w:t>
      </w:r>
    </w:p>
    <w:p>
      <w:pPr>
        <w:spacing w:after="0" w:line="3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262626"/>
        </w:rPr>
        <w:t>SECURITIES AND EXCHANGE COMMISSION</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262626"/>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262626"/>
        </w:rPr>
        <w:t>SCHEDULE 14A</w:t>
      </w:r>
    </w:p>
    <w:p>
      <w:pPr>
        <w:spacing w:after="0" w:line="63" w:lineRule="exact"/>
        <w:rPr>
          <w:sz w:val="24"/>
          <w:szCs w:val="24"/>
          <w:color w:val="auto"/>
        </w:rPr>
      </w:pPr>
    </w:p>
    <w:p>
      <w:pPr>
        <w:ind w:left="3540"/>
        <w:spacing w:after="0"/>
        <w:rPr>
          <w:sz w:val="20"/>
          <w:szCs w:val="20"/>
          <w:color w:val="auto"/>
        </w:rPr>
      </w:pPr>
      <w:r>
        <w:rPr>
          <w:rFonts w:ascii="Arial" w:cs="Arial" w:eastAsia="Arial" w:hAnsi="Arial"/>
          <w:sz w:val="18"/>
          <w:szCs w:val="18"/>
          <w:b w:val="1"/>
          <w:bCs w:val="1"/>
          <w:color w:val="262626"/>
        </w:rPr>
        <w:t>Proxy Statement Pursuant to Section 14(a) of the</w:t>
      </w:r>
    </w:p>
    <w:p>
      <w:pPr>
        <w:spacing w:after="0" w:line="3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262626"/>
        </w:rPr>
        <w:t>Securities Exchange Act of 1934</w:t>
      </w:r>
    </w:p>
    <w:p>
      <w:pPr>
        <w:spacing w:after="0" w:line="9" w:lineRule="exact"/>
        <w:rPr>
          <w:sz w:val="24"/>
          <w:szCs w:val="24"/>
          <w:color w:val="auto"/>
        </w:rPr>
      </w:pPr>
    </w:p>
    <w:p>
      <w:pPr>
        <w:jc w:val="center"/>
        <w:ind w:right="-199"/>
        <w:spacing w:after="0"/>
        <w:tabs>
          <w:tab w:leader="none" w:pos="240" w:val="left"/>
        </w:tabs>
        <w:rPr>
          <w:sz w:val="20"/>
          <w:szCs w:val="20"/>
          <w:color w:val="auto"/>
        </w:rPr>
      </w:pPr>
      <w:r>
        <w:rPr>
          <w:rFonts w:ascii="Arial" w:cs="Arial" w:eastAsia="Arial" w:hAnsi="Arial"/>
          <w:sz w:val="18"/>
          <w:szCs w:val="18"/>
          <w:b w:val="1"/>
          <w:bCs w:val="1"/>
          <w:color w:val="262626"/>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spacing w:after="0" w:line="207" w:lineRule="exact"/>
        <w:tabs>
          <w:tab w:leader="none" w:pos="3440" w:val="left"/>
        </w:tabs>
        <w:rPr>
          <w:sz w:val="20"/>
          <w:szCs w:val="20"/>
          <w:color w:val="auto"/>
        </w:rPr>
      </w:pPr>
      <w:r>
        <w:rPr>
          <w:rFonts w:ascii="Arial" w:cs="Arial" w:eastAsia="Arial" w:hAnsi="Arial"/>
          <w:sz w:val="18"/>
          <w:szCs w:val="18"/>
          <w:color w:val="262626"/>
        </w:rPr>
        <w:t xml:space="preserve">Filed by the Registrant </w:t>
      </w:r>
      <w:r>
        <w:rPr>
          <w:rFonts w:ascii="MS PGothic" w:cs="MS PGothic" w:eastAsia="MS PGothic" w:hAnsi="MS PGothic"/>
          <w:sz w:val="18"/>
          <w:szCs w:val="18"/>
          <w:color w:val="262626"/>
        </w:rPr>
        <w:t>☒</w:t>
      </w:r>
      <w:r>
        <w:rPr>
          <w:sz w:val="20"/>
          <w:szCs w:val="20"/>
          <w:color w:val="auto"/>
        </w:rPr>
        <w:tab/>
      </w:r>
      <w:r>
        <w:rPr>
          <w:rFonts w:ascii="Arial" w:cs="Arial" w:eastAsia="Arial" w:hAnsi="Arial"/>
          <w:sz w:val="18"/>
          <w:szCs w:val="18"/>
          <w:color w:val="262626"/>
        </w:rPr>
        <w:t xml:space="preserve">Filed by a Party other than the Registrant </w:t>
      </w:r>
      <w:r>
        <w:rPr>
          <w:rFonts w:ascii="MS PGothic" w:cs="MS PGothic" w:eastAsia="MS PGothic" w:hAnsi="MS PGothic"/>
          <w:sz w:val="18"/>
          <w:szCs w:val="18"/>
          <w:color w:val="262626"/>
        </w:rPr>
        <w:t>☐</w:t>
      </w:r>
    </w:p>
    <w:p>
      <w:pPr>
        <w:spacing w:after="0" w:line="87" w:lineRule="exact"/>
        <w:rPr>
          <w:sz w:val="24"/>
          <w:szCs w:val="24"/>
          <w:color w:val="auto"/>
        </w:rPr>
      </w:pPr>
    </w:p>
    <w:p>
      <w:pPr>
        <w:spacing w:after="0"/>
        <w:rPr>
          <w:sz w:val="20"/>
          <w:szCs w:val="20"/>
          <w:color w:val="auto"/>
        </w:rPr>
      </w:pPr>
      <w:r>
        <w:rPr>
          <w:rFonts w:ascii="Arial" w:cs="Arial" w:eastAsia="Arial" w:hAnsi="Arial"/>
          <w:sz w:val="18"/>
          <w:szCs w:val="18"/>
          <w:color w:val="262626"/>
        </w:rPr>
        <w:t>Check the appropriate box:</w:t>
      </w:r>
    </w:p>
    <w:p>
      <w:pPr>
        <w:spacing w:after="0" w:line="63" w:lineRule="exact"/>
        <w:rPr>
          <w:sz w:val="24"/>
          <w:szCs w:val="24"/>
          <w:color w:val="auto"/>
        </w:rPr>
      </w:pPr>
    </w:p>
    <w:p>
      <w:pPr>
        <w:ind w:left="420" w:hanging="372"/>
        <w:spacing w:after="0"/>
        <w:tabs>
          <w:tab w:leader="none" w:pos="420" w:val="left"/>
        </w:tabs>
        <w:numPr>
          <w:ilvl w:val="0"/>
          <w:numId w:val="1"/>
        </w:numPr>
        <w:rPr>
          <w:rFonts w:ascii="MS PGothic" w:cs="MS PGothic" w:eastAsia="MS PGothic" w:hAnsi="MS PGothic"/>
          <w:sz w:val="18"/>
          <w:szCs w:val="18"/>
          <w:color w:val="262626"/>
        </w:rPr>
      </w:pPr>
      <w:r>
        <w:rPr>
          <w:rFonts w:ascii="Arial" w:cs="Arial" w:eastAsia="Arial" w:hAnsi="Arial"/>
          <w:sz w:val="18"/>
          <w:szCs w:val="18"/>
          <w:color w:val="262626"/>
        </w:rPr>
        <w:t>Preliminary Proxy Statement</w:t>
      </w:r>
    </w:p>
    <w:p>
      <w:pPr>
        <w:spacing w:after="0" w:line="61" w:lineRule="exact"/>
        <w:rPr>
          <w:rFonts w:ascii="MS PGothic" w:cs="MS PGothic" w:eastAsia="MS PGothic" w:hAnsi="MS PGothic"/>
          <w:sz w:val="18"/>
          <w:szCs w:val="18"/>
          <w:color w:val="262626"/>
        </w:rPr>
      </w:pPr>
    </w:p>
    <w:p>
      <w:pPr>
        <w:ind w:left="420" w:hanging="372"/>
        <w:spacing w:after="0"/>
        <w:tabs>
          <w:tab w:leader="none" w:pos="420" w:val="left"/>
        </w:tabs>
        <w:numPr>
          <w:ilvl w:val="0"/>
          <w:numId w:val="1"/>
        </w:numPr>
        <w:rPr>
          <w:rFonts w:ascii="MS PGothic" w:cs="MS PGothic" w:eastAsia="MS PGothic" w:hAnsi="MS PGothic"/>
          <w:sz w:val="18"/>
          <w:szCs w:val="18"/>
          <w:color w:val="262626"/>
        </w:rPr>
      </w:pPr>
      <w:r>
        <w:rPr>
          <w:rFonts w:ascii="Arial" w:cs="Arial" w:eastAsia="Arial" w:hAnsi="Arial"/>
          <w:sz w:val="18"/>
          <w:szCs w:val="18"/>
          <w:b w:val="1"/>
          <w:bCs w:val="1"/>
          <w:color w:val="262626"/>
        </w:rPr>
        <w:t>Confidential, for Use of the Commission Only (as permitted by Rule 14a-6(e)(2))</w:t>
      </w:r>
    </w:p>
    <w:p>
      <w:pPr>
        <w:spacing w:after="0" w:line="65" w:lineRule="exact"/>
        <w:rPr>
          <w:rFonts w:ascii="MS PGothic" w:cs="MS PGothic" w:eastAsia="MS PGothic" w:hAnsi="MS PGothic"/>
          <w:sz w:val="18"/>
          <w:szCs w:val="18"/>
          <w:color w:val="262626"/>
        </w:rPr>
      </w:pPr>
    </w:p>
    <w:p>
      <w:pPr>
        <w:ind w:left="420" w:hanging="372"/>
        <w:spacing w:after="0"/>
        <w:tabs>
          <w:tab w:leader="none" w:pos="420" w:val="left"/>
        </w:tabs>
        <w:numPr>
          <w:ilvl w:val="0"/>
          <w:numId w:val="1"/>
        </w:numPr>
        <w:rPr>
          <w:rFonts w:ascii="MS PGothic" w:cs="MS PGothic" w:eastAsia="MS PGothic" w:hAnsi="MS PGothic"/>
          <w:sz w:val="18"/>
          <w:szCs w:val="18"/>
          <w:color w:val="262626"/>
        </w:rPr>
      </w:pPr>
      <w:r>
        <w:rPr>
          <w:rFonts w:ascii="Arial" w:cs="Arial" w:eastAsia="Arial" w:hAnsi="Arial"/>
          <w:sz w:val="18"/>
          <w:szCs w:val="18"/>
          <w:color w:val="262626"/>
        </w:rPr>
        <w:t>Definitive Proxy Statement</w:t>
      </w:r>
    </w:p>
    <w:p>
      <w:pPr>
        <w:spacing w:after="0" w:line="63" w:lineRule="exact"/>
        <w:rPr>
          <w:sz w:val="24"/>
          <w:szCs w:val="24"/>
          <w:color w:val="auto"/>
        </w:rPr>
      </w:pPr>
    </w:p>
    <w:p>
      <w:pPr>
        <w:ind w:left="420" w:hanging="372"/>
        <w:spacing w:after="0"/>
        <w:tabs>
          <w:tab w:leader="none" w:pos="420" w:val="left"/>
        </w:tabs>
        <w:numPr>
          <w:ilvl w:val="0"/>
          <w:numId w:val="2"/>
        </w:numPr>
        <w:rPr>
          <w:rFonts w:ascii="MS PGothic" w:cs="MS PGothic" w:eastAsia="MS PGothic" w:hAnsi="MS PGothic"/>
          <w:sz w:val="18"/>
          <w:szCs w:val="18"/>
          <w:color w:val="262626"/>
        </w:rPr>
      </w:pPr>
      <w:r>
        <w:rPr>
          <w:rFonts w:ascii="Arial" w:cs="Arial" w:eastAsia="Arial" w:hAnsi="Arial"/>
          <w:sz w:val="18"/>
          <w:szCs w:val="18"/>
          <w:color w:val="262626"/>
        </w:rPr>
        <w:t>Definitive Additional Materials</w:t>
      </w:r>
    </w:p>
    <w:p>
      <w:pPr>
        <w:spacing w:after="0" w:line="63" w:lineRule="exact"/>
        <w:rPr>
          <w:sz w:val="24"/>
          <w:szCs w:val="24"/>
          <w:color w:val="auto"/>
        </w:rPr>
      </w:pPr>
    </w:p>
    <w:p>
      <w:pPr>
        <w:ind w:left="420" w:hanging="372"/>
        <w:spacing w:after="0"/>
        <w:tabs>
          <w:tab w:leader="none" w:pos="420" w:val="left"/>
        </w:tabs>
        <w:numPr>
          <w:ilvl w:val="0"/>
          <w:numId w:val="3"/>
        </w:numPr>
        <w:rPr>
          <w:rFonts w:ascii="MS PGothic" w:cs="MS PGothic" w:eastAsia="MS PGothic" w:hAnsi="MS PGothic"/>
          <w:sz w:val="18"/>
          <w:szCs w:val="18"/>
          <w:color w:val="262626"/>
        </w:rPr>
      </w:pPr>
      <w:r>
        <w:rPr>
          <w:rFonts w:ascii="Arial" w:cs="Arial" w:eastAsia="Arial" w:hAnsi="Arial"/>
          <w:sz w:val="18"/>
          <w:szCs w:val="18"/>
          <w:color w:val="262626"/>
        </w:rPr>
        <w:t>Soliciting Material Pursuant to §240.14a-12</w:t>
      </w:r>
    </w:p>
    <w:p>
      <w:pPr>
        <w:spacing w:after="0" w:line="61"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262626"/>
        </w:rPr>
        <w:t>BROADCOM INC.</w:t>
      </w:r>
    </w:p>
    <w:p>
      <w:pPr>
        <w:spacing w:after="0" w:line="63"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262626"/>
        </w:rPr>
        <w:t>(Name of Registrant as Specified In Its Charter)</w:t>
      </w:r>
    </w:p>
    <w:p>
      <w:pPr>
        <w:spacing w:after="0" w:line="63"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262626"/>
        </w:rPr>
        <w:t>(Name of Person(s) Filing Proxy Statement, if other than the Registrant)</w:t>
      </w:r>
    </w:p>
    <w:p>
      <w:pPr>
        <w:spacing w:after="0" w:line="65" w:lineRule="exact"/>
        <w:rPr>
          <w:sz w:val="24"/>
          <w:szCs w:val="24"/>
          <w:color w:val="auto"/>
        </w:rPr>
      </w:pPr>
    </w:p>
    <w:p>
      <w:pPr>
        <w:spacing w:after="0"/>
        <w:rPr>
          <w:sz w:val="20"/>
          <w:szCs w:val="20"/>
          <w:color w:val="auto"/>
        </w:rPr>
      </w:pPr>
      <w:r>
        <w:rPr>
          <w:rFonts w:ascii="Arial" w:cs="Arial" w:eastAsia="Arial" w:hAnsi="Arial"/>
          <w:sz w:val="18"/>
          <w:szCs w:val="18"/>
          <w:color w:val="262626"/>
        </w:rPr>
        <w:t>Payment of Filing Fee (Check the appropriate box):</w:t>
      </w:r>
    </w:p>
    <w:p>
      <w:pPr>
        <w:spacing w:after="0" w:line="360" w:lineRule="exact"/>
        <w:rPr>
          <w:sz w:val="24"/>
          <w:szCs w:val="24"/>
          <w:color w:val="auto"/>
        </w:rPr>
      </w:pPr>
    </w:p>
    <w:p>
      <w:pPr>
        <w:ind w:left="400" w:hanging="361"/>
        <w:spacing w:after="0"/>
        <w:tabs>
          <w:tab w:leader="none" w:pos="400" w:val="left"/>
        </w:tabs>
        <w:numPr>
          <w:ilvl w:val="0"/>
          <w:numId w:val="4"/>
        </w:numPr>
        <w:rPr>
          <w:rFonts w:ascii="MS PGothic" w:cs="MS PGothic" w:eastAsia="MS PGothic" w:hAnsi="MS PGothic"/>
          <w:sz w:val="18"/>
          <w:szCs w:val="18"/>
          <w:color w:val="262626"/>
        </w:rPr>
      </w:pPr>
      <w:r>
        <w:rPr>
          <w:rFonts w:ascii="Arial" w:cs="Arial" w:eastAsia="Arial" w:hAnsi="Arial"/>
          <w:sz w:val="18"/>
          <w:szCs w:val="18"/>
          <w:color w:val="262626"/>
        </w:rPr>
        <w:t>No fee required.</w:t>
      </w:r>
    </w:p>
    <w:p>
      <w:pPr>
        <w:spacing w:after="0" w:line="40" w:lineRule="exact"/>
        <w:rPr>
          <w:sz w:val="24"/>
          <w:szCs w:val="24"/>
          <w:color w:val="auto"/>
        </w:rPr>
      </w:pPr>
    </w:p>
    <w:p>
      <w:pPr>
        <w:ind w:left="400" w:hanging="361"/>
        <w:spacing w:after="0"/>
        <w:tabs>
          <w:tab w:leader="none" w:pos="400" w:val="left"/>
        </w:tabs>
        <w:numPr>
          <w:ilvl w:val="0"/>
          <w:numId w:val="5"/>
        </w:numPr>
        <w:rPr>
          <w:rFonts w:ascii="MS PGothic" w:cs="MS PGothic" w:eastAsia="MS PGothic" w:hAnsi="MS PGothic"/>
          <w:sz w:val="18"/>
          <w:szCs w:val="18"/>
          <w:color w:val="262626"/>
        </w:rPr>
      </w:pPr>
      <w:r>
        <w:rPr>
          <w:rFonts w:ascii="Arial" w:cs="Arial" w:eastAsia="Arial" w:hAnsi="Arial"/>
          <w:sz w:val="18"/>
          <w:szCs w:val="18"/>
          <w:color w:val="262626"/>
        </w:rPr>
        <w:t>Fee computed on table below per Exchange Act Rules 14a-6(i)(1) and 0-11.</w:t>
      </w:r>
    </w:p>
    <w:p>
      <w:pPr>
        <w:spacing w:after="0" w:line="26" w:lineRule="exact"/>
        <w:rPr>
          <w:rFonts w:ascii="MS PGothic" w:cs="MS PGothic" w:eastAsia="MS PGothic" w:hAnsi="MS PGothic"/>
          <w:sz w:val="18"/>
          <w:szCs w:val="18"/>
          <w:color w:val="262626"/>
        </w:rPr>
      </w:pPr>
    </w:p>
    <w:p>
      <w:pPr>
        <w:ind w:left="900" w:hanging="496"/>
        <w:spacing w:after="0"/>
        <w:tabs>
          <w:tab w:leader="none" w:pos="900" w:val="left"/>
        </w:tabs>
        <w:numPr>
          <w:ilvl w:val="1"/>
          <w:numId w:val="5"/>
        </w:numPr>
        <w:rPr>
          <w:rFonts w:ascii="Arial" w:cs="Arial" w:eastAsia="Arial" w:hAnsi="Arial"/>
          <w:sz w:val="18"/>
          <w:szCs w:val="18"/>
          <w:color w:val="262626"/>
        </w:rPr>
      </w:pPr>
      <w:r>
        <w:rPr>
          <w:rFonts w:ascii="Arial" w:cs="Arial" w:eastAsia="Arial" w:hAnsi="Arial"/>
          <w:sz w:val="18"/>
          <w:szCs w:val="18"/>
          <w:color w:val="262626"/>
        </w:rPr>
        <w:t>Title of each class of securities to which transaction applies:</w:t>
      </w:r>
    </w:p>
    <w:p>
      <w:pPr>
        <w:spacing w:after="0" w:line="13" w:lineRule="exact"/>
        <w:rPr>
          <w:rFonts w:ascii="Arial" w:cs="Arial" w:eastAsia="Arial" w:hAnsi="Arial"/>
          <w:sz w:val="18"/>
          <w:szCs w:val="18"/>
          <w:color w:val="262626"/>
        </w:rPr>
      </w:pPr>
    </w:p>
    <w:p>
      <w:pPr>
        <w:ind w:left="900" w:hanging="496"/>
        <w:spacing w:after="0"/>
        <w:tabs>
          <w:tab w:leader="none" w:pos="900" w:val="left"/>
        </w:tabs>
        <w:numPr>
          <w:ilvl w:val="1"/>
          <w:numId w:val="5"/>
        </w:numPr>
        <w:rPr>
          <w:rFonts w:ascii="Arial" w:cs="Arial" w:eastAsia="Arial" w:hAnsi="Arial"/>
          <w:sz w:val="18"/>
          <w:szCs w:val="18"/>
          <w:color w:val="262626"/>
        </w:rPr>
      </w:pPr>
      <w:r>
        <w:rPr>
          <w:rFonts w:ascii="Arial" w:cs="Arial" w:eastAsia="Arial" w:hAnsi="Arial"/>
          <w:sz w:val="18"/>
          <w:szCs w:val="18"/>
          <w:color w:val="262626"/>
        </w:rPr>
        <w:t>Aggregate number of securities to which transaction applies:</w:t>
      </w:r>
    </w:p>
    <w:p>
      <w:pPr>
        <w:spacing w:after="0" w:line="22" w:lineRule="exact"/>
        <w:rPr>
          <w:rFonts w:ascii="Arial" w:cs="Arial" w:eastAsia="Arial" w:hAnsi="Arial"/>
          <w:sz w:val="18"/>
          <w:szCs w:val="18"/>
          <w:color w:val="262626"/>
        </w:rPr>
      </w:pPr>
    </w:p>
    <w:p>
      <w:pPr>
        <w:ind w:left="900" w:right="200" w:hanging="496"/>
        <w:spacing w:after="0" w:line="234" w:lineRule="auto"/>
        <w:tabs>
          <w:tab w:leader="none" w:pos="900" w:val="left"/>
        </w:tabs>
        <w:numPr>
          <w:ilvl w:val="1"/>
          <w:numId w:val="5"/>
        </w:numPr>
        <w:rPr>
          <w:rFonts w:ascii="Arial" w:cs="Arial" w:eastAsia="Arial" w:hAnsi="Arial"/>
          <w:sz w:val="18"/>
          <w:szCs w:val="18"/>
          <w:color w:val="262626"/>
        </w:rPr>
      </w:pPr>
      <w:r>
        <w:rPr>
          <w:rFonts w:ascii="Arial" w:cs="Arial" w:eastAsia="Arial" w:hAnsi="Arial"/>
          <w:sz w:val="18"/>
          <w:szCs w:val="18"/>
          <w:color w:val="262626"/>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262626"/>
        </w:rPr>
      </w:pPr>
    </w:p>
    <w:p>
      <w:pPr>
        <w:ind w:left="900" w:hanging="496"/>
        <w:spacing w:after="0"/>
        <w:tabs>
          <w:tab w:leader="none" w:pos="900" w:val="left"/>
        </w:tabs>
        <w:numPr>
          <w:ilvl w:val="1"/>
          <w:numId w:val="5"/>
        </w:numPr>
        <w:rPr>
          <w:rFonts w:ascii="Arial" w:cs="Arial" w:eastAsia="Arial" w:hAnsi="Arial"/>
          <w:sz w:val="18"/>
          <w:szCs w:val="18"/>
          <w:color w:val="262626"/>
        </w:rPr>
      </w:pPr>
      <w:r>
        <w:rPr>
          <w:rFonts w:ascii="Arial" w:cs="Arial" w:eastAsia="Arial" w:hAnsi="Arial"/>
          <w:sz w:val="18"/>
          <w:szCs w:val="18"/>
          <w:color w:val="262626"/>
        </w:rPr>
        <w:t>Proposed maximum aggregate value of transaction:</w:t>
      </w:r>
    </w:p>
    <w:p>
      <w:pPr>
        <w:spacing w:after="0" w:line="22" w:lineRule="exact"/>
        <w:rPr>
          <w:rFonts w:ascii="Arial" w:cs="Arial" w:eastAsia="Arial" w:hAnsi="Arial"/>
          <w:sz w:val="18"/>
          <w:szCs w:val="18"/>
          <w:color w:val="262626"/>
        </w:rPr>
      </w:pPr>
    </w:p>
    <w:p>
      <w:pPr>
        <w:ind w:left="900" w:hanging="496"/>
        <w:spacing w:after="0"/>
        <w:tabs>
          <w:tab w:leader="none" w:pos="900" w:val="left"/>
        </w:tabs>
        <w:numPr>
          <w:ilvl w:val="1"/>
          <w:numId w:val="5"/>
        </w:numPr>
        <w:rPr>
          <w:rFonts w:ascii="Arial" w:cs="Arial" w:eastAsia="Arial" w:hAnsi="Arial"/>
          <w:sz w:val="18"/>
          <w:szCs w:val="18"/>
          <w:color w:val="262626"/>
        </w:rPr>
      </w:pPr>
      <w:r>
        <w:rPr>
          <w:rFonts w:ascii="Arial" w:cs="Arial" w:eastAsia="Arial" w:hAnsi="Arial"/>
          <w:sz w:val="18"/>
          <w:szCs w:val="18"/>
          <w:color w:val="262626"/>
        </w:rPr>
        <w:t>Total fee paid:</w:t>
      </w:r>
    </w:p>
    <w:p>
      <w:pPr>
        <w:spacing w:after="0" w:line="22" w:lineRule="exact"/>
        <w:rPr>
          <w:rFonts w:ascii="Arial" w:cs="Arial" w:eastAsia="Arial" w:hAnsi="Arial"/>
          <w:sz w:val="18"/>
          <w:szCs w:val="18"/>
          <w:color w:val="262626"/>
        </w:rPr>
      </w:pPr>
    </w:p>
    <w:p>
      <w:pPr>
        <w:ind w:left="400" w:hanging="361"/>
        <w:spacing w:after="0"/>
        <w:tabs>
          <w:tab w:leader="none" w:pos="400" w:val="left"/>
        </w:tabs>
        <w:numPr>
          <w:ilvl w:val="0"/>
          <w:numId w:val="5"/>
        </w:numPr>
        <w:rPr>
          <w:rFonts w:ascii="MS PGothic" w:cs="MS PGothic" w:eastAsia="MS PGothic" w:hAnsi="MS PGothic"/>
          <w:sz w:val="18"/>
          <w:szCs w:val="18"/>
          <w:color w:val="262626"/>
        </w:rPr>
      </w:pPr>
      <w:r>
        <w:rPr>
          <w:rFonts w:ascii="Arial" w:cs="Arial" w:eastAsia="Arial" w:hAnsi="Arial"/>
          <w:sz w:val="18"/>
          <w:szCs w:val="18"/>
          <w:color w:val="262626"/>
        </w:rPr>
        <w:t>Fee paid previously with preliminary materials.</w:t>
      </w:r>
    </w:p>
    <w:p>
      <w:pPr>
        <w:spacing w:after="0" w:line="31" w:lineRule="exact"/>
        <w:rPr>
          <w:rFonts w:ascii="MS PGothic" w:cs="MS PGothic" w:eastAsia="MS PGothic" w:hAnsi="MS PGothic"/>
          <w:sz w:val="18"/>
          <w:szCs w:val="18"/>
          <w:color w:val="262626"/>
        </w:rPr>
      </w:pPr>
    </w:p>
    <w:p>
      <w:pPr>
        <w:ind w:left="400" w:hanging="361"/>
        <w:spacing w:after="0" w:line="243" w:lineRule="auto"/>
        <w:tabs>
          <w:tab w:leader="none" w:pos="400" w:val="left"/>
        </w:tabs>
        <w:numPr>
          <w:ilvl w:val="0"/>
          <w:numId w:val="5"/>
        </w:numPr>
        <w:rPr>
          <w:rFonts w:ascii="MS PGothic" w:cs="MS PGothic" w:eastAsia="MS PGothic" w:hAnsi="MS PGothic"/>
          <w:sz w:val="17"/>
          <w:szCs w:val="17"/>
          <w:color w:val="262626"/>
        </w:rPr>
      </w:pPr>
      <w:r>
        <w:rPr>
          <w:rFonts w:ascii="Arial" w:cs="Arial" w:eastAsia="Arial" w:hAnsi="Arial"/>
          <w:sz w:val="17"/>
          <w:szCs w:val="17"/>
          <w:color w:val="262626"/>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00" w:hanging="496"/>
        <w:spacing w:after="0"/>
        <w:tabs>
          <w:tab w:leader="none" w:pos="900" w:val="left"/>
        </w:tabs>
        <w:numPr>
          <w:ilvl w:val="1"/>
          <w:numId w:val="5"/>
        </w:numPr>
        <w:rPr>
          <w:rFonts w:ascii="Arial" w:cs="Arial" w:eastAsia="Arial" w:hAnsi="Arial"/>
          <w:sz w:val="18"/>
          <w:szCs w:val="18"/>
          <w:color w:val="262626"/>
        </w:rPr>
      </w:pPr>
      <w:r>
        <w:rPr>
          <w:rFonts w:ascii="Arial" w:cs="Arial" w:eastAsia="Arial" w:hAnsi="Arial"/>
          <w:sz w:val="18"/>
          <w:szCs w:val="18"/>
          <w:color w:val="262626"/>
        </w:rPr>
        <w:t>Amount Previously Paid:</w:t>
      </w:r>
    </w:p>
    <w:p>
      <w:pPr>
        <w:spacing w:after="0" w:line="22" w:lineRule="exact"/>
        <w:rPr>
          <w:rFonts w:ascii="Arial" w:cs="Arial" w:eastAsia="Arial" w:hAnsi="Arial"/>
          <w:sz w:val="18"/>
          <w:szCs w:val="18"/>
          <w:color w:val="262626"/>
        </w:rPr>
      </w:pPr>
    </w:p>
    <w:p>
      <w:pPr>
        <w:ind w:left="900" w:hanging="496"/>
        <w:spacing w:after="0"/>
        <w:tabs>
          <w:tab w:leader="none" w:pos="900" w:val="left"/>
        </w:tabs>
        <w:numPr>
          <w:ilvl w:val="1"/>
          <w:numId w:val="5"/>
        </w:numPr>
        <w:rPr>
          <w:rFonts w:ascii="Arial" w:cs="Arial" w:eastAsia="Arial" w:hAnsi="Arial"/>
          <w:sz w:val="18"/>
          <w:szCs w:val="18"/>
          <w:color w:val="262626"/>
        </w:rPr>
      </w:pPr>
      <w:r>
        <w:rPr>
          <w:rFonts w:ascii="Arial" w:cs="Arial" w:eastAsia="Arial" w:hAnsi="Arial"/>
          <w:sz w:val="18"/>
          <w:szCs w:val="18"/>
          <w:color w:val="262626"/>
        </w:rPr>
        <w:t>Form, Schedule or Registration Statement No.:</w:t>
      </w:r>
    </w:p>
    <w:p>
      <w:pPr>
        <w:spacing w:after="0" w:line="22" w:lineRule="exact"/>
        <w:rPr>
          <w:rFonts w:ascii="Arial" w:cs="Arial" w:eastAsia="Arial" w:hAnsi="Arial"/>
          <w:sz w:val="18"/>
          <w:szCs w:val="18"/>
          <w:color w:val="262626"/>
        </w:rPr>
      </w:pPr>
    </w:p>
    <w:p>
      <w:pPr>
        <w:ind w:left="900" w:hanging="496"/>
        <w:spacing w:after="0"/>
        <w:tabs>
          <w:tab w:leader="none" w:pos="900" w:val="left"/>
        </w:tabs>
        <w:numPr>
          <w:ilvl w:val="1"/>
          <w:numId w:val="5"/>
        </w:numPr>
        <w:rPr>
          <w:rFonts w:ascii="Arial" w:cs="Arial" w:eastAsia="Arial" w:hAnsi="Arial"/>
          <w:sz w:val="18"/>
          <w:szCs w:val="18"/>
          <w:color w:val="262626"/>
        </w:rPr>
      </w:pPr>
      <w:r>
        <w:rPr>
          <w:rFonts w:ascii="Arial" w:cs="Arial" w:eastAsia="Arial" w:hAnsi="Arial"/>
          <w:sz w:val="18"/>
          <w:szCs w:val="18"/>
          <w:color w:val="262626"/>
        </w:rPr>
        <w:t>Filing Party:</w:t>
      </w:r>
    </w:p>
    <w:p>
      <w:pPr>
        <w:spacing w:after="0" w:line="22" w:lineRule="exact"/>
        <w:rPr>
          <w:rFonts w:ascii="Arial" w:cs="Arial" w:eastAsia="Arial" w:hAnsi="Arial"/>
          <w:sz w:val="18"/>
          <w:szCs w:val="18"/>
          <w:color w:val="262626"/>
        </w:rPr>
      </w:pPr>
    </w:p>
    <w:p>
      <w:pPr>
        <w:ind w:left="900" w:hanging="496"/>
        <w:spacing w:after="0"/>
        <w:tabs>
          <w:tab w:leader="none" w:pos="900" w:val="left"/>
        </w:tabs>
        <w:numPr>
          <w:ilvl w:val="1"/>
          <w:numId w:val="5"/>
        </w:numPr>
        <w:rPr>
          <w:rFonts w:ascii="Arial" w:cs="Arial" w:eastAsia="Arial" w:hAnsi="Arial"/>
          <w:sz w:val="18"/>
          <w:szCs w:val="18"/>
          <w:color w:val="262626"/>
        </w:rPr>
      </w:pPr>
      <w:r>
        <w:rPr>
          <w:rFonts w:ascii="Arial" w:cs="Arial" w:eastAsia="Arial" w:hAnsi="Arial"/>
          <w:sz w:val="18"/>
          <w:szCs w:val="18"/>
          <w:color w:val="262626"/>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5863590" cy="7578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78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5863590" cy="7586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5863590" cy="75863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5863590" cy="75863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2021-02-19T15:26:15Z</dcterms:created>
  <dcterms:modified xsi:type="dcterms:W3CDTF">2021-02-19T15:26:15Z</dcterms:modified>
</cp:coreProperties>
</file>