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890926.xml.htm"/>
      <w:bookmarkStart w:id="1" w:name="kswkform4_1776890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Bryant Diane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BROADCOM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3421 HILLVIEW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Broadcom Inc.</w:t>
              </w:r>
            </w:hyperlink>
            <w:r>
              <w:rPr/>
              <w:t xml:space="preserve"> [ </w:t>
            </w:r>
            <w:r>
              <w:rPr>
                <w:rFonts w:ascii="Times;serif" w:hAnsi="Times;serif"/>
                <w:color w:val="0000FF"/>
                <w:sz w:val="24"/>
                <w:shd w:fill="FFFFFF" w:val="clear"/>
              </w:rPr>
              <w:t>AVGO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6"/>
        <w:gridCol w:w="906"/>
        <w:gridCol w:w="774"/>
        <w:gridCol w:w="601"/>
        <w:gridCol w:w="351"/>
        <w:gridCol w:w="811"/>
        <w:gridCol w:w="460"/>
        <w:gridCol w:w="623"/>
        <w:gridCol w:w="1173"/>
        <w:gridCol w:w="1005"/>
        <w:gridCol w:w="10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864</w:t>
            </w:r>
            <w:r>
              <w:rPr>
                <w:rFonts w:ascii="Times;serif" w:hAnsi="Times;serif"/>
                <w:color w:val="008000"/>
                <w:position w:val="7"/>
                <w:sz w:val="16"/>
                <w:sz w:val="20"/>
                <w:shd w:fill="FFFFFF" w:val="clear"/>
              </w:rPr>
              <w:t>(1)</w:t>
            </w:r>
            <w:r>
              <w:rPr/>
              <w:t xml:space="preserve"> </w:t>
            </w:r>
          </w:p>
        </w:tc>
        <w:tc>
          <w:tcPr>
            <w:tcW w:w="4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8,926</w:t>
            </w:r>
            <w:r>
              <w:rPr>
                <w:rFonts w:ascii="Times;serif" w:hAnsi="Times;serif"/>
                <w:color w:val="008000"/>
                <w:position w:val="7"/>
                <w:sz w:val="16"/>
                <w:sz w:val="20"/>
                <w:shd w:fill="FFFFFF" w:val="clear"/>
              </w:rPr>
              <w:t>(2)</w:t>
            </w:r>
            <w:r>
              <w:rPr/>
              <w:t xml:space="preserve"> </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("RSU") award fully vests on the earlier of (i) April 19, 2027 or (ii) the date of the Issuer's 2027 annual meeting of stockholders, subject to the Reporting Person's continued service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864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Diane M. Bryant Trust u/a/d 11/08/17,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Noelle Matteson, Attorney-in-Fact for Diane M. Bryant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7544" TargetMode="External"/><Relationship Id="rId5" Type="http://schemas.openxmlformats.org/officeDocument/2006/relationships/hyperlink" Target="http://www.sec.gov/cgi-bin/browse-edgar?action=getcompany&amp;CIK=0001730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3421</Characters>
  <CharactersWithSpaces>3995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