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41" w:lineRule="exact"/>
        <w:rPr>
          <w:sz w:val="24"/>
          <w:szCs w:val="24"/>
          <w:color w:val="auto"/>
        </w:rPr>
      </w:pPr>
    </w:p>
    <w:p>
      <w:pPr>
        <w:sectPr>
          <w:pgSz w:w="11900" w:h="16838" w:orient="portrait"/>
          <w:cols w:equalWidth="0" w:num="3">
            <w:col w:w="4064" w:space="720"/>
            <w:col w:w="2640" w:space="720"/>
            <w:col w:w="28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On June 17, 2026, Broadcom Inc. (the “Company”) issued a press release announcing the pricing terms of the previously announced cash tender offers (the “Offers”) for certain of its debt securities. A copy of the press release is attached hereto as Exhibit 99.1 and is incorporated by reference herein.</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17, 2026, the Company issued a press release announcing the expiration, upsize and results of the Offers. A copy of the press release is attached hereto as Exhibit 99.2 and is incorporated by reference herein.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0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0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Broadcom Inc. dated June 17, 2026.</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Broadcom Inc. dated June 17, 2026.</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Amie Thuener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Amie Thuener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ind w:left="1008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Broadcom Inc. Announces Pricing Terms of Offers to Purchase for Cash Certain of its Outstanding Debt Securities</w:t>
      </w:r>
    </w:p>
    <w:p>
      <w:pPr>
        <w:spacing w:after="0" w:line="225" w:lineRule="exact"/>
        <w:rPr>
          <w:sz w:val="20"/>
          <w:szCs w:val="20"/>
          <w:color w:val="auto"/>
        </w:rPr>
      </w:pPr>
    </w:p>
    <w:p>
      <w:pPr>
        <w:ind w:left="4" w:right="180"/>
        <w:spacing w:after="0" w:line="262" w:lineRule="auto"/>
        <w:rPr>
          <w:sz w:val="20"/>
          <w:szCs w:val="20"/>
          <w:color w:val="auto"/>
        </w:rPr>
      </w:pPr>
      <w:r>
        <w:rPr>
          <w:rFonts w:ascii="Times New Roman" w:cs="Times New Roman" w:eastAsia="Times New Roman" w:hAnsi="Times New Roman"/>
          <w:sz w:val="18"/>
          <w:szCs w:val="18"/>
          <w:color w:val="auto"/>
        </w:rPr>
        <w:t>PALO ALTO, Calif., June 17, 2026 — Broadcom Inc. (NASDAQ: AVGO) (“</w:t>
      </w:r>
      <w:r>
        <w:rPr>
          <w:rFonts w:ascii="Times New Roman" w:cs="Times New Roman" w:eastAsia="Times New Roman" w:hAnsi="Times New Roman"/>
          <w:sz w:val="18"/>
          <w:szCs w:val="18"/>
          <w:b w:val="1"/>
          <w:bCs w:val="1"/>
          <w:color w:val="auto"/>
        </w:rPr>
        <w:t>Broadcom</w:t>
      </w:r>
      <w:r>
        <w:rPr>
          <w:rFonts w:ascii="Times New Roman" w:cs="Times New Roman" w:eastAsia="Times New Roman" w:hAnsi="Times New Roman"/>
          <w:sz w:val="18"/>
          <w:szCs w:val="18"/>
          <w:color w:val="auto"/>
        </w:rPr>
        <w:t>”) today announced the pricing terms of its previously announced cash tender offers (collectively, the “</w:t>
      </w:r>
      <w:r>
        <w:rPr>
          <w:rFonts w:ascii="Times New Roman" w:cs="Times New Roman" w:eastAsia="Times New Roman" w:hAnsi="Times New Roman"/>
          <w:sz w:val="18"/>
          <w:szCs w:val="18"/>
          <w:b w:val="1"/>
          <w:bCs w:val="1"/>
          <w:color w:val="auto"/>
        </w:rPr>
        <w:t>Offers</w:t>
      </w:r>
      <w:r>
        <w:rPr>
          <w:rFonts w:ascii="Times New Roman" w:cs="Times New Roman" w:eastAsia="Times New Roman" w:hAnsi="Times New Roman"/>
          <w:sz w:val="18"/>
          <w:szCs w:val="18"/>
          <w:color w:val="auto"/>
        </w:rPr>
        <w:t>”) to purchase the outstanding notes described below, in each case upon the terms and subject to the conditions set forth in the Offer to Purchase dated June 11,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accompanying notice of guaranteed delivery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Notes offered to be purchased in the Offers, in the order of acceptance priority, are the 4.926% Senior Notes due 2037; 4.900% Senior Notes due 2038; 5.050% Senior Notes due 2030; 5.200% Senior Notes due 2032; 5.150% Senior Notes due 2031 and 4.900% Senior Notes due 2032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for the consideration described below, up to an aggregate purchase price, excluding the Accrued Coupon Payment, of $2.5 billion (the “</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Broadcom may, but is under no obligation to, increase the Consideration Cap Amount. If a given Series of Notes is accepted for purchase pursuant to the Offers, all Notes of that Series that are validly tendered and not validly withdrawn will be accepted for purchase. If the Consideration Cap Condition is not satisfied for a Series of Notes, such Series of Notes may not be accepted for purchase even if one or more Series with a higher or lower Acceptance Priority Level are accepted for purchase. Capitalized terms used but not defined in this press release have the meanings given to them in the Offer to Purchase.</w:t>
      </w:r>
    </w:p>
    <w:p>
      <w:pPr>
        <w:spacing w:after="0" w:line="19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table below provides the applicable Total Consideration for each Series of Notes, calculated as of 11:00 a.m., New York City time, today, June 17, 2026, in accordance with the Offer to Purchase.</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of</w:t>
            </w: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CUSIP/ISIN</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980" w:type="dxa"/>
            <w:vAlign w:val="bottom"/>
            <w:gridSpan w:val="2"/>
            <w:vMerge w:val="continue"/>
          </w:tcPr>
          <w:p>
            <w:pPr>
              <w:spacing w:after="0"/>
              <w:rPr>
                <w:sz w:val="12"/>
                <w:szCs w:val="12"/>
                <w:color w:val="auto"/>
              </w:rPr>
            </w:pPr>
          </w:p>
        </w:tc>
        <w:tc>
          <w:tcPr>
            <w:tcW w:w="14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96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17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4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12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0"/>
                <w:szCs w:val="10"/>
                <w:b w:val="1"/>
                <w:bCs w:val="1"/>
                <w:color w:val="auto"/>
              </w:rPr>
              <w:t>(1)</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Consideration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34"/>
        </w:trPr>
        <w:tc>
          <w:tcPr>
            <w:tcW w:w="15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4.926% Senior</w:t>
            </w:r>
          </w:p>
        </w:tc>
        <w:tc>
          <w:tcPr>
            <w:tcW w:w="16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144A: 11135FBV2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$2,500,000,000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4.443%</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$982.01</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US11135FBV22</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2037</w:t>
            </w:r>
          </w:p>
        </w:tc>
        <w:tc>
          <w:tcPr>
            <w:tcW w:w="2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RegS: U1109MBA3 /</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May 15, 2036</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USU1109MBA37</w:t>
            </w: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4.900% Senior</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11135FCX7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$1,750,000,000</w:t>
            </w:r>
          </w:p>
        </w:tc>
        <w:tc>
          <w:tcPr>
            <w:tcW w:w="2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4.443%</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$970.29</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US11135FCX78</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May 15, 2036</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5.050% Senior</w:t>
            </w:r>
          </w:p>
        </w:tc>
        <w:tc>
          <w:tcPr>
            <w:tcW w:w="16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9"/>
              </w:rPr>
              <w:t>11135FCF6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$800,000,000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4.177%</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$1,021.24</w:t>
            </w: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US11135FCF62</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May 31, 2031</w:t>
            </w: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5.200% Senior</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11135FCG4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$1,100,000,000</w:t>
            </w:r>
          </w:p>
        </w:tc>
        <w:tc>
          <w:tcPr>
            <w:tcW w:w="2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4.177%</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$1,023.23</w:t>
            </w:r>
          </w:p>
        </w:tc>
        <w:tc>
          <w:tcPr>
            <w:tcW w:w="0" w:type="dxa"/>
            <w:vAlign w:val="bottom"/>
          </w:tcPr>
          <w:p>
            <w:pPr>
              <w:spacing w:after="0"/>
              <w:rPr>
                <w:sz w:val="1"/>
                <w:szCs w:val="1"/>
                <w:color w:val="auto"/>
              </w:rPr>
            </w:pPr>
          </w:p>
        </w:tc>
      </w:tr>
      <w:tr>
        <w:trPr>
          <w:trHeight w:val="148"/>
        </w:trPr>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US11135FCG46</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May 31, 2031</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5.150% Senior</w:t>
            </w:r>
          </w:p>
        </w:tc>
        <w:tc>
          <w:tcPr>
            <w:tcW w:w="16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11135FBY6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$1,500,000,000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8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4.125% U.S.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4.177%</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$1,021.77</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US11135FBY60</w:t>
            </w: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2031</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May 31, 2031</w:t>
            </w: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4.900% Senior</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11135FCL3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$1,750,000,000</w:t>
            </w:r>
          </w:p>
        </w:tc>
        <w:tc>
          <w:tcPr>
            <w:tcW w:w="2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80" w:type="dxa"/>
            <w:vAlign w:val="bottom"/>
          </w:tcPr>
          <w:p>
            <w:pPr>
              <w:spacing w:after="0"/>
              <w:rPr>
                <w:sz w:val="15"/>
                <w:szCs w:val="15"/>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4.125% U.S.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4.177%</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FIT 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$1,003.73</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US11135FCL31</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May 31, 2031</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122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4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representation is made as to the correctness or accuracy of the CUSIP or ISIN numbers listed above.</w:t>
      </w:r>
    </w:p>
    <w:p>
      <w:pPr>
        <w:spacing w:after="0" w:line="3" w:lineRule="exact"/>
        <w:rPr>
          <w:rFonts w:ascii="Times New Roman" w:cs="Times New Roman" w:eastAsia="Times New Roman" w:hAnsi="Times New Roman"/>
          <w:sz w:val="14"/>
          <w:szCs w:val="14"/>
          <w:color w:val="auto"/>
        </w:rPr>
      </w:pPr>
    </w:p>
    <w:p>
      <w:pPr>
        <w:ind w:left="424" w:right="540" w:hanging="424"/>
        <w:spacing w:after="0" w:line="239" w:lineRule="auto"/>
        <w:tabs>
          <w:tab w:leader="none" w:pos="42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consideration for each Series of Notes (the “</w:t>
      </w:r>
      <w:r>
        <w:rPr>
          <w:rFonts w:ascii="Times New Roman" w:cs="Times New Roman" w:eastAsia="Times New Roman" w:hAnsi="Times New Roman"/>
          <w:sz w:val="14"/>
          <w:szCs w:val="14"/>
          <w:b w:val="1"/>
          <w:bCs w:val="1"/>
          <w:color w:val="auto"/>
        </w:rPr>
        <w:t>Total Consideration</w:t>
      </w:r>
      <w:r>
        <w:rPr>
          <w:rFonts w:ascii="Times New Roman" w:cs="Times New Roman" w:eastAsia="Times New Roman" w:hAnsi="Times New Roman"/>
          <w:sz w:val="14"/>
          <w:szCs w:val="14"/>
          <w:color w:val="auto"/>
        </w:rPr>
        <w:t>”) payable per each $1,000 principal amount of such Series of Notes validly tendered for purchase.</w:t>
      </w:r>
    </w:p>
    <w:p>
      <w:pPr>
        <w:sectPr>
          <w:pgSz w:w="11900" w:h="16838" w:orient="portrait"/>
          <w:cols w:equalWidth="0" w:num="1">
            <w:col w:w="11024"/>
          </w:cols>
          <w:pgMar w:left="436" w:top="117" w:right="439" w:bottom="1440" w:gutter="0" w:footer="0" w:header="0"/>
        </w:sectPr>
      </w:pPr>
    </w:p>
    <w:bookmarkStart w:id="4" w:name="page5"/>
    <w:bookmarkEnd w:id="4"/>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Consideration for each Series of Notes payable per each $1,000 principal amount of such Series of Notes validly tendered for purchase has been based on the applicable Fixed Spread for such Series of Notes, plus the Reference Yield based on the bid-side price of the applicable Reference Security as quoted on the applicable Bloomberg Reference Page as of 11:00 a.m., New York City time, today, June 17, 2026. The Total Consideration does not include the applicable Accrued Coupon Payment, which will be payable in cash in addition to the applicable Total Consideration.</w:t>
      </w:r>
    </w:p>
    <w:p>
      <w:pPr>
        <w:spacing w:after="0" w:line="164"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Offers are scheduled to expire at 5:00 p.m., New York City time, today, June 17, 2026, unless extended or earlier terminated. Notes tendered for purchase may be validly withdrawn at any time at or prior to 5:00 p.m., New York City time, today, June 17, 2026, unless extended by Broadcom.</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deadline to validly tender Notes using the guaranteed delivery procedures is 5:00 p.m., New York City time, on June 22, 2026, unless extended by Broadcom (the “</w:t>
      </w:r>
      <w:r>
        <w:rPr>
          <w:rFonts w:ascii="Times New Roman" w:cs="Times New Roman" w:eastAsia="Times New Roman" w:hAnsi="Times New Roman"/>
          <w:sz w:val="18"/>
          <w:szCs w:val="18"/>
          <w:b w:val="1"/>
          <w:bCs w:val="1"/>
          <w:color w:val="auto"/>
        </w:rPr>
        <w:t>Guaranteed Delivery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Initial Settlement Date will be the first business day after the Expiration Date and is expected to be June 18, 2026. The Guaranteed Delivery Settlement Date will be the first business day after the Guaranteed Delivery Date and is expected to be June 23, 2026. The Offers are subject to certain conditions as described in the Offer to Purchase. If any condition is not satisfied, Broadcom is not obligated to accept for payment, purchase or pay for, and may delay the acceptance for payment of, any tendered Notes, in each case subject to applicable law, and may terminate or alter any or all of the Offers.</w:t>
      </w:r>
    </w:p>
    <w:p>
      <w:pPr>
        <w:spacing w:after="0" w:line="1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Broadcom has retained Barclays Capital Inc. and Citigroup Global Markets Inc. to act as dealer managers (the “</w:t>
      </w:r>
      <w:r>
        <w:rPr>
          <w:rFonts w:ascii="Times New Roman" w:cs="Times New Roman" w:eastAsia="Times New Roman" w:hAnsi="Times New Roman"/>
          <w:sz w:val="18"/>
          <w:szCs w:val="18"/>
          <w:b w:val="1"/>
          <w:bCs w:val="1"/>
          <w:color w:val="auto"/>
        </w:rPr>
        <w:t>Dealer Managers</w:t>
      </w:r>
      <w:r>
        <w:rPr>
          <w:rFonts w:ascii="Times New Roman" w:cs="Times New Roman" w:eastAsia="Times New Roman" w:hAnsi="Times New Roman"/>
          <w:sz w:val="18"/>
          <w:szCs w:val="18"/>
          <w:color w:val="auto"/>
        </w:rPr>
        <w:t>”) for the Offers. D.F. King &amp; Co., Inc. is acting as the Tender and Information Agent for the Offers. For additional information, please contact: Barclays Capital Inc. at +1 (800) 438-3242 (toll-free) or +1 (212) 528-7581 (collect); or Citigroup Global Markets Inc. at +1 (800) 558-3745 (toll-free) or +1 (212) 723-6106 (collect). Requests for documents and questions regarding the tendering of Notes may be directed to D.F. King &amp; Co., Inc. by telephone at</w:t>
      </w:r>
    </w:p>
    <w:p>
      <w:pPr>
        <w:spacing w:after="0" w:line="3" w:lineRule="exact"/>
        <w:rPr>
          <w:sz w:val="20"/>
          <w:szCs w:val="20"/>
          <w:color w:val="auto"/>
        </w:rPr>
      </w:pPr>
    </w:p>
    <w:p>
      <w:pPr>
        <w:ind w:right="660"/>
        <w:spacing w:after="0" w:line="253" w:lineRule="auto"/>
        <w:rPr>
          <w:sz w:val="20"/>
          <w:szCs w:val="20"/>
          <w:color w:val="auto"/>
        </w:rPr>
      </w:pPr>
      <w:r>
        <w:rPr>
          <w:rFonts w:ascii="Times New Roman" w:cs="Times New Roman" w:eastAsia="Times New Roman" w:hAnsi="Times New Roman"/>
          <w:sz w:val="18"/>
          <w:szCs w:val="18"/>
          <w:color w:val="auto"/>
        </w:rPr>
        <w:t xml:space="preserve">+1 (212) 257-2468 (for banks and brokers only) and +1 (800) 967-7635 (for all others toll-free), by email at </w:t>
      </w:r>
      <w:r>
        <w:rPr>
          <w:rFonts w:ascii="Times New Roman" w:cs="Times New Roman" w:eastAsia="Times New Roman" w:hAnsi="Times New Roman"/>
          <w:sz w:val="18"/>
          <w:szCs w:val="18"/>
          <w:u w:val="single" w:color="auto"/>
          <w:color w:val="auto"/>
        </w:rPr>
        <w:t>avgo@dfking.com</w:t>
      </w:r>
      <w:r>
        <w:rPr>
          <w:rFonts w:ascii="Times New Roman" w:cs="Times New Roman" w:eastAsia="Times New Roman" w:hAnsi="Times New Roman"/>
          <w:sz w:val="18"/>
          <w:szCs w:val="18"/>
          <w:color w:val="auto"/>
        </w:rPr>
        <w:t xml:space="preserve"> or to the Dealer Managers at their respective telephone numbers. Copies of the Offer to Purchase and the Notice of Guaranteed Delivery are available at: </w:t>
      </w:r>
      <w:r>
        <w:rPr>
          <w:rFonts w:ascii="Times New Roman" w:cs="Times New Roman" w:eastAsia="Times New Roman" w:hAnsi="Times New Roman"/>
          <w:sz w:val="18"/>
          <w:szCs w:val="18"/>
          <w:u w:val="single" w:color="auto"/>
          <w:color w:val="auto"/>
        </w:rPr>
        <w:t>www.dfking.com/avgo</w:t>
      </w:r>
      <w:r>
        <w:rPr>
          <w:rFonts w:ascii="Times New Roman" w:cs="Times New Roman" w:eastAsia="Times New Roman" w:hAnsi="Times New Roman"/>
          <w:sz w:val="18"/>
          <w:szCs w:val="18"/>
          <w:color w:val="auto"/>
        </w:rPr>
        <w:t>. You may also contact your broker, dealer, commercial bank, trust company or other nominee for assistance concerning the Offers.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neither an offer to purchase nor a solicitation of an offer to sell the Notes or any other securities. The Offers are made only by and pursuant to the terms of the Offer to Purchase and only to such persons and in such jurisdictions as is permitted under applicable law. The information in this press release is qualified by reference to the Offer to Purchase. None of Broadcom, the Dealer Managers or the Tender and Information Agent makes any recommendations as to whether Holders should tender their Notes pursuant to the Offers. Holders must make their own decisions as to whether to tender Notes, and, if so, the principal amount of Notes to tender.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and Section 27A of the Securities Act of 1933, as amended).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the forward-looking statements. Accordingly, undue reliance should not be placed on such statements. All forward-looking statements are qualified in their entirety by reference to the risk factors discussed under the heading “Risk Factors” in Broadcom’s Annual Report on Form 10-K for the year ended November 2, 2025, Quarterly Reports on Form 10-Q for the periods ended February 1, 2026 and May 3, 2026, and any subsequent reports that are filed with the Securities and Exchange Commission and include some important risk factors that may affect future results. Broadcom undertakes no intent or obligation to publicly update or revise the forward-looking statements made in this press release, except as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Broadcom</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Broadcom Inc. (NASDAQ: AVGO) is a technology leader that designs, develops, and supplies semiconductors and infrastructure software for global organizations’ complex, mission-critical needs. Broadcom combines long-term R&amp;D investment with superb execution to deliver the best technology, at scale. Broadcom is a Delaware corporation headquartered in Palo Alto, 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 Yoo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investor.relations@broadcom.com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650-427-6000</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6" w:name="page7"/>
    <w:bookmarkEnd w:id="6"/>
    <w:p>
      <w:pPr>
        <w:ind w:left="10084"/>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Broadcom Inc. Announces Results and Upsize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Offers to Purchase for Cash Certain of its Outstanding Debt Securities</w:t>
      </w:r>
    </w:p>
    <w:p>
      <w:pPr>
        <w:spacing w:after="0" w:line="203"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color w:val="auto"/>
        </w:rPr>
        <w:t>PALO ALTO, Calif., June 17, 2026 — Broadcom Inc. (NASDAQ: AVGO) (“</w:t>
      </w:r>
      <w:r>
        <w:rPr>
          <w:rFonts w:ascii="Times New Roman" w:cs="Times New Roman" w:eastAsia="Times New Roman" w:hAnsi="Times New Roman"/>
          <w:sz w:val="18"/>
          <w:szCs w:val="18"/>
          <w:b w:val="1"/>
          <w:bCs w:val="1"/>
          <w:color w:val="auto"/>
        </w:rPr>
        <w:t>Broadcom</w:t>
      </w:r>
      <w:r>
        <w:rPr>
          <w:rFonts w:ascii="Times New Roman" w:cs="Times New Roman" w:eastAsia="Times New Roman" w:hAnsi="Times New Roman"/>
          <w:sz w:val="18"/>
          <w:szCs w:val="18"/>
          <w:color w:val="auto"/>
        </w:rPr>
        <w:t>”) today announced the expiration and results of its previously announced cash tender offers (collectively, the “</w:t>
      </w:r>
      <w:r>
        <w:rPr>
          <w:rFonts w:ascii="Times New Roman" w:cs="Times New Roman" w:eastAsia="Times New Roman" w:hAnsi="Times New Roman"/>
          <w:sz w:val="18"/>
          <w:szCs w:val="18"/>
          <w:b w:val="1"/>
          <w:bCs w:val="1"/>
          <w:color w:val="auto"/>
        </w:rPr>
        <w:t>Offers</w:t>
      </w:r>
      <w:r>
        <w:rPr>
          <w:rFonts w:ascii="Times New Roman" w:cs="Times New Roman" w:eastAsia="Times New Roman" w:hAnsi="Times New Roman"/>
          <w:sz w:val="18"/>
          <w:szCs w:val="18"/>
          <w:color w:val="auto"/>
        </w:rPr>
        <w:t>”) to purchase any and all of its outstanding 4.926% Senior Notes due 2037; 4.900% Senior Notes due 2038; 5.050% Senior Notes due 2030; 5.200% Senior Notes due 2032; 5.150% Senior Notes due 2031 and 4.900% Senior Notes due 2032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Broadcom also announced that it is increasing the aggregate purchase price, excluding the Accrued Coupon Payment, from the previously announced amount of $2.5 billion to $3.0 billion (the “</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The increased Consideration Cap Amount is sufficient to enable Broadcom to purchase all of the 4.926% Senior Notes due 2037 and 4.900% Senior Notes due 2038, in each case, that were validly tendered prior to or at the Expiration Date, as well as all of the Notes of such Series that were tendered pursuant to the Guaranteed Delivery Procedures.</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The Offers were made upon the terms and subject to the conditions set forth in the Offer to Purchase dated June 11,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accompanying notice of guaranteed delivery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 Capitalized terms used but not defined in this press release have the meanings given to them in the Offer to Purchase.</w:t>
      </w:r>
    </w:p>
    <w:p>
      <w:pPr>
        <w:spacing w:after="0" w:line="171" w:lineRule="exact"/>
        <w:rPr>
          <w:sz w:val="20"/>
          <w:szCs w:val="20"/>
          <w:color w:val="auto"/>
        </w:rPr>
      </w:pPr>
    </w:p>
    <w:p>
      <w:pPr>
        <w:jc w:val="both"/>
        <w:ind w:left="4" w:right="360"/>
        <w:spacing w:after="0" w:line="262" w:lineRule="auto"/>
        <w:rPr>
          <w:sz w:val="20"/>
          <w:szCs w:val="20"/>
          <w:color w:val="auto"/>
        </w:rPr>
      </w:pPr>
      <w:r>
        <w:rPr>
          <w:rFonts w:ascii="Times New Roman" w:cs="Times New Roman" w:eastAsia="Times New Roman" w:hAnsi="Times New Roman"/>
          <w:sz w:val="18"/>
          <w:szCs w:val="18"/>
          <w:color w:val="auto"/>
        </w:rPr>
        <w:t>The Offers expired at 5:00 p.m., New York City time, on June 17,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As the Withdrawal Deadline has passed, tendered Notes may no longer be validly withdrawn, except as required by applicable law. The Initial Settlement Date will be June 18, 2026. For the Holders using the Guaranteed Delivery Procedures, the Guaranteed Delivery Date will be 5:00 p.m., New York City time, on June 22, 2026. The Guaranteed Delivery Settlement Date will be June 23, 2026.</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According to information provided by D.F. King &amp; Co., Inc., the Tender and Information Agent in connection with the Offers, approximately</w:t>
      </w:r>
    </w:p>
    <w:p>
      <w:pPr>
        <w:spacing w:after="0" w:line="27"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$5.5 billion combined aggregate principal amount of Notes were validly tendered prior to or at the Expiration Date, of which approximately $2.9 billion aggregate principal amount of Notes have been accepted for purchase. In addition, as of the Expiration Date, approximately $35.0 million combined aggregate principal amount of 4.926% Senior Notes due 2037 and 4.900% Senior Notes due 2038 were tendered pursuant to the Guaranteed Delivery Procedures but remain subject to the Holders’ performance of the delivery requirements under such procedures. The table below provides certain information about the Offers as of the Expiration Date.</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     Series of    </w:t>
            </w:r>
          </w:p>
        </w:tc>
        <w:tc>
          <w:tcPr>
            <w:tcW w:w="2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CUSIP/ISIN</w:t>
            </w: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0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Notices of</w:t>
            </w:r>
          </w:p>
        </w:tc>
        <w:tc>
          <w:tcPr>
            <w:tcW w:w="0" w:type="dxa"/>
            <w:vAlign w:val="bottom"/>
          </w:tcPr>
          <w:p>
            <w:pPr>
              <w:spacing w:after="0"/>
              <w:rPr>
                <w:sz w:val="1"/>
                <w:szCs w:val="1"/>
                <w:color w:val="auto"/>
              </w:rPr>
            </w:pPr>
          </w:p>
        </w:tc>
      </w:tr>
      <w:tr>
        <w:trPr>
          <w:trHeight w:val="148"/>
        </w:trPr>
        <w:tc>
          <w:tcPr>
            <w:tcW w:w="1580" w:type="dxa"/>
            <w:vAlign w:val="bottom"/>
            <w:gridSpan w:val="2"/>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Guaranteed</w:t>
            </w: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0"/>
                <w:szCs w:val="10"/>
                <w:b w:val="1"/>
                <w:bCs w:val="1"/>
                <w:color w:val="auto"/>
              </w:rPr>
              <w:t>(1)</w:t>
            </w: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Consideration </w:t>
            </w:r>
            <w:r>
              <w:rPr>
                <w:rFonts w:ascii="Times New Roman" w:cs="Times New Roman" w:eastAsia="Times New Roman" w:hAnsi="Times New Roman"/>
                <w:sz w:val="10"/>
                <w:szCs w:val="10"/>
                <w:b w:val="1"/>
                <w:bCs w:val="1"/>
                <w:color w:val="auto"/>
              </w:rPr>
              <w:t>(2)</w:t>
            </w: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Tendered </w:t>
            </w:r>
            <w:r>
              <w:rPr>
                <w:rFonts w:ascii="Times New Roman" w:cs="Times New Roman" w:eastAsia="Times New Roman" w:hAnsi="Times New Roman"/>
                <w:sz w:val="10"/>
                <w:szCs w:val="10"/>
                <w:b w:val="1"/>
                <w:bCs w:val="1"/>
                <w:color w:val="auto"/>
              </w:rPr>
              <w:t>(3)</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Accepted </w:t>
            </w:r>
            <w:r>
              <w:rPr>
                <w:rFonts w:ascii="Times New Roman" w:cs="Times New Roman" w:eastAsia="Times New Roman" w:hAnsi="Times New Roman"/>
                <w:sz w:val="10"/>
                <w:szCs w:val="10"/>
                <w:b w:val="1"/>
                <w:bCs w:val="1"/>
                <w:color w:val="auto"/>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0" w:type="dxa"/>
            <w:vAlign w:val="bottom"/>
          </w:tcPr>
          <w:p>
            <w:pPr>
              <w:spacing w:after="0"/>
              <w:rPr>
                <w:sz w:val="1"/>
                <w:szCs w:val="1"/>
                <w:color w:val="auto"/>
              </w:rPr>
            </w:pPr>
          </w:p>
        </w:tc>
      </w:tr>
      <w:tr>
        <w:trPr>
          <w:trHeight w:val="34"/>
        </w:trPr>
        <w:tc>
          <w:tcPr>
            <w:tcW w:w="1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4.926% Senior</w:t>
            </w:r>
          </w:p>
        </w:tc>
        <w:tc>
          <w:tcPr>
            <w:tcW w:w="2100" w:type="dxa"/>
            <w:vAlign w:val="bottom"/>
            <w:gridSpan w:val="2"/>
            <w:shd w:val="clear" w:color="auto" w:fill="CCEEFF"/>
          </w:tcPr>
          <w:p>
            <w:pPr>
              <w:jc w:val="center"/>
              <w:ind w:right="360"/>
              <w:spacing w:after="0" w:line="126" w:lineRule="exact"/>
              <w:rPr>
                <w:sz w:val="20"/>
                <w:szCs w:val="20"/>
                <w:color w:val="auto"/>
              </w:rPr>
            </w:pPr>
            <w:r>
              <w:rPr>
                <w:rFonts w:ascii="Times New Roman" w:cs="Times New Roman" w:eastAsia="Times New Roman" w:hAnsi="Times New Roman"/>
                <w:sz w:val="14"/>
                <w:szCs w:val="14"/>
                <w:color w:val="auto"/>
              </w:rPr>
              <w:t>144A: 11135FBV2 /</w:t>
            </w: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$2,500,000,000</w:t>
            </w: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$982.01</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$1,843,836,000</w:t>
            </w:r>
          </w:p>
        </w:tc>
        <w:tc>
          <w:tcPr>
            <w:tcW w:w="380" w:type="dxa"/>
            <w:vAlign w:val="bottom"/>
            <w:shd w:val="clear" w:color="auto" w:fill="CCEEFF"/>
          </w:tcPr>
          <w:p>
            <w:pPr>
              <w:spacing w:after="0"/>
              <w:rPr>
                <w:sz w:val="10"/>
                <w:szCs w:val="10"/>
                <w:color w:val="auto"/>
              </w:rPr>
            </w:pPr>
          </w:p>
        </w:tc>
        <w:tc>
          <w:tcPr>
            <w:tcW w:w="11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$1,843,836,000</w:t>
            </w: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$17,241,000</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US11135FBV22</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2037</w:t>
            </w:r>
          </w:p>
        </w:tc>
        <w:tc>
          <w:tcPr>
            <w:tcW w:w="18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9"/>
              </w:rPr>
              <w:t>RegS:</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U1109MBA3 /</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rPr>
              <w:t>USU1109MBA37</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4.900% Senior</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11135FCX7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$1,750,000,000</w:t>
            </w: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$970.29</w:t>
            </w:r>
          </w:p>
        </w:tc>
        <w:tc>
          <w:tcPr>
            <w:tcW w:w="3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$1,050,537,000</w:t>
            </w:r>
          </w:p>
        </w:tc>
        <w:tc>
          <w:tcPr>
            <w:tcW w:w="3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$1,050,537,000</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$17,749,000</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US11135FCX78</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5.050% Senior</w:t>
            </w:r>
          </w:p>
        </w:tc>
        <w:tc>
          <w:tcPr>
            <w:tcW w:w="2100" w:type="dxa"/>
            <w:vAlign w:val="bottom"/>
            <w:gridSpan w:val="2"/>
            <w:shd w:val="clear" w:color="auto" w:fill="CCEEFF"/>
          </w:tcPr>
          <w:p>
            <w:pPr>
              <w:jc w:val="center"/>
              <w:ind w:right="360"/>
              <w:spacing w:after="0" w:line="126" w:lineRule="exact"/>
              <w:rPr>
                <w:sz w:val="20"/>
                <w:szCs w:val="20"/>
                <w:color w:val="auto"/>
              </w:rPr>
            </w:pPr>
            <w:r>
              <w:rPr>
                <w:rFonts w:ascii="Times New Roman" w:cs="Times New Roman" w:eastAsia="Times New Roman" w:hAnsi="Times New Roman"/>
                <w:sz w:val="14"/>
                <w:szCs w:val="14"/>
                <w:color w:val="auto"/>
                <w:w w:val="99"/>
              </w:rPr>
              <w:t>11135FCF6 /</w:t>
            </w: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$800,000,000</w:t>
            </w: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$1,021.24</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$571,143,000</w:t>
            </w:r>
          </w:p>
        </w:tc>
        <w:tc>
          <w:tcPr>
            <w:tcW w:w="3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$9,356,000</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shd w:val="clear" w:color="auto" w:fill="CCEEFF"/>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US11135FCF62</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5.200% Senior</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11135FCG4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$1,100,000,000</w:t>
            </w: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$1,023.23</w:t>
            </w:r>
          </w:p>
        </w:tc>
        <w:tc>
          <w:tcPr>
            <w:tcW w:w="3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$636,171,000</w:t>
            </w:r>
          </w:p>
        </w:tc>
        <w:tc>
          <w:tcPr>
            <w:tcW w:w="3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$17,620,000</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US11135FCG46</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5.150% Senior</w:t>
            </w:r>
          </w:p>
        </w:tc>
        <w:tc>
          <w:tcPr>
            <w:tcW w:w="2100" w:type="dxa"/>
            <w:vAlign w:val="bottom"/>
            <w:gridSpan w:val="2"/>
            <w:shd w:val="clear" w:color="auto" w:fill="CCEEFF"/>
          </w:tcPr>
          <w:p>
            <w:pPr>
              <w:jc w:val="center"/>
              <w:ind w:right="360"/>
              <w:spacing w:after="0" w:line="126" w:lineRule="exact"/>
              <w:rPr>
                <w:sz w:val="20"/>
                <w:szCs w:val="20"/>
                <w:color w:val="auto"/>
              </w:rPr>
            </w:pPr>
            <w:r>
              <w:rPr>
                <w:rFonts w:ascii="Times New Roman" w:cs="Times New Roman" w:eastAsia="Times New Roman" w:hAnsi="Times New Roman"/>
                <w:sz w:val="14"/>
                <w:szCs w:val="14"/>
                <w:color w:val="auto"/>
              </w:rPr>
              <w:t>11135FBY6 /</w:t>
            </w: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$1,500,000,000</w:t>
            </w: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w:t>
            </w:r>
          </w:p>
        </w:tc>
        <w:tc>
          <w:tcPr>
            <w:tcW w:w="38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$1,021.77</w:t>
            </w:r>
          </w:p>
        </w:tc>
        <w:tc>
          <w:tcPr>
            <w:tcW w:w="3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$761,332,000</w:t>
            </w:r>
          </w:p>
        </w:tc>
        <w:tc>
          <w:tcPr>
            <w:tcW w:w="3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$54,393,000</w:t>
            </w: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US11135FBY60</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2031</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4.900% Senior</w:t>
            </w: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11135FCL3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$1,750,000,000</w:t>
            </w:r>
          </w:p>
        </w:tc>
        <w:tc>
          <w:tcPr>
            <w:tcW w:w="3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$1,003.73</w:t>
            </w:r>
          </w:p>
        </w:tc>
        <w:tc>
          <w:tcPr>
            <w:tcW w:w="3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$628,421,000</w:t>
            </w:r>
          </w:p>
        </w:tc>
        <w:tc>
          <w:tcPr>
            <w:tcW w:w="3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85"/>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$10,998,000</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Notes due</w:t>
            </w:r>
          </w:p>
        </w:tc>
        <w:tc>
          <w:tcPr>
            <w:tcW w:w="2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US11135FCL31</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122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29"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representation is made as to the correctness or accuracy of the CUSIP or ISIN numbers listed above.</w:t>
      </w:r>
    </w:p>
    <w:p>
      <w:pPr>
        <w:spacing w:after="0" w:line="3" w:lineRule="exact"/>
        <w:rPr>
          <w:rFonts w:ascii="Times New Roman" w:cs="Times New Roman" w:eastAsia="Times New Roman" w:hAnsi="Times New Roman"/>
          <w:sz w:val="14"/>
          <w:szCs w:val="14"/>
          <w:color w:val="auto"/>
        </w:rPr>
      </w:pPr>
    </w:p>
    <w:p>
      <w:pPr>
        <w:ind w:left="424" w:right="540" w:hanging="424"/>
        <w:spacing w:after="0" w:line="221" w:lineRule="auto"/>
        <w:tabs>
          <w:tab w:leader="none" w:pos="42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consideration for each Series of Notes (the “</w:t>
      </w:r>
      <w:r>
        <w:rPr>
          <w:rFonts w:ascii="Times New Roman" w:cs="Times New Roman" w:eastAsia="Times New Roman" w:hAnsi="Times New Roman"/>
          <w:sz w:val="14"/>
          <w:szCs w:val="14"/>
          <w:b w:val="1"/>
          <w:bCs w:val="1"/>
          <w:color w:val="auto"/>
        </w:rPr>
        <w:t>Total Consideration</w:t>
      </w:r>
      <w:r>
        <w:rPr>
          <w:rFonts w:ascii="Times New Roman" w:cs="Times New Roman" w:eastAsia="Times New Roman" w:hAnsi="Times New Roman"/>
          <w:sz w:val="14"/>
          <w:szCs w:val="14"/>
          <w:color w:val="auto"/>
        </w:rPr>
        <w:t>”) payable per each $1,000 principal amount of such Series of Notes validly tendered for purchase.</w:t>
      </w:r>
    </w:p>
    <w:p>
      <w:pPr>
        <w:ind w:left="424" w:hanging="424"/>
        <w:spacing w:after="0"/>
        <w:tabs>
          <w:tab w:leader="none" w:pos="42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exclude the principal amounts of tendered Notes that remain subject to the Holder’s performance of the delivery requirements under the Guaranteed Delivery Procedures.</w:t>
      </w:r>
    </w:p>
    <w:p>
      <w:pPr>
        <w:sectPr>
          <w:pgSz w:w="11900" w:h="16838" w:orient="portrait"/>
          <w:cols w:equalWidth="0" w:num="1">
            <w:col w:w="11024"/>
          </w:cols>
          <w:pgMar w:left="436" w:top="117" w:right="439" w:bottom="1440" w:gutter="0" w:footer="0" w:header="0"/>
        </w:sectPr>
      </w:pPr>
    </w:p>
    <w:bookmarkStart w:id="7" w:name="page8"/>
    <w:bookmarkEnd w:id="7"/>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Broadcom’s obligation to complete an Offer with respect to the Notes validly tendered is conditioned on the satisfaction or waiver of conditions described in the Offer to Purchase. For the Notes accepted for purchase, all conditions to the Offer with respect to such Notes were satisfied or waived on or prior to the Expiration Date. On the applicable Settlement Date, Holders whose Notes have been accepted for purchase will also receive an Accrued Coupon Payment. The Notes validly tendered but not accepted for purchase will be returned promptly to the tendering Holders in accordance with the Offer to Purchase.</w:t>
      </w:r>
    </w:p>
    <w:p>
      <w:pPr>
        <w:spacing w:after="0" w:line="179" w:lineRule="exact"/>
        <w:rPr>
          <w:sz w:val="20"/>
          <w:szCs w:val="20"/>
          <w:color w:val="auto"/>
        </w:rPr>
      </w:pPr>
    </w:p>
    <w:p>
      <w:pPr>
        <w:ind w:left="4" w:right="60"/>
        <w:spacing w:after="0" w:line="278" w:lineRule="auto"/>
        <w:rPr>
          <w:sz w:val="20"/>
          <w:szCs w:val="20"/>
          <w:color w:val="auto"/>
        </w:rPr>
      </w:pPr>
      <w:r>
        <w:rPr>
          <w:rFonts w:ascii="Times New Roman" w:cs="Times New Roman" w:eastAsia="Times New Roman" w:hAnsi="Times New Roman"/>
          <w:sz w:val="17"/>
          <w:szCs w:val="17"/>
          <w:color w:val="auto"/>
        </w:rPr>
        <w:t>Broadcom has retained Barclays Capital Inc. and Citigroup Global Markets Inc. to act as dealer managers (the “</w:t>
      </w:r>
      <w:r>
        <w:rPr>
          <w:rFonts w:ascii="Times New Roman" w:cs="Times New Roman" w:eastAsia="Times New Roman" w:hAnsi="Times New Roman"/>
          <w:sz w:val="17"/>
          <w:szCs w:val="17"/>
          <w:b w:val="1"/>
          <w:bCs w:val="1"/>
          <w:color w:val="auto"/>
        </w:rPr>
        <w:t>Dealer Managers</w:t>
      </w:r>
      <w:r>
        <w:rPr>
          <w:rFonts w:ascii="Times New Roman" w:cs="Times New Roman" w:eastAsia="Times New Roman" w:hAnsi="Times New Roman"/>
          <w:sz w:val="17"/>
          <w:szCs w:val="17"/>
          <w:color w:val="auto"/>
        </w:rPr>
        <w:t>”) for the Offers. D.F. King &amp; Co., Inc. is acting as the Tender and Information Agent for the Offers. For additional information, please contact: Barclays Capital Inc. at +1</w:t>
      </w:r>
    </w:p>
    <w:p>
      <w:pPr>
        <w:spacing w:after="0" w:line="1" w:lineRule="exact"/>
        <w:rPr>
          <w:sz w:val="20"/>
          <w:szCs w:val="20"/>
          <w:color w:val="auto"/>
        </w:rPr>
      </w:pPr>
    </w:p>
    <w:p>
      <w:pPr>
        <w:ind w:left="4" w:right="360" w:hanging="4"/>
        <w:spacing w:after="0" w:line="265"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438-3242 (toll-free) or +1 (212) 528-7581 (collect); or Citigroup Global Markets Inc. at +1 (800) 558-3745 (toll-free) or +1 (212) 723-6106 (collect). Requests for documents and questions regarding the tendering of Notes may be directed to D.F. King &amp; Co., Inc. by telephone at +1 (212)</w:t>
      </w:r>
    </w:p>
    <w:p>
      <w:pPr>
        <w:jc w:val="both"/>
        <w:ind w:left="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257-2468 (for banks and brokers only) and +1 (800) 967-7635 (for all others toll-free), by email at </w:t>
      </w:r>
      <w:r>
        <w:rPr>
          <w:rFonts w:ascii="Times New Roman" w:cs="Times New Roman" w:eastAsia="Times New Roman" w:hAnsi="Times New Roman"/>
          <w:sz w:val="18"/>
          <w:szCs w:val="18"/>
          <w:u w:val="single" w:color="auto"/>
          <w:color w:val="auto"/>
        </w:rPr>
        <w:t>avgo@dfking.com</w:t>
      </w:r>
      <w:r>
        <w:rPr>
          <w:rFonts w:ascii="Times New Roman" w:cs="Times New Roman" w:eastAsia="Times New Roman" w:hAnsi="Times New Roman"/>
          <w:sz w:val="18"/>
          <w:szCs w:val="18"/>
          <w:color w:val="auto"/>
        </w:rPr>
        <w:t xml:space="preserve"> or to the Dealer Managers at their respective telephone numbers. Copies of the Offer to Purchase and the Notice of Guaranteed Delivery are available at: </w:t>
      </w:r>
      <w:r>
        <w:rPr>
          <w:rFonts w:ascii="Times New Roman" w:cs="Times New Roman" w:eastAsia="Times New Roman" w:hAnsi="Times New Roman"/>
          <w:sz w:val="18"/>
          <w:szCs w:val="18"/>
          <w:u w:val="single" w:color="auto"/>
          <w:color w:val="auto"/>
        </w:rPr>
        <w:t>www.dfking.com/avgo</w:t>
      </w:r>
      <w:r>
        <w:rPr>
          <w:rFonts w:ascii="Times New Roman" w:cs="Times New Roman" w:eastAsia="Times New Roman" w:hAnsi="Times New Roman"/>
          <w:sz w:val="18"/>
          <w:szCs w:val="18"/>
          <w:color w:val="auto"/>
        </w:rPr>
        <w:t>. You may also contact your broker, dealer, commercial bank, trust company or other nominee for assistance concerning the Offers.</w:t>
      </w:r>
    </w:p>
    <w:p>
      <w:pPr>
        <w:spacing w:after="0" w:line="18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purchase nor a solicitation of an offer to sell the Notes or any other securities. The Offers were made only by and pursuant to the terms of the Offer to Purchase and only to such persons and in such jurisdictions as is permitted under applicable law. The information in this press release is qualified by reference to the Offer to Purchase.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and Section 27A of the Securities Act of 1933, as amended).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the forward-looking statements. Accordingly, undue reliance should not be placed on such statements. All forward-looking statements are qualified in their entirety by reference to the risk factors discussed under the heading “Risk Factors” in Broadcom’s Annual Report on Form 10-K for the year ended November 2, 2025, Quarterly Reports on Form 10-Q for the periods ended February 1, 2026 and May 3, 2026, and any subsequent reports that are filed with the Securities and Exchange Commission and include some important risk factors that may affect future results. Broadcom undertakes no intent or obligation to publicly update or revise the forward-looking statements made in this press release, except as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Broadcom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Broadcom Inc. (NASDAQ: AVGO) is a technology leader that designs, develops, and supplies semiconductors and infrastructure software for global organizations’ complex, mission-critical needs. Broadcom combines long-term R&amp;D investment with superb execution to deliver the best technology, at scale. Broadcom is a Delaware corporation headquartered in Palo Alto, 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 Yoo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investor.relations@broadcom.com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650-427-6000</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2026-06-18T08:02:35Z</dcterms:created>
  <dcterms:modified xsi:type="dcterms:W3CDTF">2026-06-18T08:02:35Z</dcterms:modified>
</cp:coreProperties>
</file>