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Times New Roman" w:cs="Times New Roman" w:eastAsia="Times New Roman" w:hAnsi="Times New Roman"/>
                <w:sz w:val="22"/>
                <w:szCs w:val="22"/>
                <w:color w:val="auto"/>
                <w:w w:val="96"/>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5440" w:type="dxa"/>
            <w:vAlign w:val="bottom"/>
            <w:gridSpan w:val="2"/>
          </w:tcPr>
          <w:p>
            <w:pPr>
              <w:jc w:val="center"/>
              <w:ind w:right="1020"/>
              <w:spacing w:after="0"/>
              <w:rPr>
                <w:sz w:val="20"/>
                <w:szCs w:val="20"/>
                <w:color w:val="auto"/>
              </w:rPr>
            </w:pPr>
            <w:r>
              <w:rPr>
                <w:rFonts w:ascii="Times New Roman" w:cs="Times New Roman" w:eastAsia="Times New Roman" w:hAnsi="Times New Roman"/>
                <w:sz w:val="22"/>
                <w:szCs w:val="22"/>
                <w:color w:val="auto"/>
                <w:w w:val="98"/>
              </w:rPr>
              <w:t>SECURITIES AND EXCHANGE COMMISSION</w:t>
            </w:r>
          </w:p>
        </w:tc>
        <w:tc>
          <w:tcPr>
            <w:tcW w:w="1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OMB Number:</w:t>
            </w:r>
          </w:p>
        </w:tc>
        <w:tc>
          <w:tcPr>
            <w:tcW w:w="18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40" w:type="dxa"/>
            <w:vAlign w:val="bottom"/>
            <w:gridSpan w:val="2"/>
            <w:vMerge w:val="restart"/>
          </w:tcPr>
          <w:p>
            <w:pPr>
              <w:jc w:val="center"/>
              <w:ind w:right="1020"/>
              <w:spacing w:after="0"/>
              <w:rPr>
                <w:sz w:val="20"/>
                <w:szCs w:val="20"/>
                <w:color w:val="auto"/>
              </w:rPr>
            </w:pPr>
            <w:r>
              <w:rPr>
                <w:rFonts w:ascii="Times New Roman" w:cs="Times New Roman" w:eastAsia="Times New Roman" w:hAnsi="Times New Roman"/>
                <w:sz w:val="22"/>
                <w:szCs w:val="22"/>
                <w:color w:val="auto"/>
                <w:w w:val="97"/>
              </w:rPr>
              <w:t>Washington, D.C. 20549</w:t>
            </w:r>
          </w:p>
        </w:tc>
        <w:tc>
          <w:tcPr>
            <w:tcW w:w="1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Expires:</w:t>
            </w:r>
          </w:p>
        </w:tc>
        <w:tc>
          <w:tcPr>
            <w:tcW w:w="1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March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5440" w:type="dxa"/>
            <w:vAlign w:val="bottom"/>
            <w:gridSpan w:val="2"/>
          </w:tcPr>
          <w:p>
            <w:pPr>
              <w:jc w:val="center"/>
              <w:ind w:right="1020"/>
              <w:spacing w:after="0"/>
              <w:rPr>
                <w:sz w:val="20"/>
                <w:szCs w:val="20"/>
                <w:color w:val="auto"/>
              </w:rPr>
            </w:pPr>
            <w:r>
              <w:rPr>
                <w:rFonts w:ascii="Times New Roman" w:cs="Times New Roman" w:eastAsia="Times New Roman" w:hAnsi="Times New Roman"/>
                <w:sz w:val="22"/>
                <w:szCs w:val="22"/>
                <w:color w:val="auto"/>
              </w:rPr>
              <w:t>FORM 25</w:t>
            </w:r>
          </w:p>
        </w:tc>
        <w:tc>
          <w:tcPr>
            <w:tcW w:w="184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22"/>
                <w:szCs w:val="22"/>
                <w:color w:val="auto"/>
              </w:rPr>
              <w:t>hours per response:</w:t>
            </w:r>
          </w:p>
        </w:tc>
        <w:tc>
          <w:tcPr>
            <w:tcW w:w="180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22"/>
          <w:szCs w:val="22"/>
          <w:color w:val="auto"/>
        </w:rPr>
        <w:t>NOTIFICATION OF REMOVAL FROM LISTING AND/OR REGISTRATION</w:t>
      </w:r>
    </w:p>
    <w:p>
      <w:pPr>
        <w:spacing w:after="0" w:line="1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22"/>
          <w:szCs w:val="22"/>
          <w:color w:val="auto"/>
        </w:rPr>
        <w:t>UNDER SECTION 12(b) OF THE SECURITIES EXCHANGE ACT OF 1934.</w:t>
      </w:r>
    </w:p>
    <w:p>
      <w:pPr>
        <w:spacing w:after="0" w:line="20" w:lineRule="exact"/>
        <w:rPr>
          <w:sz w:val="24"/>
          <w:szCs w:val="24"/>
          <w:color w:val="auto"/>
        </w:rPr>
      </w:pPr>
    </w:p>
    <w:p>
      <w:pPr>
        <w:ind w:left="3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Commission File Number </w:t>
      </w:r>
      <w:hyperlink r:id="rId9">
        <w:r>
          <w:rPr>
            <w:rFonts w:ascii="Times New Roman" w:cs="Times New Roman" w:eastAsia="Times New Roman" w:hAnsi="Times New Roman"/>
            <w:sz w:val="22"/>
            <w:szCs w:val="22"/>
            <w:u w:val="single" w:color="auto"/>
            <w:color w:val="0000EE"/>
          </w:rPr>
          <w:t>001-37690</w:t>
        </w:r>
      </w:hyperlink>
    </w:p>
    <w:p>
      <w:pPr>
        <w:spacing w:after="0" w:line="125" w:lineRule="exact"/>
        <w:rPr>
          <w:sz w:val="24"/>
          <w:szCs w:val="24"/>
          <w:color w:val="auto"/>
        </w:rPr>
      </w:pPr>
    </w:p>
    <w:p>
      <w:pPr>
        <w:ind w:left="3160"/>
        <w:spacing w:after="0"/>
        <w:tabs>
          <w:tab w:leader="none" w:pos="4100" w:val="left"/>
        </w:tabs>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Issuer:</w:t>
      </w:r>
      <w:r>
        <w:rPr>
          <w:sz w:val="20"/>
          <w:szCs w:val="20"/>
          <w:color w:val="auto"/>
        </w:rPr>
        <w:tab/>
      </w:r>
      <w:hyperlink r:id="rId10">
        <w:r>
          <w:rPr>
            <w:rFonts w:ascii="Times New Roman" w:cs="Times New Roman" w:eastAsia="Times New Roman" w:hAnsi="Times New Roman"/>
            <w:sz w:val="22"/>
            <w:szCs w:val="22"/>
            <w:u w:val="single" w:color="auto"/>
            <w:color w:val="0000EE"/>
          </w:rPr>
          <w:t>Broadcom Ltd</w:t>
        </w:r>
      </w:hyperlink>
    </w:p>
    <w:p>
      <w:pPr>
        <w:spacing w:after="0" w:line="4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color w:val="auto"/>
        </w:rPr>
        <w:t>Exchange: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45720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22"/>
          <w:szCs w:val="22"/>
          <w:color w:val="auto"/>
        </w:rPr>
        <w:t>(Exact name of Issuer as specified in its charter, and name of Exchange where security is listed</w:t>
      </w:r>
    </w:p>
    <w:p>
      <w:pPr>
        <w:spacing w:after="0" w:line="1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color w:val="auto"/>
        </w:rPr>
        <w:t>and/or registered)</w:t>
      </w:r>
    </w:p>
    <w:p>
      <w:pPr>
        <w:spacing w:after="0" w:line="61"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2"/>
          <w:szCs w:val="22"/>
          <w:color w:val="auto"/>
        </w:rPr>
        <w:t>Address: 1 Yishun Avenue 7</w:t>
      </w:r>
    </w:p>
    <w:p>
      <w:pPr>
        <w:spacing w:after="0" w:line="4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color w:val="auto"/>
        </w:rPr>
        <w:t>Singapore SINGAPORE 768923</w:t>
      </w:r>
    </w:p>
    <w:p>
      <w:pPr>
        <w:spacing w:after="0" w:line="44" w:lineRule="exact"/>
        <w:rPr>
          <w:sz w:val="24"/>
          <w:szCs w:val="24"/>
          <w:color w:val="auto"/>
        </w:rPr>
      </w:pPr>
    </w:p>
    <w:tbl>
      <w:tblPr>
        <w:tblLayout w:type="fixed"/>
        <w:tblInd w:w="2000" w:type="dxa"/>
        <w:tblCellMar>
          <w:top w:w="0" w:type="dxa"/>
          <w:left w:w="0" w:type="dxa"/>
          <w:bottom w:w="0" w:type="dxa"/>
          <w:right w:w="0" w:type="dxa"/>
        </w:tblCellMar>
      </w:tblPr>
      <w:tr>
        <w:trPr>
          <w:trHeight w:val="28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Telephone number:</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+65-6755-7888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26670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including zip code, and telephone number, including area code, of Issuer's principal</w:t>
      </w:r>
    </w:p>
    <w:p>
      <w:pPr>
        <w:spacing w:after="0" w:line="1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color w:val="auto"/>
        </w:rPr>
        <w:t>executive offices)</w:t>
      </w:r>
    </w:p>
    <w:p>
      <w:pPr>
        <w:spacing w:after="0" w:line="2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19685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(Description of class of securities)</w:t>
      </w:r>
    </w:p>
    <w:p>
      <w:pPr>
        <w:spacing w:after="0" w:line="85"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Please place an X in the box to designate the rule provision relied upon to strike the class of securities from listing and registration:</w:t>
      </w:r>
    </w:p>
    <w:p>
      <w:pPr>
        <w:spacing w:after="0" w:line="172"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240.12d2-2(a)(4)</w:t>
      </w:r>
    </w:p>
    <w:p>
      <w:pPr>
        <w:spacing w:after="0" w:line="179" w:lineRule="exact"/>
        <w:rPr>
          <w:sz w:val="24"/>
          <w:szCs w:val="24"/>
          <w:color w:val="auto"/>
        </w:rPr>
      </w:pPr>
    </w:p>
    <w:p>
      <w:pPr>
        <w:ind w:left="760" w:right="1200" w:firstLine="61"/>
        <w:spacing w:after="0" w:line="262" w:lineRule="auto"/>
        <w:rPr>
          <w:rFonts w:ascii="Times New Roman" w:cs="Times New Roman" w:eastAsia="Times New Roman" w:hAnsi="Times New Roman"/>
          <w:sz w:val="22"/>
          <w:szCs w:val="22"/>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240.12d2-2(b), the Exchange has complied with its rules to strike the class of securities from listing and/or withdraw registration on the Exchange. </w:t>
      </w:r>
      <w:hyperlink w:anchor="page1">
        <w:r>
          <w:rPr>
            <w:rFonts w:ascii="Times New Roman" w:cs="Times New Roman" w:eastAsia="Times New Roman" w:hAnsi="Times New Roman"/>
            <w:sz w:val="36"/>
            <w:szCs w:val="36"/>
            <w:u w:val="single" w:color="auto"/>
            <w:color w:val="0000EE"/>
            <w:vertAlign w:val="superscript"/>
          </w:rPr>
          <w:t>1</w:t>
        </w:r>
      </w:hyperlink>
    </w:p>
    <w:p>
      <w:pPr>
        <w:spacing w:after="0" w:line="1" w:lineRule="exact"/>
        <w:rPr>
          <w:sz w:val="24"/>
          <w:szCs w:val="24"/>
          <w:color w:val="auto"/>
        </w:rPr>
      </w:pPr>
    </w:p>
    <w:p>
      <w:pPr>
        <w:ind w:left="760" w:right="800" w:firstLine="61"/>
        <w:spacing w:after="0" w:line="244" w:lineRule="auto"/>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0" w:lineRule="exact"/>
        <w:rPr>
          <w:sz w:val="24"/>
          <w:szCs w:val="24"/>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Pursuant to the requirements fo the Securities Exchange Act of 1934, The Nasdaq Stock Market LLC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83"/>
        </w:trPr>
        <w:tc>
          <w:tcPr>
            <w:tcW w:w="2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2018-04-04</w:t>
            </w:r>
          </w:p>
        </w:tc>
        <w:tc>
          <w:tcPr>
            <w:tcW w:w="9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34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Tara Petta</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Senior Director</w:t>
            </w:r>
          </w:p>
        </w:tc>
      </w:tr>
      <w:tr>
        <w:trPr>
          <w:trHeight w:val="290"/>
        </w:trPr>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r>
    </w:tbl>
    <w:p>
      <w:pPr>
        <w:spacing w:after="0" w:line="96" w:lineRule="exact"/>
        <w:rPr>
          <w:sz w:val="24"/>
          <w:szCs w:val="24"/>
          <w:color w:val="auto"/>
        </w:rPr>
      </w:pPr>
    </w:p>
    <w:p>
      <w:pPr>
        <w:ind w:left="1240" w:right="900" w:hanging="588"/>
        <w:spacing w:after="0" w:line="258"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Form 25 and attached Notice will be considered compliance with the provisions of 17 CFR 240.19d-1 as applicable. </w:t>
      </w:r>
      <w:r>
        <w:rPr>
          <w:rFonts w:ascii="Times New Roman" w:cs="Times New Roman" w:eastAsia="Times New Roman" w:hAnsi="Times New Roman"/>
          <w:sz w:val="22"/>
          <w:szCs w:val="22"/>
          <w:u w:val="single" w:color="auto"/>
          <w:color w:val="0000EE"/>
        </w:rPr>
        <w:t>See</w:t>
      </w:r>
      <w:r>
        <w:rPr>
          <w:rFonts w:ascii="Times New Roman" w:cs="Times New Roman" w:eastAsia="Times New Roman" w:hAnsi="Times New Roman"/>
          <w:sz w:val="22"/>
          <w:szCs w:val="22"/>
          <w:color w:val="auto"/>
        </w:rPr>
        <w:t xml:space="preserve"> General Instructions.</w:t>
      </w:r>
    </w:p>
    <w:p>
      <w:pPr>
        <w:spacing w:after="0" w:line="37" w:lineRule="exact"/>
        <w:rPr>
          <w:sz w:val="24"/>
          <w:szCs w:val="24"/>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avgo-form25</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7690" TargetMode="External"/><Relationship Id="rId10" Type="http://schemas.openxmlformats.org/officeDocument/2006/relationships/hyperlink" Target="http://www.sec.gov/cgi-bin/browse-edgar?action=getcompany&amp;CIK=00016493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2019-12-21T03:27:40Z</dcterms:created>
  <dcterms:modified xsi:type="dcterms:W3CDTF">2019-12-21T03:27:40Z</dcterms:modified>
</cp:coreProperties>
</file>